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C61FC" w:rsidRPr="009C61FC" w:rsidTr="00AF4D78">
        <w:trPr>
          <w:tblCellSpacing w:w="18" w:type="dxa"/>
        </w:trPr>
        <w:tc>
          <w:tcPr>
            <w:tcW w:w="0" w:type="auto"/>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ЗАТВЕРДЖЕНО</w:t>
            </w:r>
            <w:r w:rsidRPr="009C61FC">
              <w:rPr>
                <w:rFonts w:ascii="Times New Roman" w:eastAsiaTheme="minorEastAsia" w:hAnsi="Times New Roman" w:cs="Times New Roman"/>
                <w:sz w:val="24"/>
                <w:szCs w:val="24"/>
                <w:lang w:eastAsia="uk-UA"/>
              </w:rPr>
              <w:br/>
              <w:t>наказом Держкомстату України</w:t>
            </w:r>
            <w:r w:rsidRPr="009C61FC">
              <w:rPr>
                <w:rFonts w:ascii="Times New Roman" w:eastAsiaTheme="minorEastAsia" w:hAnsi="Times New Roman" w:cs="Times New Roman"/>
                <w:sz w:val="24"/>
                <w:szCs w:val="24"/>
                <w:lang w:eastAsia="uk-UA"/>
              </w:rPr>
              <w:br/>
              <w:t>від 13 листопада 2008 р. N 452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Методика</w:t>
      </w:r>
      <w:r w:rsidRPr="009C61FC">
        <w:rPr>
          <w:rFonts w:ascii="Times New Roman" w:eastAsia="Times New Roman" w:hAnsi="Times New Roman" w:cs="Times New Roman"/>
          <w:b/>
          <w:bCs/>
          <w:sz w:val="27"/>
          <w:szCs w:val="27"/>
          <w:lang w:eastAsia="uk-UA"/>
        </w:rPr>
        <w:br/>
        <w:t xml:space="preserve">розрахунку викидів забруднюючих речовин та парникових газів у повітря від транспортних засобів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Передмова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Протягом 1999 - 2006 рр. розрахунки обсягів викидів забруднюючих речовин у повітря від транспорту здійснювалися за трьома окремими методиками, які дозволяли встановлювати шкідливі викиди у повітря від автомобільного, залізничного, авіаційного та водного транспорту по 6 хімічних речовинах (оксиди вуглецю та азоту, вуглеводні, діоксид сірки, леткі органічні сполуки, сажа).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 основу цих розрахунків були покладені статистичні дані щодо споживання палива двигунами внутрішнього згоряння автотранспорту юридичних і фізичних осіб, залізничного, водного й авіаційного транспорту, а також питомі викиди забруднюючих речовин, які надходять у повітря від використання 1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Проте в останні роки перед органами державної статистики постало завдання розширення переліку хімічних речовин, для яких визначаються обсяги викидів, особливо у зв'язку з ратифікацією Україною </w:t>
      </w:r>
      <w:r w:rsidRPr="009C61FC">
        <w:rPr>
          <w:rFonts w:ascii="Times New Roman" w:eastAsiaTheme="minorEastAsia" w:hAnsi="Times New Roman" w:cs="Times New Roman"/>
          <w:color w:val="0000FF"/>
          <w:sz w:val="24"/>
          <w:szCs w:val="24"/>
          <w:lang w:eastAsia="uk-UA"/>
        </w:rPr>
        <w:t>Рамкової конвенції Організації Об'єднаних Націй про зміну клімату</w:t>
      </w:r>
      <w:r w:rsidRPr="009C61FC">
        <w:rPr>
          <w:rFonts w:ascii="Times New Roman" w:eastAsiaTheme="minorEastAsia" w:hAnsi="Times New Roman" w:cs="Times New Roman"/>
          <w:sz w:val="24"/>
          <w:szCs w:val="24"/>
          <w:lang w:eastAsia="uk-UA"/>
        </w:rPr>
        <w:t xml:space="preserve">, а також охоплення статистичним спостереженням інших пересувних джерел забруднення, до яких, зокрема, належить промислова, сільськогосподарська, будівельна та інша виробнича техніка.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 зв'язку з цим методики, за якими проводилися розрахунки у попередні роки, були суттєво удосконалені й об'єднані в одну. До неї також включено розроблений новий порядок розрахунку викидів забруднюючих речовин та парникових газів, що надходять у повітря від діяльності виробничої,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Методика встановлює порядок проведення розрахунків обсягів надходження у повітря забруднюючих речовин та парникових газів, до яких, зокрема, належать: оксид вуглецю, аміак, метан, оксид азоту, сажа, діоксид азоту, діоксид сірки, свинець, вуглекислий газ, неметанові леткі органічні сполуки, </w:t>
      </w: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Перелік умовних позначень та визначення основних термінів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Умовні позначення: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CORINAIR - рекомендації Статистичної комісії ООН щодо інвентаризації викидів у атмосферу;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CO - оксид вуглецю;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NH</w:t>
      </w:r>
      <w:r w:rsidRPr="009C61FC">
        <w:rPr>
          <w:rFonts w:ascii="Times New Roman" w:eastAsiaTheme="minorEastAsia" w:hAnsi="Times New Roman" w:cs="Times New Roman"/>
          <w:sz w:val="24"/>
          <w:szCs w:val="24"/>
          <w:vertAlign w:val="subscript"/>
          <w:lang w:eastAsia="uk-UA"/>
        </w:rPr>
        <w:t xml:space="preserve"> 3</w:t>
      </w:r>
      <w:r w:rsidRPr="009C61FC">
        <w:rPr>
          <w:rFonts w:ascii="Times New Roman" w:eastAsiaTheme="minorEastAsia" w:hAnsi="Times New Roman" w:cs="Times New Roman"/>
          <w:sz w:val="24"/>
          <w:szCs w:val="24"/>
          <w:lang w:eastAsia="uk-UA"/>
        </w:rPr>
        <w:t xml:space="preserve"> - аміак;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CH</w:t>
      </w:r>
      <w:r w:rsidRPr="009C61FC">
        <w:rPr>
          <w:rFonts w:ascii="Times New Roman" w:eastAsiaTheme="minorEastAsia" w:hAnsi="Times New Roman" w:cs="Times New Roman"/>
          <w:sz w:val="24"/>
          <w:szCs w:val="24"/>
          <w:vertAlign w:val="subscript"/>
          <w:lang w:eastAsia="uk-UA"/>
        </w:rPr>
        <w:t xml:space="preserve"> 4</w:t>
      </w:r>
      <w:r w:rsidRPr="009C61FC">
        <w:rPr>
          <w:rFonts w:ascii="Times New Roman" w:eastAsiaTheme="minorEastAsia" w:hAnsi="Times New Roman" w:cs="Times New Roman"/>
          <w:sz w:val="24"/>
          <w:szCs w:val="24"/>
          <w:lang w:eastAsia="uk-UA"/>
        </w:rPr>
        <w:t xml:space="preserve"> - метан;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N</w:t>
      </w:r>
      <w:r w:rsidRPr="009C61FC">
        <w:rPr>
          <w:rFonts w:ascii="Times New Roman" w:eastAsiaTheme="minorEastAsia" w:hAnsi="Times New Roman" w:cs="Times New Roman"/>
          <w:sz w:val="24"/>
          <w:szCs w:val="24"/>
          <w:vertAlign w:val="subscript"/>
          <w:lang w:eastAsia="uk-UA"/>
        </w:rPr>
        <w:t xml:space="preserve"> 2</w:t>
      </w:r>
      <w:r w:rsidRPr="009C61FC">
        <w:rPr>
          <w:rFonts w:ascii="Times New Roman" w:eastAsiaTheme="minorEastAsia" w:hAnsi="Times New Roman" w:cs="Times New Roman"/>
          <w:sz w:val="24"/>
          <w:szCs w:val="24"/>
          <w:lang w:eastAsia="uk-UA"/>
        </w:rPr>
        <w:t xml:space="preserve">O - оксид азоту;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C - сажа;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NO</w:t>
      </w:r>
      <w:r w:rsidRPr="009C61FC">
        <w:rPr>
          <w:rFonts w:ascii="Times New Roman" w:eastAsiaTheme="minorEastAsia" w:hAnsi="Times New Roman" w:cs="Times New Roman"/>
          <w:sz w:val="24"/>
          <w:szCs w:val="24"/>
          <w:vertAlign w:val="subscript"/>
          <w:lang w:eastAsia="uk-UA"/>
        </w:rPr>
        <w:t xml:space="preserve"> 2</w:t>
      </w:r>
      <w:r w:rsidRPr="009C61FC">
        <w:rPr>
          <w:rFonts w:ascii="Times New Roman" w:eastAsiaTheme="minorEastAsia" w:hAnsi="Times New Roman" w:cs="Times New Roman"/>
          <w:sz w:val="24"/>
          <w:szCs w:val="24"/>
          <w:lang w:eastAsia="uk-UA"/>
        </w:rPr>
        <w:t xml:space="preserve"> - діоксид азоту;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SO</w:t>
      </w:r>
      <w:r w:rsidRPr="009C61FC">
        <w:rPr>
          <w:rFonts w:ascii="Times New Roman" w:eastAsiaTheme="minorEastAsia" w:hAnsi="Times New Roman" w:cs="Times New Roman"/>
          <w:sz w:val="24"/>
          <w:szCs w:val="24"/>
          <w:vertAlign w:val="subscript"/>
          <w:lang w:eastAsia="uk-UA"/>
        </w:rPr>
        <w:t xml:space="preserve"> 2</w:t>
      </w:r>
      <w:r w:rsidRPr="009C61FC">
        <w:rPr>
          <w:rFonts w:ascii="Times New Roman" w:eastAsiaTheme="minorEastAsia" w:hAnsi="Times New Roman" w:cs="Times New Roman"/>
          <w:sz w:val="24"/>
          <w:szCs w:val="24"/>
          <w:lang w:eastAsia="uk-UA"/>
        </w:rPr>
        <w:t xml:space="preserve"> - діоксид сірки;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Pb</w:t>
      </w:r>
      <w:proofErr w:type="spellEnd"/>
      <w:r w:rsidRPr="009C61FC">
        <w:rPr>
          <w:rFonts w:ascii="Times New Roman" w:eastAsiaTheme="minorEastAsia" w:hAnsi="Times New Roman" w:cs="Times New Roman"/>
          <w:sz w:val="24"/>
          <w:szCs w:val="24"/>
          <w:lang w:eastAsia="uk-UA"/>
        </w:rPr>
        <w:t xml:space="preserve"> - свинець;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CO</w:t>
      </w:r>
      <w:r w:rsidRPr="009C61FC">
        <w:rPr>
          <w:rFonts w:ascii="Times New Roman" w:eastAsiaTheme="minorEastAsia" w:hAnsi="Times New Roman" w:cs="Times New Roman"/>
          <w:sz w:val="24"/>
          <w:szCs w:val="24"/>
          <w:vertAlign w:val="subscript"/>
          <w:lang w:eastAsia="uk-UA"/>
        </w:rPr>
        <w:t xml:space="preserve"> 2</w:t>
      </w:r>
      <w:r w:rsidRPr="009C61FC">
        <w:rPr>
          <w:rFonts w:ascii="Times New Roman" w:eastAsiaTheme="minorEastAsia" w:hAnsi="Times New Roman" w:cs="Times New Roman"/>
          <w:sz w:val="24"/>
          <w:szCs w:val="24"/>
          <w:lang w:eastAsia="uk-UA"/>
        </w:rPr>
        <w:t xml:space="preserve"> - вуглекислий газ (двоокис вуглецю);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НМЛОС - неметанові леткі органічні сполуки;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КОАТУУ - Класифікатор об'єктів адміністративно-територіального устрою України;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color w:val="0000FF"/>
          <w:sz w:val="24"/>
          <w:szCs w:val="24"/>
          <w:lang w:eastAsia="uk-UA"/>
        </w:rPr>
        <w:t>КВЕД</w:t>
      </w:r>
      <w:r w:rsidRPr="009C61FC">
        <w:rPr>
          <w:rFonts w:ascii="Times New Roman" w:eastAsiaTheme="minorEastAsia" w:hAnsi="Times New Roman" w:cs="Times New Roman"/>
          <w:sz w:val="24"/>
          <w:szCs w:val="24"/>
          <w:lang w:eastAsia="uk-UA"/>
        </w:rPr>
        <w:t xml:space="preserve"> - Класифікація видів економічної діяльності;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color w:val="0000FF"/>
          <w:sz w:val="24"/>
          <w:szCs w:val="24"/>
          <w:lang w:eastAsia="uk-UA"/>
        </w:rPr>
        <w:t>КОПФГ</w:t>
      </w:r>
      <w:r w:rsidRPr="009C61FC">
        <w:rPr>
          <w:rFonts w:ascii="Times New Roman" w:eastAsiaTheme="minorEastAsia" w:hAnsi="Times New Roman" w:cs="Times New Roman"/>
          <w:sz w:val="24"/>
          <w:szCs w:val="24"/>
          <w:lang w:eastAsia="uk-UA"/>
        </w:rPr>
        <w:t xml:space="preserve"> - Класифікація організаційно-правових форм господарювання.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Визначення основних термінів </w:t>
      </w:r>
      <w:r w:rsidRPr="009C61FC">
        <w:rPr>
          <w:rFonts w:ascii="Times New Roman" w:eastAsiaTheme="minorEastAsia" w:hAnsi="Times New Roman" w:cs="Times New Roman"/>
          <w:sz w:val="24"/>
          <w:szCs w:val="24"/>
          <w:lang w:eastAsia="uk-UA"/>
        </w:rPr>
        <w:t xml:space="preserve">(для потреб цих </w:t>
      </w:r>
      <w:proofErr w:type="spellStart"/>
      <w:r w:rsidRPr="009C61FC">
        <w:rPr>
          <w:rFonts w:ascii="Times New Roman" w:eastAsiaTheme="minorEastAsia" w:hAnsi="Times New Roman" w:cs="Times New Roman"/>
          <w:sz w:val="24"/>
          <w:szCs w:val="24"/>
          <w:lang w:eastAsia="uk-UA"/>
        </w:rPr>
        <w:t>методик</w:t>
      </w:r>
      <w:proofErr w:type="spellEnd"/>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Забруднення атмосферного повітря </w:t>
      </w:r>
      <w:r w:rsidRPr="009C61FC">
        <w:rPr>
          <w:rFonts w:ascii="Times New Roman" w:eastAsiaTheme="minorEastAsia" w:hAnsi="Times New Roman" w:cs="Times New Roman"/>
          <w:i/>
          <w:iCs/>
          <w:sz w:val="24"/>
          <w:szCs w:val="24"/>
          <w:lang w:eastAsia="uk-UA"/>
        </w:rPr>
        <w:t xml:space="preserve">- </w:t>
      </w:r>
      <w:r w:rsidRPr="009C61FC">
        <w:rPr>
          <w:rFonts w:ascii="Times New Roman" w:eastAsiaTheme="minorEastAsia" w:hAnsi="Times New Roman" w:cs="Times New Roman"/>
          <w:sz w:val="24"/>
          <w:szCs w:val="24"/>
          <w:lang w:eastAsia="uk-UA"/>
        </w:rPr>
        <w:t xml:space="preserve">зміна складу і властивостей атмосферного повітря в результаті надходження або утворення в ньому фізичних, біологічних факторів і (або) хімічних </w:t>
      </w:r>
      <w:proofErr w:type="spellStart"/>
      <w:r w:rsidRPr="009C61FC">
        <w:rPr>
          <w:rFonts w:ascii="Times New Roman" w:eastAsiaTheme="minorEastAsia" w:hAnsi="Times New Roman" w:cs="Times New Roman"/>
          <w:sz w:val="24"/>
          <w:szCs w:val="24"/>
          <w:lang w:eastAsia="uk-UA"/>
        </w:rPr>
        <w:t>сполук</w:t>
      </w:r>
      <w:proofErr w:type="spellEnd"/>
      <w:r w:rsidRPr="009C61FC">
        <w:rPr>
          <w:rFonts w:ascii="Times New Roman" w:eastAsiaTheme="minorEastAsia" w:hAnsi="Times New Roman" w:cs="Times New Roman"/>
          <w:sz w:val="24"/>
          <w:szCs w:val="24"/>
          <w:lang w:eastAsia="uk-UA"/>
        </w:rPr>
        <w:t xml:space="preserve">, що можуть несприятливо впливати на здоров'я людини та стан навколишнього природного середовища.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Викиди забруднюючих речовин та парникових газів </w:t>
      </w:r>
      <w:r w:rsidRPr="009C61FC">
        <w:rPr>
          <w:rFonts w:ascii="Times New Roman" w:eastAsiaTheme="minorEastAsia" w:hAnsi="Times New Roman" w:cs="Times New Roman"/>
          <w:i/>
          <w:iCs/>
          <w:sz w:val="24"/>
          <w:szCs w:val="24"/>
          <w:lang w:eastAsia="uk-UA"/>
        </w:rPr>
        <w:t xml:space="preserve">- </w:t>
      </w:r>
      <w:r w:rsidRPr="009C61FC">
        <w:rPr>
          <w:rFonts w:ascii="Times New Roman" w:eastAsiaTheme="minorEastAsia" w:hAnsi="Times New Roman" w:cs="Times New Roman"/>
          <w:sz w:val="24"/>
          <w:szCs w:val="24"/>
          <w:lang w:eastAsia="uk-UA"/>
        </w:rPr>
        <w:t xml:space="preserve">надходження в атмосферне повітря забруднюючих речовин та парникових газів або їхніх сумішей.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Забруднююча речовина </w:t>
      </w:r>
      <w:r w:rsidRPr="009C61FC">
        <w:rPr>
          <w:rFonts w:ascii="Times New Roman" w:eastAsiaTheme="minorEastAsia" w:hAnsi="Times New Roman" w:cs="Times New Roman"/>
          <w:sz w:val="24"/>
          <w:szCs w:val="24"/>
          <w:lang w:eastAsia="uk-UA"/>
        </w:rPr>
        <w:t xml:space="preserve">- речовина хімічного або біологічного походження, що присутня або надходить в атмосферне повітря і може прямо або опосередковано справляти негативний вплив на здоров'я людини та стан навколишнього природного середовища.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Парниковий газ</w:t>
      </w:r>
      <w:r w:rsidRPr="009C61FC">
        <w:rPr>
          <w:rFonts w:ascii="Times New Roman" w:eastAsiaTheme="minorEastAsia" w:hAnsi="Times New Roman" w:cs="Times New Roman"/>
          <w:i/>
          <w:iCs/>
          <w:sz w:val="24"/>
          <w:szCs w:val="24"/>
          <w:lang w:eastAsia="uk-UA"/>
        </w:rPr>
        <w:t xml:space="preserve"> </w:t>
      </w:r>
      <w:r w:rsidRPr="009C61FC">
        <w:rPr>
          <w:rFonts w:ascii="Times New Roman" w:eastAsiaTheme="minorEastAsia" w:hAnsi="Times New Roman" w:cs="Times New Roman"/>
          <w:sz w:val="24"/>
          <w:szCs w:val="24"/>
          <w:lang w:eastAsia="uk-UA"/>
        </w:rPr>
        <w:t xml:space="preserve">- газ, який затримує інфрачервоне випромінювання земної поверхні, що призводить до глобального потепління на планеті. До основних парникових газів належать: двоокис вуглецю, метан, оксид азоту, </w:t>
      </w:r>
      <w:proofErr w:type="spellStart"/>
      <w:r w:rsidRPr="009C61FC">
        <w:rPr>
          <w:rFonts w:ascii="Times New Roman" w:eastAsiaTheme="minorEastAsia" w:hAnsi="Times New Roman" w:cs="Times New Roman"/>
          <w:sz w:val="24"/>
          <w:szCs w:val="24"/>
          <w:lang w:eastAsia="uk-UA"/>
        </w:rPr>
        <w:t>гідрофторовуглеці</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перфторвуглеці</w:t>
      </w:r>
      <w:proofErr w:type="spellEnd"/>
      <w:r w:rsidRPr="009C61FC">
        <w:rPr>
          <w:rFonts w:ascii="Times New Roman" w:eastAsiaTheme="minorEastAsia" w:hAnsi="Times New Roman" w:cs="Times New Roman"/>
          <w:sz w:val="24"/>
          <w:szCs w:val="24"/>
          <w:lang w:eastAsia="uk-UA"/>
        </w:rPr>
        <w:t xml:space="preserve"> та </w:t>
      </w:r>
      <w:proofErr w:type="spellStart"/>
      <w:r w:rsidRPr="009C61FC">
        <w:rPr>
          <w:rFonts w:ascii="Times New Roman" w:eastAsiaTheme="minorEastAsia" w:hAnsi="Times New Roman" w:cs="Times New Roman"/>
          <w:sz w:val="24"/>
          <w:szCs w:val="24"/>
          <w:lang w:eastAsia="uk-UA"/>
        </w:rPr>
        <w:t>гексафторид</w:t>
      </w:r>
      <w:proofErr w:type="spellEnd"/>
      <w:r w:rsidRPr="009C61FC">
        <w:rPr>
          <w:rFonts w:ascii="Times New Roman" w:eastAsiaTheme="minorEastAsia" w:hAnsi="Times New Roman" w:cs="Times New Roman"/>
          <w:sz w:val="24"/>
          <w:szCs w:val="24"/>
          <w:lang w:eastAsia="uk-UA"/>
        </w:rPr>
        <w:t xml:space="preserve"> сірки.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Питомі викиди </w:t>
      </w:r>
      <w:r w:rsidRPr="009C61FC">
        <w:rPr>
          <w:rFonts w:ascii="Times New Roman" w:eastAsiaTheme="minorEastAsia" w:hAnsi="Times New Roman" w:cs="Times New Roman"/>
          <w:i/>
          <w:iCs/>
          <w:sz w:val="24"/>
          <w:szCs w:val="24"/>
          <w:lang w:eastAsia="uk-UA"/>
        </w:rPr>
        <w:t xml:space="preserve">- </w:t>
      </w:r>
      <w:r w:rsidRPr="009C61FC">
        <w:rPr>
          <w:rFonts w:ascii="Times New Roman" w:eastAsiaTheme="minorEastAsia" w:hAnsi="Times New Roman" w:cs="Times New Roman"/>
          <w:sz w:val="24"/>
          <w:szCs w:val="24"/>
          <w:lang w:eastAsia="uk-UA"/>
        </w:rPr>
        <w:t xml:space="preserve">викиди забруднюючих речовин та парникових газів, які надходять у повітря від споживання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пального двигунами внутрішнього згоряння транспортних засобів.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Загальна частина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Державне статистичне спостереження за викидами забруднюючих речовин та парникових газів у повітря від пересувних джерел (транспортних засобів) здійснюється з метою отримання повної та достовірної статистичної інформації про забруднення атмосфери як для національних потреб, так і для відображення стану виконання міжнародних зобов'язань країни у зв'язку з ратифікацією </w:t>
      </w:r>
      <w:r w:rsidRPr="009C61FC">
        <w:rPr>
          <w:rFonts w:ascii="Times New Roman" w:eastAsiaTheme="minorEastAsia" w:hAnsi="Times New Roman" w:cs="Times New Roman"/>
          <w:color w:val="0000FF"/>
          <w:sz w:val="24"/>
          <w:szCs w:val="24"/>
          <w:lang w:eastAsia="uk-UA"/>
        </w:rPr>
        <w:t>Конвенції про транскордонне забруднення повітря на великі відстані</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Стокгольмської конвенції про стійкі органічні забруднювачі</w:t>
      </w:r>
      <w:r w:rsidRPr="009C61FC">
        <w:rPr>
          <w:rFonts w:ascii="Times New Roman" w:eastAsiaTheme="minorEastAsia" w:hAnsi="Times New Roman" w:cs="Times New Roman"/>
          <w:sz w:val="24"/>
          <w:szCs w:val="24"/>
          <w:lang w:eastAsia="uk-UA"/>
        </w:rPr>
        <w:t xml:space="preserve"> і </w:t>
      </w:r>
      <w:r w:rsidRPr="009C61FC">
        <w:rPr>
          <w:rFonts w:ascii="Times New Roman" w:eastAsiaTheme="minorEastAsia" w:hAnsi="Times New Roman" w:cs="Times New Roman"/>
          <w:color w:val="0000FF"/>
          <w:sz w:val="24"/>
          <w:szCs w:val="24"/>
          <w:lang w:eastAsia="uk-UA"/>
        </w:rPr>
        <w:t>Рамкової конвенції Організації Об'єднаних Націй про зміну клімату</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 xml:space="preserve">Основним завданням проведення цього державного статистичного спостереження є визначення (шляхом розрахунків за встановленою методикою) обсягів викидів забруднюючих речовин та парникових газів у повітря від використання пересувних транспортних засобів (автомобілів, автобусів, залізничних потягів, повітряних, морських та річкових суден, промислової, сільськогосподарської, будівельної та іншої техніки), які перебувають у власності юридичних та фізичних осіб.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Протягом 1999 - 2006 рр. розрахунки викидів забруднюючих речовин у повітря від транспорту здійснювалися за трьома окремими методиками: </w:t>
      </w:r>
      <w:r w:rsidRPr="009C61FC">
        <w:rPr>
          <w:rFonts w:ascii="Times New Roman" w:eastAsiaTheme="minorEastAsia" w:hAnsi="Times New Roman" w:cs="Times New Roman"/>
          <w:color w:val="0000FF"/>
          <w:sz w:val="24"/>
          <w:szCs w:val="24"/>
          <w:lang w:eastAsia="uk-UA"/>
        </w:rPr>
        <w:t>Методикою розрахунку викидів забруднюючих речовин у повітря від автотранспорту, що перебуває у приватній власності населення</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Методикою розрахунку викидів забруднюючих речовин у повітря автотранспортом, який використовується суб'єктами господарської діяльності та іншими юридичними особами всіх форм власності</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Методикою розрахунку викидів забруднюючих речовин у повітря від авіаційного, водного та залізничного транспорту</w:t>
      </w:r>
      <w:r w:rsidRPr="009C61FC">
        <w:rPr>
          <w:rFonts w:ascii="Times New Roman" w:eastAsiaTheme="minorEastAsia" w:hAnsi="Times New Roman" w:cs="Times New Roman"/>
          <w:sz w:val="24"/>
          <w:szCs w:val="24"/>
          <w:lang w:eastAsia="uk-UA"/>
        </w:rPr>
        <w:t xml:space="preserve">. В основу цих розрахунків покладено статистичні дані щодо споживання палива двигунами внутрішнього згоряння автотранспорту юридичних і фізичних осіб, залізничного, водного та авіаційного транспорту, а також питомі викиди 6 хімічних речовин (оксиди вуглецю та азоту, вуглеводні, діоксид сірки, леткі органічні сполуки, сажа), що надходять у повітря від 1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використаного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 2007 р. до вищевказаних </w:t>
      </w:r>
      <w:proofErr w:type="spellStart"/>
      <w:r w:rsidRPr="009C61FC">
        <w:rPr>
          <w:rFonts w:ascii="Times New Roman" w:eastAsiaTheme="minorEastAsia" w:hAnsi="Times New Roman" w:cs="Times New Roman"/>
          <w:sz w:val="24"/>
          <w:szCs w:val="24"/>
          <w:lang w:eastAsia="uk-UA"/>
        </w:rPr>
        <w:t>методик</w:t>
      </w:r>
      <w:proofErr w:type="spellEnd"/>
      <w:r w:rsidRPr="009C61FC">
        <w:rPr>
          <w:rFonts w:ascii="Times New Roman" w:eastAsiaTheme="minorEastAsia" w:hAnsi="Times New Roman" w:cs="Times New Roman"/>
          <w:sz w:val="24"/>
          <w:szCs w:val="24"/>
          <w:lang w:eastAsia="uk-UA"/>
        </w:rPr>
        <w:t xml:space="preserve"> внесені суттєві зміни і доповнення, а також був розроблений новий порядок розрахунку, яким передбачене охоплення статистичним обліком викидів забруднюючих речовин та парникових газів, що надходять у повітря від діяльності виробничої,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Роботи з удосконалення </w:t>
      </w:r>
      <w:proofErr w:type="spellStart"/>
      <w:r w:rsidRPr="009C61FC">
        <w:rPr>
          <w:rFonts w:ascii="Times New Roman" w:eastAsiaTheme="minorEastAsia" w:hAnsi="Times New Roman" w:cs="Times New Roman"/>
          <w:sz w:val="24"/>
          <w:szCs w:val="24"/>
          <w:lang w:eastAsia="uk-UA"/>
        </w:rPr>
        <w:t>методик</w:t>
      </w:r>
      <w:proofErr w:type="spellEnd"/>
      <w:r w:rsidRPr="009C61FC">
        <w:rPr>
          <w:rFonts w:ascii="Times New Roman" w:eastAsiaTheme="minorEastAsia" w:hAnsi="Times New Roman" w:cs="Times New Roman"/>
          <w:sz w:val="24"/>
          <w:szCs w:val="24"/>
          <w:lang w:eastAsia="uk-UA"/>
        </w:rPr>
        <w:t xml:space="preserve">, за якими проводиться державне статистичне спостереження за викидами забруднюючих речовин у повітря від транспортних засобів, виконані відповідно до </w:t>
      </w:r>
      <w:r w:rsidRPr="009C61FC">
        <w:rPr>
          <w:rFonts w:ascii="Times New Roman" w:eastAsiaTheme="minorEastAsia" w:hAnsi="Times New Roman" w:cs="Times New Roman"/>
          <w:color w:val="0000FF"/>
          <w:sz w:val="24"/>
          <w:szCs w:val="24"/>
          <w:lang w:eastAsia="uk-UA"/>
        </w:rPr>
        <w:t>Плану дій на 2007 рік щодо реалізації Стратегії розвитку державної статистики на період до 2008 року</w:t>
      </w:r>
      <w:r w:rsidRPr="009C61FC">
        <w:rPr>
          <w:rFonts w:ascii="Times New Roman" w:eastAsiaTheme="minorEastAsia" w:hAnsi="Times New Roman" w:cs="Times New Roman"/>
          <w:sz w:val="24"/>
          <w:szCs w:val="24"/>
          <w:lang w:eastAsia="uk-UA"/>
        </w:rPr>
        <w:t xml:space="preserve"> та зумовлені зростаючим попитом і потребами користувачів у надійній статистичній інформації щодо антропогенного навантаження на атмосферне повітря.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Удосконалення </w:t>
      </w:r>
      <w:proofErr w:type="spellStart"/>
      <w:r w:rsidRPr="009C61FC">
        <w:rPr>
          <w:rFonts w:ascii="Times New Roman" w:eastAsiaTheme="minorEastAsia" w:hAnsi="Times New Roman" w:cs="Times New Roman"/>
          <w:sz w:val="24"/>
          <w:szCs w:val="24"/>
          <w:lang w:eastAsia="uk-UA"/>
        </w:rPr>
        <w:t>методик</w:t>
      </w:r>
      <w:proofErr w:type="spellEnd"/>
      <w:r w:rsidRPr="009C61FC">
        <w:rPr>
          <w:rFonts w:ascii="Times New Roman" w:eastAsiaTheme="minorEastAsia" w:hAnsi="Times New Roman" w:cs="Times New Roman"/>
          <w:sz w:val="24"/>
          <w:szCs w:val="24"/>
          <w:lang w:eastAsia="uk-UA"/>
        </w:rPr>
        <w:t xml:space="preserve"> здійснювалось з урахуванням CORINAIR, як у напрямі розширення переліку хімічних речовин, включаючи парникові гази, так і у напрямі поширення статистичного спостереження на виробничу, сільськогосподарську, будівельну та іншу техніку, що належить юридичним і фізичним особам, з урахуванням можливостей використання у розрахунках додаткових, більш надійних та якісних джерел статистичної інформації щодо споживання палива транспортними засобами населення.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За удосконаленими та новим розрахунками передбачається визначення обсягів надходження у повітря забруднюючих речовин та парникових газів, до яких, зокрема, належать: оксид вуглецю, аміак, метан, оксид азоту, сажа, діоксид азоту, діоксид сірки, свинець, вуглекислий газ, неметанові леткі органічні сполуки, </w:t>
      </w: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Базовою інформацією для розрахунку викидів забруднюючих речовин та парникових газів є статистична інформація щодо обсягів використання пересувними транспортними засобами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бензину авіаційного, палива бензинового реактивного, палива реактивного типу гас, гасу для технічних цілей, мазутів топкових важких), передбачена державними статистичними спостереженнями, та питомі викиди забруднюючих речовин і парникових газів в атмосферу від споживання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палива, рекомендовані Міністерством охорони навколишнього природного середовища.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Викиди свинцю визначаються тільки від споживання етильованого бензину. Частка етильованого бензину в загальній кількості спожитого бензину доводиться щорічно до </w:t>
      </w:r>
      <w:r w:rsidRPr="009C61FC">
        <w:rPr>
          <w:rFonts w:ascii="Times New Roman" w:eastAsiaTheme="minorEastAsia" w:hAnsi="Times New Roman" w:cs="Times New Roman"/>
          <w:sz w:val="24"/>
          <w:szCs w:val="24"/>
          <w:lang w:eastAsia="uk-UA"/>
        </w:rPr>
        <w:lastRenderedPageBreak/>
        <w:t xml:space="preserve">територіальних органів державної статистики Держкомстатом. Викиди вуглекислого газу від транспортних засобів визначаються тільки від використання бензину та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палива бензинового реактивного, бензину авіаційного, палива реактивного типу гас та від гасу для технічних цілей.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від транспортних засобів проводиться щорічно у розрізі об'єктів адміністративно-територіального устрою України відповідно до КОАТУУ, за видами економічної діяльності відповідно до </w:t>
      </w:r>
      <w:r w:rsidRPr="009C61FC">
        <w:rPr>
          <w:rFonts w:ascii="Times New Roman" w:eastAsiaTheme="minorEastAsia" w:hAnsi="Times New Roman" w:cs="Times New Roman"/>
          <w:color w:val="0000FF"/>
          <w:sz w:val="24"/>
          <w:szCs w:val="24"/>
          <w:lang w:eastAsia="uk-UA"/>
        </w:rPr>
        <w:t>КВЕД</w:t>
      </w:r>
      <w:r w:rsidRPr="009C61FC">
        <w:rPr>
          <w:rFonts w:ascii="Times New Roman" w:eastAsiaTheme="minorEastAsia" w:hAnsi="Times New Roman" w:cs="Times New Roman"/>
          <w:sz w:val="24"/>
          <w:szCs w:val="24"/>
          <w:lang w:eastAsia="uk-UA"/>
        </w:rPr>
        <w:t xml:space="preserve">, організаційно-правовими формами господарювання відповідно до </w:t>
      </w:r>
      <w:r w:rsidRPr="009C61FC">
        <w:rPr>
          <w:rFonts w:ascii="Times New Roman" w:eastAsiaTheme="minorEastAsia" w:hAnsi="Times New Roman" w:cs="Times New Roman"/>
          <w:color w:val="0000FF"/>
          <w:sz w:val="24"/>
          <w:szCs w:val="24"/>
          <w:lang w:eastAsia="uk-UA"/>
        </w:rPr>
        <w:t>КОПФГ</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 Розрахунок викидів забруднюючих речовин та парникових газів у повітря від транспортних засобів, що перебувають у приватній власності населення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1.1. Вхідна інформація для проведення розрахунку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Вхідними даними для проведення розрахунків обсягів викидів забруднюючих речовин та парникових газів у повітря від транспортних засобів населення є: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кількість транспортних засобів, які знаходяться у приватній власності населення у містах, селищах міського типу та сільській місцевості (за місцем їхньої реєстрації);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середньорічне споживання палива одним транспортним засобом;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чисельність населення у регіоні,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питомі викиди забруднюючих речовин та парникових газів.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i/>
          <w:iCs/>
          <w:sz w:val="27"/>
          <w:szCs w:val="27"/>
          <w:lang w:eastAsia="uk-UA"/>
        </w:rPr>
        <w:t xml:space="preserve">1.1.1. Кількість транспортних засобів, які знаходяться у приватній власності населення у містах, селищах міського типу та сільській місцевості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Кількість транспортних засобів, які знаходяться у приватній власності населення у конкретних містах, селищах міського типу та сільській місцевості, визначається розрахунковим шляхом, виходячи із середньорічної чисельності наявного населення у відповідному адміністративно-територіальному об'єкті та усередненої кількості транспортних засобів, які припадають на 1000 осіб наявного населення у регіоні (області, АР Крим).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Усереднена кількість транспортних засобів, які перебувають у приватній власності населення, у розрахунку на 1000 осіб наявного населення у регіоні визначається щорічно, виходячи із даних адміністративної звітності Міністерства внутрішніх справ за </w:t>
      </w:r>
      <w:r w:rsidRPr="009C61FC">
        <w:rPr>
          <w:rFonts w:ascii="Times New Roman" w:eastAsiaTheme="minorEastAsia" w:hAnsi="Times New Roman" w:cs="Times New Roman"/>
          <w:color w:val="0000FF"/>
          <w:sz w:val="24"/>
          <w:szCs w:val="24"/>
          <w:lang w:eastAsia="uk-UA"/>
        </w:rPr>
        <w:t xml:space="preserve">формою N 4-ТЗ "Звіт про кількість та технічний стан автомобілів, автобусів, </w:t>
      </w:r>
      <w:proofErr w:type="spellStart"/>
      <w:r w:rsidRPr="009C61FC">
        <w:rPr>
          <w:rFonts w:ascii="Times New Roman" w:eastAsiaTheme="minorEastAsia" w:hAnsi="Times New Roman" w:cs="Times New Roman"/>
          <w:color w:val="0000FF"/>
          <w:sz w:val="24"/>
          <w:szCs w:val="24"/>
          <w:lang w:eastAsia="uk-UA"/>
        </w:rPr>
        <w:t>мототранспорту</w:t>
      </w:r>
      <w:proofErr w:type="spellEnd"/>
      <w:r w:rsidRPr="009C61FC">
        <w:rPr>
          <w:rFonts w:ascii="Times New Roman" w:eastAsiaTheme="minorEastAsia" w:hAnsi="Times New Roman" w:cs="Times New Roman"/>
          <w:color w:val="0000FF"/>
          <w:sz w:val="24"/>
          <w:szCs w:val="24"/>
          <w:lang w:eastAsia="uk-UA"/>
        </w:rPr>
        <w:t xml:space="preserve"> і причепів (напівпричепів)"</w:t>
      </w:r>
      <w:r w:rsidRPr="009C61FC">
        <w:rPr>
          <w:rFonts w:ascii="Times New Roman" w:eastAsiaTheme="minorEastAsia" w:hAnsi="Times New Roman" w:cs="Times New Roman"/>
          <w:sz w:val="24"/>
          <w:szCs w:val="24"/>
          <w:lang w:eastAsia="uk-UA"/>
        </w:rPr>
        <w:t xml:space="preserve"> щодо кількості транспортних засобів, які належать населенню регіону, та середньорічної чисельності наявного населення, яке проживає у регіоні, отриманої з</w:t>
      </w:r>
      <w:r w:rsidRPr="009C61FC">
        <w:rPr>
          <w:rFonts w:ascii="Times New Roman" w:eastAsiaTheme="minorEastAsia" w:hAnsi="Times New Roman" w:cs="Times New Roman"/>
          <w:b/>
          <w:bCs/>
          <w:sz w:val="24"/>
          <w:szCs w:val="24"/>
          <w:lang w:eastAsia="uk-UA"/>
        </w:rPr>
        <w:t xml:space="preserve"> </w:t>
      </w:r>
      <w:r w:rsidRPr="009C61FC">
        <w:rPr>
          <w:rFonts w:ascii="Times New Roman" w:eastAsiaTheme="minorEastAsia" w:hAnsi="Times New Roman" w:cs="Times New Roman"/>
          <w:sz w:val="24"/>
          <w:szCs w:val="24"/>
          <w:lang w:eastAsia="uk-UA"/>
        </w:rPr>
        <w:t xml:space="preserve">форми державного статистичного спостереження N А-1 "Загальні підсумки природного руху населення".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Показник визначається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тзс</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н</w:t>
            </w:r>
            <w:r w:rsidRPr="009C61FC">
              <w:rPr>
                <w:rFonts w:ascii="Times New Roman" w:eastAsiaTheme="minorEastAsia" w:hAnsi="Times New Roman" w:cs="Times New Roman"/>
                <w:sz w:val="24"/>
                <w:szCs w:val="24"/>
                <w:lang w:eastAsia="uk-UA"/>
              </w:rPr>
              <w:t xml:space="preserve"> · 1000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тзс</w:t>
      </w:r>
      <w:proofErr w:type="spellEnd"/>
      <w:r w:rsidRPr="009C61FC">
        <w:rPr>
          <w:rFonts w:ascii="Times New Roman" w:eastAsiaTheme="minorEastAsia" w:hAnsi="Times New Roman" w:cs="Times New Roman"/>
          <w:sz w:val="24"/>
          <w:szCs w:val="24"/>
          <w:lang w:eastAsia="uk-UA"/>
        </w:rPr>
        <w:t xml:space="preserve"> - усереднена кількість транспортних засобів у приватній власності населення, у розрахунку на 1000 осіб наявного населення регіону;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lang w:eastAsia="uk-UA"/>
        </w:rPr>
        <w:t xml:space="preserve"> - сумарна кількість транспортних засобів у приватній власності населення у регіоні, за даними </w:t>
      </w:r>
      <w:r w:rsidRPr="009C61FC">
        <w:rPr>
          <w:rFonts w:ascii="Times New Roman" w:eastAsiaTheme="minorEastAsia" w:hAnsi="Times New Roman" w:cs="Times New Roman"/>
          <w:color w:val="0000FF"/>
          <w:sz w:val="24"/>
          <w:szCs w:val="24"/>
          <w:lang w:eastAsia="uk-UA"/>
        </w:rPr>
        <w:t xml:space="preserve">форми N 4-ТЗ "Звіт про кількість та технічний стан автомобілів, автобусів, </w:t>
      </w:r>
      <w:proofErr w:type="spellStart"/>
      <w:r w:rsidRPr="009C61FC">
        <w:rPr>
          <w:rFonts w:ascii="Times New Roman" w:eastAsiaTheme="minorEastAsia" w:hAnsi="Times New Roman" w:cs="Times New Roman"/>
          <w:color w:val="0000FF"/>
          <w:sz w:val="24"/>
          <w:szCs w:val="24"/>
          <w:lang w:eastAsia="uk-UA"/>
        </w:rPr>
        <w:t>мототранспорту</w:t>
      </w:r>
      <w:proofErr w:type="spellEnd"/>
      <w:r w:rsidRPr="009C61FC">
        <w:rPr>
          <w:rFonts w:ascii="Times New Roman" w:eastAsiaTheme="minorEastAsia" w:hAnsi="Times New Roman" w:cs="Times New Roman"/>
          <w:color w:val="0000FF"/>
          <w:sz w:val="24"/>
          <w:szCs w:val="24"/>
          <w:lang w:eastAsia="uk-UA"/>
        </w:rPr>
        <w:t xml:space="preserve"> і причепів (напівпричепів)"</w:t>
      </w:r>
      <w:r w:rsidRPr="009C61FC">
        <w:rPr>
          <w:rFonts w:ascii="Times New Roman" w:eastAsiaTheme="minorEastAsia" w:hAnsi="Times New Roman" w:cs="Times New Roman"/>
          <w:sz w:val="24"/>
          <w:szCs w:val="24"/>
          <w:lang w:eastAsia="uk-UA"/>
        </w:rPr>
        <w:t xml:space="preserve"> (рядок 300 "Автомобілі - всього", графа 1 "Всього" розділу 3 "Групування власних автомобілів залежно від часу перебування в експлуатації").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н</w:t>
      </w:r>
      <w:r w:rsidRPr="009C61FC">
        <w:rPr>
          <w:rFonts w:ascii="Times New Roman" w:eastAsiaTheme="minorEastAsia" w:hAnsi="Times New Roman" w:cs="Times New Roman"/>
          <w:sz w:val="24"/>
          <w:szCs w:val="24"/>
          <w:lang w:eastAsia="uk-UA"/>
        </w:rPr>
        <w:t xml:space="preserve"> - середньорічна чисельність наявного населення у регіоні, розрахована за даними форми N А-1 "Загальні підсумки природного руху населення".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Визначення кількості транспортних засобів, які перебувають у приватній власності населення, у розрізі населених пунктів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н,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тзс</w:t>
            </w:r>
            <w:proofErr w:type="spellEnd"/>
            <w:r w:rsidRPr="009C61FC">
              <w:rPr>
                <w:rFonts w:ascii="Times New Roman" w:eastAsiaTheme="minorEastAsia" w:hAnsi="Times New Roman" w:cs="Times New Roman"/>
                <w:sz w:val="24"/>
                <w:szCs w:val="24"/>
                <w:lang w:eastAsia="uk-UA"/>
              </w:rPr>
              <w:t xml:space="preserve"> / 1000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кількість транспортних засобів у приватній власності населення, у розрізі населених пунктів;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н,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середньорічна чисельність наявного населення у населеному пункті за даними форми N А-1 (по міських поселеннях) та за даними Всеукраїнського перепису населення 2001 р. (по сільській місцевості);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тзс</w:t>
      </w:r>
      <w:proofErr w:type="spellEnd"/>
      <w:r w:rsidRPr="009C61FC">
        <w:rPr>
          <w:rFonts w:ascii="Times New Roman" w:eastAsiaTheme="minorEastAsia" w:hAnsi="Times New Roman" w:cs="Times New Roman"/>
          <w:sz w:val="24"/>
          <w:szCs w:val="24"/>
          <w:lang w:eastAsia="uk-UA"/>
        </w:rPr>
        <w:t xml:space="preserve"> - усереднена кількість транспортних засобів у приватній власності населення, у розрахунку на 1000 осіб наявного населення регіону.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Показник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округлюється до цілого числа за правилами округлення.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Середньорічне споживання палива одним транспортним засобом населення у регіоні визначається виходячи із узагальнених по регіону даних щодо реалізації населенню палива, які містяться у </w:t>
      </w:r>
      <w:r w:rsidRPr="009C61FC">
        <w:rPr>
          <w:rFonts w:ascii="Times New Roman" w:eastAsiaTheme="minorEastAsia" w:hAnsi="Times New Roman" w:cs="Times New Roman"/>
          <w:color w:val="0000FF"/>
          <w:sz w:val="24"/>
          <w:szCs w:val="24"/>
          <w:lang w:eastAsia="uk-UA"/>
        </w:rPr>
        <w:t>формі державного статистичного спостереження N 3-торг "Звіт про продаж і запаси товарів у торговій мережі та мережі ресторанного господарства"</w:t>
      </w:r>
      <w:r w:rsidRPr="009C61FC">
        <w:rPr>
          <w:rFonts w:ascii="Times New Roman" w:eastAsiaTheme="minorEastAsia" w:hAnsi="Times New Roman" w:cs="Times New Roman"/>
          <w:sz w:val="24"/>
          <w:szCs w:val="24"/>
          <w:lang w:eastAsia="uk-UA"/>
        </w:rPr>
        <w:t xml:space="preserve"> (рядки - 500 "Бензин автомобільний", 504 "Дизельне паливо (</w:t>
      </w:r>
      <w:proofErr w:type="spellStart"/>
      <w:r w:rsidRPr="009C61FC">
        <w:rPr>
          <w:rFonts w:ascii="Times New Roman" w:eastAsiaTheme="minorEastAsia" w:hAnsi="Times New Roman" w:cs="Times New Roman"/>
          <w:sz w:val="24"/>
          <w:szCs w:val="24"/>
          <w:lang w:eastAsia="uk-UA"/>
        </w:rPr>
        <w:t>газойль</w:t>
      </w:r>
      <w:proofErr w:type="spellEnd"/>
      <w:r w:rsidRPr="009C61FC">
        <w:rPr>
          <w:rFonts w:ascii="Times New Roman" w:eastAsiaTheme="minorEastAsia" w:hAnsi="Times New Roman" w:cs="Times New Roman"/>
          <w:sz w:val="24"/>
          <w:szCs w:val="24"/>
          <w:lang w:eastAsia="uk-UA"/>
        </w:rPr>
        <w:t xml:space="preserve">)", 505 "Стиснений газ для автомобілів", 506 "Скраплений газ для автомобілів", графа 1 "Продано (відпущено) у роздріб населенню, </w:t>
      </w:r>
      <w:proofErr w:type="spellStart"/>
      <w:r w:rsidRPr="009C61FC">
        <w:rPr>
          <w:rFonts w:ascii="Times New Roman" w:eastAsiaTheme="minorEastAsia" w:hAnsi="Times New Roman" w:cs="Times New Roman"/>
          <w:sz w:val="24"/>
          <w:szCs w:val="24"/>
          <w:lang w:eastAsia="uk-UA"/>
        </w:rPr>
        <w:t>тонн</w:t>
      </w:r>
      <w:proofErr w:type="spellEnd"/>
      <w:r w:rsidRPr="009C61FC">
        <w:rPr>
          <w:rFonts w:ascii="Times New Roman" w:eastAsiaTheme="minorEastAsia" w:hAnsi="Times New Roman" w:cs="Times New Roman"/>
          <w:sz w:val="24"/>
          <w:szCs w:val="24"/>
          <w:lang w:eastAsia="uk-UA"/>
        </w:rPr>
        <w:t xml:space="preserve">" розділу V "Продаж світлих нафтопродуктів і газу") та щодо сумарної кількості транспортних засобів, що перебувають у приватній власності населення, за даними </w:t>
      </w:r>
      <w:r w:rsidRPr="009C61FC">
        <w:rPr>
          <w:rFonts w:ascii="Times New Roman" w:eastAsiaTheme="minorEastAsia" w:hAnsi="Times New Roman" w:cs="Times New Roman"/>
          <w:color w:val="0000FF"/>
          <w:sz w:val="24"/>
          <w:szCs w:val="24"/>
          <w:lang w:eastAsia="uk-UA"/>
        </w:rPr>
        <w:t xml:space="preserve">форми адміністративної звітності N 4-ТЗ "Звіт про кількість та технічний стан автомобілів, автобусів, </w:t>
      </w:r>
      <w:proofErr w:type="spellStart"/>
      <w:r w:rsidRPr="009C61FC">
        <w:rPr>
          <w:rFonts w:ascii="Times New Roman" w:eastAsiaTheme="minorEastAsia" w:hAnsi="Times New Roman" w:cs="Times New Roman"/>
          <w:color w:val="0000FF"/>
          <w:sz w:val="24"/>
          <w:szCs w:val="24"/>
          <w:lang w:eastAsia="uk-UA"/>
        </w:rPr>
        <w:t>мототранспорту</w:t>
      </w:r>
      <w:proofErr w:type="spellEnd"/>
      <w:r w:rsidRPr="009C61FC">
        <w:rPr>
          <w:rFonts w:ascii="Times New Roman" w:eastAsiaTheme="minorEastAsia" w:hAnsi="Times New Roman" w:cs="Times New Roman"/>
          <w:color w:val="0000FF"/>
          <w:sz w:val="24"/>
          <w:szCs w:val="24"/>
          <w:lang w:eastAsia="uk-UA"/>
        </w:rPr>
        <w:t xml:space="preserve"> і причепів (напівпричепів)"</w:t>
      </w:r>
      <w:r w:rsidRPr="009C61FC">
        <w:rPr>
          <w:rFonts w:ascii="Times New Roman" w:eastAsiaTheme="minorEastAsia" w:hAnsi="Times New Roman" w:cs="Times New Roman"/>
          <w:sz w:val="24"/>
          <w:szCs w:val="24"/>
          <w:lang w:eastAsia="uk-UA"/>
        </w:rPr>
        <w:t xml:space="preserve"> - рядок 300 "Автомобілі - всього", графа 1 "Всього" розділу 3 "Групування власних автомобілів залежно від часу перебування в експлуатації".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i/>
          <w:iCs/>
          <w:sz w:val="27"/>
          <w:szCs w:val="27"/>
          <w:lang w:eastAsia="uk-UA"/>
        </w:rPr>
        <w:t xml:space="preserve">1.1.2. Середньорічне споживання палива одним транспортним засобом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Середньорічне споживання палива одним транспортним засобом населення у регіоні визначається за формулою: </w:t>
      </w:r>
    </w:p>
    <w:tbl>
      <w:tblPr>
        <w:tblW w:w="7500" w:type="dxa"/>
        <w:jc w:val="center"/>
        <w:tblCellSpacing w:w="18" w:type="dxa"/>
        <w:tblCellMar>
          <w:top w:w="48" w:type="dxa"/>
          <w:left w:w="48" w:type="dxa"/>
          <w:bottom w:w="48" w:type="dxa"/>
          <w:right w:w="48" w:type="dxa"/>
        </w:tblCellMar>
        <w:tblLook w:val="04A0" w:firstRow="1" w:lastRow="0" w:firstColumn="1" w:lastColumn="0" w:noHBand="0" w:noVBand="1"/>
      </w:tblPr>
      <w:tblGrid>
        <w:gridCol w:w="468"/>
        <w:gridCol w:w="328"/>
        <w:gridCol w:w="672"/>
        <w:gridCol w:w="6032"/>
      </w:tblGrid>
      <w:tr w:rsidR="009C61FC" w:rsidRPr="009C61FC" w:rsidTr="00AF4D78">
        <w:trPr>
          <w:tblCellSpacing w:w="18" w:type="dxa"/>
          <w:jc w:val="center"/>
        </w:trPr>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і</w:t>
            </w:r>
            <w:r w:rsidRPr="009C61FC">
              <w:rPr>
                <w:rFonts w:ascii="Times New Roman" w:eastAsiaTheme="minorEastAsia" w:hAnsi="Times New Roman" w:cs="Times New Roman"/>
                <w:sz w:val="24"/>
                <w:szCs w:val="24"/>
                <w:lang w:eastAsia="uk-UA"/>
              </w:rPr>
              <w:t> </w:t>
            </w:r>
          </w:p>
        </w:tc>
        <w:tc>
          <w:tcPr>
            <w:tcW w:w="4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center"/>
        </w:trPr>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П</w:t>
            </w:r>
            <w:r w:rsidRPr="009C61FC">
              <w:rPr>
                <w:rFonts w:ascii="Times New Roman" w:eastAsiaTheme="minorEastAsia" w:hAnsi="Times New Roman" w:cs="Times New Roman"/>
                <w:sz w:val="24"/>
                <w:szCs w:val="24"/>
                <w:vertAlign w:val="subscript"/>
                <w:lang w:eastAsia="uk-UA"/>
              </w:rPr>
              <w:t xml:space="preserve"> i1тз</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____ </w:t>
            </w:r>
          </w:p>
        </w:tc>
        <w:tc>
          <w:tcPr>
            <w:tcW w:w="4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 </w:t>
            </w:r>
          </w:p>
        </w:tc>
      </w:tr>
      <w:tr w:rsidR="009C61FC" w:rsidRPr="009C61FC" w:rsidTr="00AF4D78">
        <w:trPr>
          <w:tblCellSpacing w:w="18" w:type="dxa"/>
          <w:jc w:val="center"/>
        </w:trPr>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lang w:eastAsia="uk-UA"/>
              </w:rPr>
              <w:t> </w:t>
            </w:r>
          </w:p>
        </w:tc>
        <w:tc>
          <w:tcPr>
            <w:tcW w:w="425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i1тз</w:t>
      </w:r>
      <w:r w:rsidRPr="009C61FC">
        <w:rPr>
          <w:rFonts w:ascii="Times New Roman" w:eastAsiaTheme="minorEastAsia" w:hAnsi="Times New Roman" w:cs="Times New Roman"/>
          <w:sz w:val="24"/>
          <w:szCs w:val="24"/>
          <w:lang w:eastAsia="uk-UA"/>
        </w:rPr>
        <w:t xml:space="preserve"> - середньорічне споживання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1 транспортним засобом у регіоні;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кількість проданого (відпущеного вроздріб) населенню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у регіоні (рядки 500; 504; 505 і 506, графа 1, </w:t>
      </w:r>
      <w:r w:rsidRPr="009C61FC">
        <w:rPr>
          <w:rFonts w:ascii="Times New Roman" w:eastAsiaTheme="minorEastAsia" w:hAnsi="Times New Roman" w:cs="Times New Roman"/>
          <w:color w:val="0000FF"/>
          <w:sz w:val="24"/>
          <w:szCs w:val="24"/>
          <w:lang w:eastAsia="uk-UA"/>
        </w:rPr>
        <w:t>форма N 3-торг</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lang w:eastAsia="uk-UA"/>
        </w:rPr>
        <w:t xml:space="preserve"> - сумарна кількість транспортних засобів у приватній власності населення у регіоні (рядок 300, графа 1, </w:t>
      </w:r>
      <w:r w:rsidRPr="009C61FC">
        <w:rPr>
          <w:rFonts w:ascii="Times New Roman" w:eastAsiaTheme="minorEastAsia" w:hAnsi="Times New Roman" w:cs="Times New Roman"/>
          <w:color w:val="0000FF"/>
          <w:sz w:val="24"/>
          <w:szCs w:val="24"/>
          <w:lang w:eastAsia="uk-UA"/>
        </w:rPr>
        <w:t>форма N 4-ТЗ</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i/>
          <w:iCs/>
          <w:sz w:val="27"/>
          <w:szCs w:val="27"/>
          <w:lang w:eastAsia="uk-UA"/>
        </w:rPr>
        <w:t xml:space="preserve">1.1.3. Питомі викиди забруднюючих речовин та парникових газів і коефіцієнти технічного стану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Питомі викиди забруднюючих речовин в атмосферу від споживання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палива та коефіцієнти впливу технічного стану автотранспорту на них наводяться нижче.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1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Питомі викиди забруднюючих речовин і парникових газів та коефіцієнти технічного стану транспортних засобів</w:t>
      </w:r>
      <w:r w:rsidRPr="009C61FC">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58"/>
        <w:gridCol w:w="794"/>
        <w:gridCol w:w="996"/>
        <w:gridCol w:w="1221"/>
        <w:gridCol w:w="1112"/>
        <w:gridCol w:w="795"/>
        <w:gridCol w:w="996"/>
        <w:gridCol w:w="1221"/>
        <w:gridCol w:w="1130"/>
      </w:tblGrid>
      <w:tr w:rsidR="009C61FC" w:rsidRPr="009C61FC" w:rsidTr="00AF4D78">
        <w:trPr>
          <w:tblCellSpacing w:w="18" w:type="dxa"/>
          <w:jc w:val="center"/>
        </w:trPr>
        <w:tc>
          <w:tcPr>
            <w:tcW w:w="14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Забруднюючі речовини та парникові гази </w:t>
            </w:r>
          </w:p>
        </w:tc>
        <w:tc>
          <w:tcPr>
            <w:tcW w:w="1750" w:type="pct"/>
            <w:gridSpan w:val="4"/>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Види палива (кг/т) </w:t>
            </w:r>
          </w:p>
        </w:tc>
        <w:tc>
          <w:tcPr>
            <w:tcW w:w="1750" w:type="pct"/>
            <w:gridSpan w:val="4"/>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Коефіцієнт впливу технічного стану транспортних засобів на питомі викиди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тс</w:t>
            </w:r>
            <w:proofErr w:type="spellEnd"/>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(дизельне паливо)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бензин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(дизельне паливо)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газ скраплений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газ стиснений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вуглецю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36,2 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87,7 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1,7 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азоту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27,4 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сірки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4,3 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Неметанові леткі органічні сполуки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53,0 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25,7 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22,7 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Метан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0,94 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0,083 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0,96 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1,8 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Оксид азоту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0,165 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Аміак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0,004 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Сажа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1,8 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Вуглекислий газ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3183 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center"/>
        </w:trPr>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Свинець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0,013 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bl>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1.2. Розрахунок обсягів споживання палива транспортними засобами населення у населених пунктах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Річні обсяги використання палива (бензин автомобільний,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(дизельне паливо), стиснений і скраплений газ для автомобілів) (П</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на потреби транспортних засобів, що перебувають (зареєстровані) у приватній власності населення, у розрізі населених пунктів розраховуються на підставі даних про середньорічне споживання палива одним транспортним засобом (П</w:t>
      </w:r>
      <w:r w:rsidRPr="009C61FC">
        <w:rPr>
          <w:rFonts w:ascii="Times New Roman" w:eastAsiaTheme="minorEastAsia" w:hAnsi="Times New Roman" w:cs="Times New Roman"/>
          <w:sz w:val="24"/>
          <w:szCs w:val="24"/>
          <w:vertAlign w:val="subscript"/>
          <w:lang w:eastAsia="uk-UA"/>
        </w:rPr>
        <w:t xml:space="preserve"> i1тз</w:t>
      </w:r>
      <w:r w:rsidRPr="009C61FC">
        <w:rPr>
          <w:rFonts w:ascii="Times New Roman" w:eastAsiaTheme="minorEastAsia" w:hAnsi="Times New Roman" w:cs="Times New Roman"/>
          <w:sz w:val="24"/>
          <w:szCs w:val="24"/>
          <w:lang w:eastAsia="uk-UA"/>
        </w:rPr>
        <w:t>) у регіоні та кількості транспортних засобів у приватній власності населення, у розрізі населених пунктів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П</w:t>
            </w:r>
            <w:r w:rsidRPr="009C61FC">
              <w:rPr>
                <w:rFonts w:ascii="Times New Roman" w:eastAsiaTheme="minorEastAsia" w:hAnsi="Times New Roman" w:cs="Times New Roman"/>
                <w:sz w:val="24"/>
                <w:szCs w:val="24"/>
                <w:vertAlign w:val="subscript"/>
                <w:lang w:eastAsia="uk-UA"/>
              </w:rPr>
              <w:t xml:space="preserve"> i1тз</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річне споживання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транспортними засобами у приватній власності населення,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тз</w:t>
      </w:r>
      <w:proofErr w:type="spellEnd"/>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кількість транспортних засобів у приватній власності населення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i1тз</w:t>
      </w:r>
      <w:r w:rsidRPr="009C61FC">
        <w:rPr>
          <w:rFonts w:ascii="Times New Roman" w:eastAsiaTheme="minorEastAsia" w:hAnsi="Times New Roman" w:cs="Times New Roman"/>
          <w:sz w:val="24"/>
          <w:szCs w:val="24"/>
          <w:lang w:eastAsia="uk-UA"/>
        </w:rPr>
        <w:t xml:space="preserve"> - середньорічне споживання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одним транспортним засобом у приватній власності населення.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1.3. Розрахунок викидів забруднюючих речовин та парникових газів у повітря від використання окремих видів палива транспортними засобами населення у населених пунктах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у повітря від використання окремих видів палива у населених пунктах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jiтс</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(5),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оксиду вуглецю, аміаку, метану, оксиду азоту, сажі, діоксиду азоту, діоксиду сірки, свинцю, неметанових летких органічних </w:t>
      </w:r>
      <w:proofErr w:type="spellStart"/>
      <w:r w:rsidRPr="009C61FC">
        <w:rPr>
          <w:rFonts w:ascii="Times New Roman" w:eastAsiaTheme="minorEastAsia" w:hAnsi="Times New Roman" w:cs="Times New Roman"/>
          <w:sz w:val="24"/>
          <w:szCs w:val="24"/>
          <w:lang w:eastAsia="uk-UA"/>
        </w:rPr>
        <w:t>сполук</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пірену</w:t>
      </w:r>
      <w:proofErr w:type="spellEnd"/>
      <w:r w:rsidRPr="009C61FC">
        <w:rPr>
          <w:rFonts w:ascii="Times New Roman" w:eastAsiaTheme="minorEastAsia" w:hAnsi="Times New Roman" w:cs="Times New Roman"/>
          <w:sz w:val="24"/>
          <w:szCs w:val="24"/>
          <w:lang w:eastAsia="uk-UA"/>
        </w:rPr>
        <w:t xml:space="preserve"> (крім свинцю) від використання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річне споживання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(бензину автомобільного,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стисненого і скрапленого природного газу) на потреби транспортних засобів у приватній власності населення,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w:t>
      </w:r>
      <w:proofErr w:type="spellEnd"/>
      <w:r w:rsidRPr="009C61FC">
        <w:rPr>
          <w:rFonts w:ascii="Times New Roman" w:eastAsiaTheme="minorEastAsia" w:hAnsi="Times New Roman" w:cs="Times New Roman"/>
          <w:sz w:val="24"/>
          <w:szCs w:val="24"/>
          <w:lang w:eastAsia="uk-UA"/>
        </w:rPr>
        <w:t xml:space="preserve"> - усереднений питомий викид j-ї забруднюючої речовини (крім свинцю) та парникового газу для транспортних засобів населення від споживання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jiтс</w:t>
      </w:r>
      <w:proofErr w:type="spellEnd"/>
      <w:r w:rsidRPr="009C61FC">
        <w:rPr>
          <w:rFonts w:ascii="Times New Roman" w:eastAsiaTheme="minorEastAsia" w:hAnsi="Times New Roman" w:cs="Times New Roman"/>
          <w:sz w:val="24"/>
          <w:szCs w:val="24"/>
          <w:lang w:eastAsia="uk-UA"/>
        </w:rPr>
        <w:t xml:space="preserve"> - коефіцієнти впливу технічного стану автотранспорту на викиди j-ї забруднюючої речовини від використання </w:t>
      </w:r>
      <w:r w:rsidRPr="009C61FC">
        <w:rPr>
          <w:rFonts w:ascii="Times New Roman" w:eastAsiaTheme="minorEastAsia" w:hAnsi="Times New Roman" w:cs="Times New Roman"/>
          <w:i/>
          <w:iCs/>
          <w:sz w:val="24"/>
          <w:szCs w:val="24"/>
          <w:lang w:eastAsia="uk-UA"/>
        </w:rPr>
        <w:t>i</w:t>
      </w:r>
      <w:r w:rsidRPr="009C61FC">
        <w:rPr>
          <w:rFonts w:ascii="Times New Roman" w:eastAsiaTheme="minorEastAsia" w:hAnsi="Times New Roman" w:cs="Times New Roman"/>
          <w:sz w:val="24"/>
          <w:szCs w:val="24"/>
          <w:lang w:eastAsia="uk-UA"/>
        </w:rPr>
        <w:t xml:space="preserve">-го виду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Викиди свинцю визначаються тільки для етильованого бензину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1</w:t>
            </w:r>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3</w:t>
            </w:r>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jiтс</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обсяги викидів свинцю;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П</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iнп</w:t>
      </w:r>
      <w:proofErr w:type="spellEnd"/>
      <w:r w:rsidRPr="009C61FC">
        <w:rPr>
          <w:rFonts w:ascii="Times New Roman" w:eastAsiaTheme="minorEastAsia" w:hAnsi="Times New Roman" w:cs="Times New Roman"/>
          <w:sz w:val="24"/>
          <w:szCs w:val="24"/>
          <w:lang w:eastAsia="uk-UA"/>
        </w:rPr>
        <w:t xml:space="preserve"> - річне споживання бензину автомобільного на потреби транспортних засобів у приватній власності населення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1</w:t>
      </w:r>
      <w:r w:rsidRPr="009C61FC">
        <w:rPr>
          <w:rFonts w:ascii="Times New Roman" w:eastAsiaTheme="minorEastAsia" w:hAnsi="Times New Roman" w:cs="Times New Roman"/>
          <w:sz w:val="24"/>
          <w:szCs w:val="24"/>
          <w:lang w:eastAsia="uk-UA"/>
        </w:rPr>
        <w:t xml:space="preserve"> - усереднений питомий викид свинцю від транспортних засобів, які працюють на бензині;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3</w:t>
      </w:r>
      <w:r w:rsidRPr="009C61FC">
        <w:rPr>
          <w:rFonts w:ascii="Times New Roman" w:eastAsiaTheme="minorEastAsia" w:hAnsi="Times New Roman" w:cs="Times New Roman"/>
          <w:sz w:val="24"/>
          <w:szCs w:val="24"/>
          <w:lang w:eastAsia="uk-UA"/>
        </w:rPr>
        <w:t xml:space="preserve"> - частка етильованого бензину у загальній кількості спожитого бензину;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jiтс</w:t>
      </w:r>
      <w:proofErr w:type="spellEnd"/>
      <w:r w:rsidRPr="009C61FC">
        <w:rPr>
          <w:rFonts w:ascii="Times New Roman" w:eastAsiaTheme="minorEastAsia" w:hAnsi="Times New Roman" w:cs="Times New Roman"/>
          <w:sz w:val="24"/>
          <w:szCs w:val="24"/>
          <w:lang w:eastAsia="uk-UA"/>
        </w:rPr>
        <w:t xml:space="preserve"> - коефіцієнти впливу технічного стану автотранспорту на викиди свинцю від використання бензину.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1.4. Розрахунок викидів забруднюючих речовин та парникових газів у повітря від використання усіх видів палива транспортними засобами населення у населених пунктах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окремих забруднюючих речовин та парникових газів у повітря від роботи транспортних засобів, що перебувають у приватній власності населення у населеному пункті,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j</w:t>
            </w:r>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1696C0D2" wp14:editId="306FEE17">
                  <wp:extent cx="247650" cy="361950"/>
                  <wp:effectExtent l="0" t="0" r="0" b="0"/>
                  <wp:docPr id="2" name="Рисунок 2" descr="C:\Users\t.borovich\AppData\Roaming\Liga70\Client\Session\fin4257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in42578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(7),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j</w:t>
      </w:r>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від використання усіх видів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від використання i-го</w:t>
      </w:r>
      <w:r w:rsidRPr="009C61FC">
        <w:rPr>
          <w:rFonts w:ascii="Times New Roman" w:eastAsiaTheme="minorEastAsia" w:hAnsi="Times New Roman" w:cs="Times New Roman"/>
          <w:i/>
          <w:iCs/>
          <w:sz w:val="24"/>
          <w:szCs w:val="24"/>
          <w:lang w:eastAsia="uk-UA"/>
        </w:rPr>
        <w:t xml:space="preserve"> </w:t>
      </w:r>
      <w:r w:rsidRPr="009C61FC">
        <w:rPr>
          <w:rFonts w:ascii="Times New Roman" w:eastAsiaTheme="minorEastAsia" w:hAnsi="Times New Roman" w:cs="Times New Roman"/>
          <w:sz w:val="24"/>
          <w:szCs w:val="24"/>
          <w:lang w:eastAsia="uk-UA"/>
        </w:rPr>
        <w:t xml:space="preserve">виду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j = 1, 2, 3, ..., 11 - забруднюючі речовини та парникові гази;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i = 1, 2, 3, 4 - види палива.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1.5. Розрахунок сумарних викидів забруднюючих речовин та парникових газів у повітря від роботи транспортних засобів населення у населених пунктах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сумарних викидів забруднюючих речовин та парникових газів (крім вуглекислого газу) у повітря від роботи транспортних засобів, що перебувають у приватній власності населення у населеному пункті,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заг</w:t>
            </w:r>
            <w:proofErr w:type="spellEnd"/>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510DABDD" wp14:editId="14873061">
                  <wp:extent cx="285750" cy="390525"/>
                  <wp:effectExtent l="0" t="0" r="0" b="9525"/>
                  <wp:docPr id="3" name="Рисунок 3" descr="C:\Users\t.borovich\AppData\Roaming\Liga70\Client\Session\fin42578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in42578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2157ACB7" wp14:editId="3B89BA27">
                  <wp:extent cx="247650" cy="361950"/>
                  <wp:effectExtent l="0" t="0" r="0" b="0"/>
                  <wp:docPr id="4" name="Рисунок 4" descr="C:\Users\t.borovich\AppData\Roaming\Liga70\Client\Session\fin4257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in42578_img_00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(8),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заг</w:t>
      </w:r>
      <w:proofErr w:type="spellEnd"/>
      <w:r w:rsidRPr="009C61FC">
        <w:rPr>
          <w:rFonts w:ascii="Times New Roman" w:eastAsiaTheme="minorEastAsia" w:hAnsi="Times New Roman" w:cs="Times New Roman"/>
          <w:sz w:val="24"/>
          <w:szCs w:val="24"/>
          <w:lang w:eastAsia="uk-UA"/>
        </w:rPr>
        <w:t xml:space="preserve"> - сумарні обсяги викидів усіх забруднюючих речовин та парникових газів (крім вуглекислого газу) від транспортних засобів, які перебувають у приватній власності населення у населеному пункті;</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від i</w:t>
      </w:r>
      <w:r w:rsidRPr="009C61FC">
        <w:rPr>
          <w:rFonts w:ascii="Times New Roman" w:eastAsiaTheme="minorEastAsia" w:hAnsi="Times New Roman" w:cs="Times New Roman"/>
          <w:i/>
          <w:iCs/>
          <w:sz w:val="24"/>
          <w:szCs w:val="24"/>
          <w:lang w:eastAsia="uk-UA"/>
        </w:rPr>
        <w:t>-</w:t>
      </w:r>
      <w:r w:rsidRPr="009C61FC">
        <w:rPr>
          <w:rFonts w:ascii="Times New Roman" w:eastAsiaTheme="minorEastAsia" w:hAnsi="Times New Roman" w:cs="Times New Roman"/>
          <w:sz w:val="24"/>
          <w:szCs w:val="24"/>
          <w:lang w:eastAsia="uk-UA"/>
        </w:rPr>
        <w:t xml:space="preserve">го виду палива, використаного транспортними засобами, які перебувають у приватній власності населення у міських поселеннях та сільській місцевості;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j = 1, 2, 3, ..., 10 - забруднюючі речовини та парникові гази (крім вуглекислого газу);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i = 1, 2, 3, 4 - види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вуглекислого газу від роботи транспортних засобів населення у населеному пункті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998"/>
        <w:gridCol w:w="50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2DB7438F" wp14:editId="6AA7932C">
                  <wp:extent cx="247650" cy="361950"/>
                  <wp:effectExtent l="0" t="0" r="0" b="0"/>
                  <wp:docPr id="5" name="Рисунок 5" descr="C:\Users\t.borovich\AppData\Roaming\Liga70\Client\Session\fin4257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in42578_IMG_00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iвг</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(9),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lang w:eastAsia="uk-UA"/>
        </w:rPr>
        <w:t xml:space="preserve"> - викиди вуглекислого газу від використання бензину та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iвг</w:t>
      </w:r>
      <w:proofErr w:type="spellEnd"/>
      <w:r w:rsidRPr="009C61FC">
        <w:rPr>
          <w:rFonts w:ascii="Times New Roman" w:eastAsiaTheme="minorEastAsia" w:hAnsi="Times New Roman" w:cs="Times New Roman"/>
          <w:sz w:val="24"/>
          <w:szCs w:val="24"/>
          <w:lang w:eastAsia="uk-UA"/>
        </w:rPr>
        <w:t xml:space="preserve"> - викиди вуглекислого газу від використання i-го виду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i = 1, 2 - види палива: бензин автомобільний,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(дизельне паливо).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1.6. Розрахунок узагальнених викидів забруднюючих речовин та парникових газів у повітря від транспортних засобів населення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Узагальнені викиди забруднюючих речовин та парникових газів у повітря від роботи транспортних засобів, що перебувають у приватній власності населення у районах, областях, містах обласного та республіканського підпорядкування, включаючи підпорядковані їм населені пункти, та по країні у цілому, розраховуються на основі отриманих даних у розрізі населених пунктів відповідно до територіального входження за КОАТУУ.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 Розрахунок викидів забруднюючих речовин та парникових газів у повітря від автотранспорту, який використовується юридичними особами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2.1. Вхідна інформація для проведення розрахунку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Вхідними даними для проведення розрахунків обсягів викидів забруднюючих речовин та парникових газів у повітря від автотранспорту суб'єктів господарювання є: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витрати палива на пробіг і транспортну роботу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питомі викиди забруднюючих речовин та парникових газів з одиниці використаного палива та коефіцієнти технічного стану автотранспорту.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2.1.1. Витрати палива на пробіг і транспортну роботу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роботи автотранспорту юридичних осіб використовується бензин,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(дизельне паливо), зріджений нафтовий газ, стиснений природний газ. Джерелом інформації про витрати палива на пробіг та транспортну роботу автотранспорту є дані розділу 2 "Витрати палива на експлуатацію автомобілів" державного статистичного спостереження за </w:t>
      </w:r>
      <w:r w:rsidRPr="009C61FC">
        <w:rPr>
          <w:rFonts w:ascii="Times New Roman" w:eastAsiaTheme="minorEastAsia" w:hAnsi="Times New Roman" w:cs="Times New Roman"/>
          <w:color w:val="0000FF"/>
          <w:sz w:val="24"/>
          <w:szCs w:val="24"/>
          <w:lang w:eastAsia="uk-UA"/>
        </w:rPr>
        <w:t>формою N 2-тр (річна) "Звіт про роботу автотранспорту"</w:t>
      </w:r>
      <w:r w:rsidRPr="009C61FC">
        <w:rPr>
          <w:rFonts w:ascii="Times New Roman" w:eastAsiaTheme="minorEastAsia" w:hAnsi="Times New Roman" w:cs="Times New Roman"/>
          <w:sz w:val="24"/>
          <w:szCs w:val="24"/>
          <w:lang w:eastAsia="uk-UA"/>
        </w:rPr>
        <w:t xml:space="preserve">, яку подають юридичні особи та їх відокремлені підрозділи, що експлуатують автомобільний транспорт.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Витрати палива на експлуатацію автомобілів у звіті за </w:t>
      </w:r>
      <w:r w:rsidRPr="009C61FC">
        <w:rPr>
          <w:rFonts w:ascii="Times New Roman" w:eastAsiaTheme="minorEastAsia" w:hAnsi="Times New Roman" w:cs="Times New Roman"/>
          <w:color w:val="0000FF"/>
          <w:sz w:val="24"/>
          <w:szCs w:val="24"/>
          <w:lang w:eastAsia="uk-UA"/>
        </w:rPr>
        <w:t>формою N 2-тр (річна)</w:t>
      </w:r>
      <w:r w:rsidRPr="009C61FC">
        <w:rPr>
          <w:rFonts w:ascii="Times New Roman" w:eastAsiaTheme="minorEastAsia" w:hAnsi="Times New Roman" w:cs="Times New Roman"/>
          <w:sz w:val="24"/>
          <w:szCs w:val="24"/>
          <w:lang w:eastAsia="uk-UA"/>
        </w:rPr>
        <w:t xml:space="preserve"> наводяться в одиницях об'єму. Для їх переведення у вагові одиниці застосовуються такі коефіцієнти (К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бензину - 0,74 кг/л;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- 0,85 кг/л;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газу скрапленого - 0,55 кг/л;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для газу стисненого - 0,59 кг/м</w:t>
      </w:r>
      <w:r w:rsidRPr="009C61FC">
        <w:rPr>
          <w:rFonts w:ascii="Times New Roman" w:eastAsiaTheme="minorEastAsia" w:hAnsi="Times New Roman" w:cs="Times New Roman"/>
          <w:sz w:val="24"/>
          <w:szCs w:val="24"/>
          <w:vertAlign w:val="superscript"/>
          <w:lang w:eastAsia="uk-UA"/>
        </w:rPr>
        <w:t xml:space="preserve"> 3</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обсягів витраченого палива m-суб'єктом господарської діяльності за групами автотранспорту у вагових одиницях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Q</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маса витраченого i-го виду палива к-ю групою автотранспорту m-го суб'єкта господарської діяльності (т);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Q</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кількість витраченого i-го виду палива (графи 1 - 4 розділу 2 звіту за </w:t>
      </w:r>
      <w:r w:rsidRPr="009C61FC">
        <w:rPr>
          <w:rFonts w:ascii="Times New Roman" w:eastAsiaTheme="minorEastAsia" w:hAnsi="Times New Roman" w:cs="Times New Roman"/>
          <w:color w:val="0000FF"/>
          <w:sz w:val="24"/>
          <w:szCs w:val="24"/>
          <w:lang w:eastAsia="uk-UA"/>
        </w:rPr>
        <w:t>формою N 2-тр (річна)</w:t>
      </w:r>
      <w:r w:rsidRPr="009C61FC">
        <w:rPr>
          <w:rFonts w:ascii="Times New Roman" w:eastAsiaTheme="minorEastAsia" w:hAnsi="Times New Roman" w:cs="Times New Roman"/>
          <w:sz w:val="24"/>
          <w:szCs w:val="24"/>
          <w:lang w:eastAsia="uk-UA"/>
        </w:rPr>
        <w:t xml:space="preserve"> к-ю групою автотранспорту m-го суб'єкта господарської діяльності (рядки: 902, 905, 907, 908, 911 цього ж розділу звіту) в одиницях об'єму (тис. л, тис. м</w:t>
      </w:r>
      <w:r w:rsidRPr="009C61FC">
        <w:rPr>
          <w:rFonts w:ascii="Times New Roman" w:eastAsiaTheme="minorEastAsia" w:hAnsi="Times New Roman" w:cs="Times New Roman"/>
          <w:sz w:val="24"/>
          <w:szCs w:val="24"/>
          <w:vertAlign w:val="superscript"/>
          <w:lang w:eastAsia="uk-UA"/>
        </w:rPr>
        <w:t xml:space="preserve"> 3</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коефіцієнти переведення у вагові одиниці i-го виду палива (кг/л, кг/м</w:t>
      </w:r>
      <w:r w:rsidRPr="009C61FC">
        <w:rPr>
          <w:rFonts w:ascii="Times New Roman" w:eastAsiaTheme="minorEastAsia" w:hAnsi="Times New Roman" w:cs="Times New Roman"/>
          <w:sz w:val="24"/>
          <w:szCs w:val="24"/>
          <w:vertAlign w:val="superscript"/>
          <w:lang w:eastAsia="uk-UA"/>
        </w:rPr>
        <w:t xml:space="preserve"> 3</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Викиди свинцю визначаються тільки для етильованого бензину. Частка етильованого бензину (К</w:t>
      </w:r>
      <w:r w:rsidRPr="009C61FC">
        <w:rPr>
          <w:rFonts w:ascii="Times New Roman" w:eastAsiaTheme="minorEastAsia" w:hAnsi="Times New Roman" w:cs="Times New Roman"/>
          <w:sz w:val="24"/>
          <w:szCs w:val="24"/>
          <w:vertAlign w:val="subscript"/>
          <w:lang w:eastAsia="uk-UA"/>
        </w:rPr>
        <w:t xml:space="preserve"> ет</w:t>
      </w:r>
      <w:r w:rsidRPr="009C61FC">
        <w:rPr>
          <w:rFonts w:ascii="Times New Roman" w:eastAsiaTheme="minorEastAsia" w:hAnsi="Times New Roman" w:cs="Times New Roman"/>
          <w:sz w:val="24"/>
          <w:szCs w:val="24"/>
          <w:lang w:eastAsia="uk-UA"/>
        </w:rPr>
        <w:t xml:space="preserve">) у загальній кількості спожитого бензину доводиться щорічно до територіальних органів статистики Держкомстатом. Обсяги використання етильованого бензину суб'єктами господарювання визначаються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Q</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ікm</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ет</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(11),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маса використаного етильованого бензину к-ю групою автотранспорту m-го суб'єкта господарювання;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Q</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загальний обсяг бензину, використаного к-ю групою автотранспорту m-го суб'єкта господарювання, тис. л;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коефіцієнт переведення у вагову одиницю (0,74 кг/л);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ет</w:t>
      </w:r>
      <w:r w:rsidRPr="009C61FC">
        <w:rPr>
          <w:rFonts w:ascii="Times New Roman" w:eastAsiaTheme="minorEastAsia" w:hAnsi="Times New Roman" w:cs="Times New Roman"/>
          <w:sz w:val="24"/>
          <w:szCs w:val="24"/>
          <w:lang w:eastAsia="uk-UA"/>
        </w:rPr>
        <w:t xml:space="preserve"> - частка етильованого бензину, яка визначається за даними статистики виробництва та статистики зовнішньої торгівлі.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2.1.2. Питомі викиди забруднюючих речовин та парникових газів і коефіцієнти технічного стану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розрахунку викидів забруднюючих речовин та парникових газів від автотранспорту юридичних осіб використовуються питомі викиди забруднюючих речовин в атмосферу від споживання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палива та коефіцієнти впливу технічного стану автотранспорту на них, що наводяться нижче (відповідно табл. 2, 3).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2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Питомі викиди забруднюючих речовин та парникових газів від автотранспорту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кг/т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4"/>
        <w:gridCol w:w="920"/>
        <w:gridCol w:w="711"/>
        <w:gridCol w:w="874"/>
        <w:gridCol w:w="578"/>
        <w:gridCol w:w="646"/>
        <w:gridCol w:w="501"/>
        <w:gridCol w:w="532"/>
        <w:gridCol w:w="550"/>
        <w:gridCol w:w="974"/>
        <w:gridCol w:w="646"/>
        <w:gridCol w:w="717"/>
        <w:gridCol w:w="1000"/>
      </w:tblGrid>
      <w:tr w:rsidR="009C61FC" w:rsidRPr="009C61FC" w:rsidTr="00AF4D78">
        <w:trPr>
          <w:tblCellSpacing w:w="18" w:type="dxa"/>
          <w:jc w:val="right"/>
        </w:trPr>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Групи автомобілів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Вид палива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Оксид вуглецю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Неметанові леткі органічні сполуки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Метан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Діоксид азоту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Сажа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Оксид азоту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Аміак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Вуглекислий газ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Діоксид сірки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Свинець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Бенз</w:t>
            </w:r>
            <w:proofErr w:type="spellEnd"/>
            <w:r w:rsidRPr="009C61FC">
              <w:rPr>
                <w:rFonts w:ascii="Times New Roman" w:eastAsiaTheme="minorEastAsia" w:hAnsi="Times New Roman" w:cs="Times New Roman"/>
                <w:sz w:val="20"/>
                <w:szCs w:val="20"/>
                <w:lang w:eastAsia="uk-UA"/>
              </w:rPr>
              <w:t>(а)</w:t>
            </w:r>
            <w:proofErr w:type="spellStart"/>
            <w:r w:rsidRPr="009C61FC">
              <w:rPr>
                <w:rFonts w:ascii="Times New Roman" w:eastAsiaTheme="minorEastAsia" w:hAnsi="Times New Roman" w:cs="Times New Roman"/>
                <w:sz w:val="20"/>
                <w:szCs w:val="20"/>
                <w:lang w:eastAsia="uk-UA"/>
              </w:rPr>
              <w:t>пірен</w:t>
            </w:r>
            <w:proofErr w:type="spellEnd"/>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lastRenderedPageBreak/>
              <w:t>А</w:t>
            </w:r>
            <w:r w:rsidRPr="009C61FC">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Б</w:t>
            </w:r>
            <w:r w:rsidRPr="009C61F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w:t>
            </w:r>
            <w:r w:rsidRPr="009C61FC">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2</w:t>
            </w: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3</w:t>
            </w: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4</w:t>
            </w:r>
            <w:r w:rsidRPr="009C61F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5</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6</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7 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8</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9</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10</w:t>
            </w: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11</w:t>
            </w: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Вантажні автомобілі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197,8 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21,6 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36,2 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197,8 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21,6 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87,7 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27,4 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Пасажирські автобуси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205,5 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20,5 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37,4 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205,5 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49,2 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20,5 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88,6 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24,5 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26,5 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Пасажирські легкові автомобілі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53,0 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36,2 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0,083 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0,165 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87,7 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27,4 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Спеціальні автомобілі легкові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47,4 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0,8 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0,059 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36,2 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0,055 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0,188 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201,8 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25,7 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0,96 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87,7 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27,4 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Спеціальні автомобілі нелегкові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197,8 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28,5 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0,64 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21,6 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0,004 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3183 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0,013 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36,2 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8,16 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0,25 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3,85 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0,12 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3138 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4,3 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0,03 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197,8 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47,0 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21,6 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87,7 </w:t>
            </w:r>
          </w:p>
        </w:tc>
        <w:tc>
          <w:tcPr>
            <w:tcW w:w="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22,7 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27,4 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 </w:t>
            </w:r>
          </w:p>
        </w:tc>
      </w:tr>
    </w:tbl>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3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Коефіцієнти впливу технічного стану автотранспорту на питомі викиди забруднюючих речовин та парникових газів</w:t>
      </w:r>
      <w:r w:rsidRPr="009C61FC">
        <w:rPr>
          <w:rFonts w:ascii="Times New Roman" w:eastAsiaTheme="minorEastAsia" w:hAnsi="Times New Roman" w:cs="Times New Roman"/>
          <w:sz w:val="24"/>
          <w:szCs w:val="24"/>
          <w:lang w:eastAsia="uk-UA"/>
        </w:rPr>
        <w:t xml:space="preserve">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4"/>
        <w:gridCol w:w="920"/>
        <w:gridCol w:w="711"/>
        <w:gridCol w:w="874"/>
        <w:gridCol w:w="578"/>
        <w:gridCol w:w="646"/>
        <w:gridCol w:w="501"/>
        <w:gridCol w:w="532"/>
        <w:gridCol w:w="550"/>
        <w:gridCol w:w="974"/>
        <w:gridCol w:w="646"/>
        <w:gridCol w:w="717"/>
        <w:gridCol w:w="1000"/>
      </w:tblGrid>
      <w:tr w:rsidR="009C61FC" w:rsidRPr="009C61FC" w:rsidTr="00AF4D78">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Групи автомобілів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Вид палива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Оксид вуглецю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Неметанові леткі органічні сполуки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Метан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Діоксид азоту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Сажа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Оксид азоту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Аміак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Вуглекислий газ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Діоксид сірки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Свинець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Бенз</w:t>
            </w:r>
            <w:proofErr w:type="spellEnd"/>
            <w:r w:rsidRPr="009C61FC">
              <w:rPr>
                <w:rFonts w:ascii="Times New Roman" w:eastAsiaTheme="minorEastAsia" w:hAnsi="Times New Roman" w:cs="Times New Roman"/>
                <w:sz w:val="20"/>
                <w:szCs w:val="20"/>
                <w:lang w:eastAsia="uk-UA"/>
              </w:rPr>
              <w:t>(а)</w:t>
            </w:r>
            <w:proofErr w:type="spellStart"/>
            <w:r w:rsidRPr="009C61FC">
              <w:rPr>
                <w:rFonts w:ascii="Times New Roman" w:eastAsiaTheme="minorEastAsia" w:hAnsi="Times New Roman" w:cs="Times New Roman"/>
                <w:sz w:val="20"/>
                <w:szCs w:val="20"/>
                <w:lang w:eastAsia="uk-UA"/>
              </w:rPr>
              <w:t>пірен</w:t>
            </w:r>
            <w:proofErr w:type="spellEnd"/>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А</w:t>
            </w:r>
            <w:r w:rsidRPr="009C61FC">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Б</w:t>
            </w:r>
            <w:r w:rsidRPr="009C61FC">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w:t>
            </w: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2</w:t>
            </w: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3</w:t>
            </w: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4</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5</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6</w:t>
            </w:r>
            <w:r w:rsidRPr="009C61FC">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7 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8</w:t>
            </w:r>
            <w:r w:rsidRPr="009C61FC">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9</w:t>
            </w:r>
            <w:r w:rsidRPr="009C61FC">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10</w:t>
            </w:r>
            <w:r w:rsidRPr="009C61FC">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i/>
                <w:iCs/>
                <w:sz w:val="20"/>
                <w:szCs w:val="20"/>
                <w:lang w:eastAsia="uk-UA"/>
              </w:rPr>
              <w:t>11</w:t>
            </w:r>
            <w:r w:rsidRPr="009C61FC">
              <w:rPr>
                <w:rFonts w:ascii="Times New Roman" w:eastAsiaTheme="minorEastAsia" w:hAnsi="Times New Roman" w:cs="Times New Roman"/>
                <w:sz w:val="20"/>
                <w:szCs w:val="20"/>
                <w:lang w:eastAsia="uk-UA"/>
              </w:rPr>
              <w:t> </w:t>
            </w:r>
          </w:p>
        </w:tc>
      </w:tr>
      <w:tr w:rsidR="009C61FC" w:rsidRPr="009C61FC" w:rsidTr="00AF4D78">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Вантажні автомобілі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Пасажирські автобуси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Пасажирські легкові автомобілі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Спеціальні автомобілі легкові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Спеціальні автомобілі нелегкові </w:t>
            </w: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Бензин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0"/>
                <w:szCs w:val="20"/>
                <w:lang w:eastAsia="uk-UA"/>
              </w:rPr>
              <w:t>Газойлі</w:t>
            </w:r>
            <w:proofErr w:type="spellEnd"/>
            <w:r w:rsidRPr="009C61FC">
              <w:rPr>
                <w:rFonts w:ascii="Times New Roman" w:eastAsiaTheme="minorEastAsia" w:hAnsi="Times New Roman" w:cs="Times New Roman"/>
                <w:sz w:val="20"/>
                <w:szCs w:val="20"/>
                <w:lang w:eastAsia="uk-UA"/>
              </w:rPr>
              <w:t xml:space="preserve"> (дизельне паливо)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1,5 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1,4 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0,95 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скраплений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r w:rsidR="009C61FC" w:rsidRPr="009C61FC" w:rsidTr="00AF4D78">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Газ стиснений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1,7 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1,8 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0,9 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2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3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c>
          <w:tcPr>
            <w:tcW w:w="4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0"/>
                <w:szCs w:val="20"/>
                <w:lang w:eastAsia="uk-UA"/>
              </w:rPr>
              <w:t>1,0 </w:t>
            </w:r>
          </w:p>
        </w:tc>
      </w:tr>
    </w:tbl>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2.2. Розрахунок викидів забруднюючих речовин та парникових газів у повітря від автотранспорту юридичних осіб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у повітря (крім свинцю) від використання палива автотранспортом юридичних осіб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lang w:eastAsia="uk-UA"/>
              </w:rPr>
              <w:t xml:space="preserve"> = 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пвjiк</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тсjiк</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(крім свинцю) від спожитого палива i-го виду к-ю групою автотранспорту m-го суб'єкта господарської діяльності;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ікm</w:t>
      </w:r>
      <w:proofErr w:type="spellEnd"/>
      <w:r w:rsidRPr="009C61FC">
        <w:rPr>
          <w:rFonts w:ascii="Times New Roman" w:eastAsiaTheme="minorEastAsia" w:hAnsi="Times New Roman" w:cs="Times New Roman"/>
          <w:sz w:val="24"/>
          <w:szCs w:val="24"/>
          <w:lang w:eastAsia="uk-UA"/>
        </w:rPr>
        <w:t xml:space="preserve"> - обсяги спожитого палива i-го виду к-ю групою автотранспорту m-го суб'єкта господарської діяльності;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пвjiк</w:t>
      </w:r>
      <w:proofErr w:type="spellEnd"/>
      <w:r w:rsidRPr="009C61FC">
        <w:rPr>
          <w:rFonts w:ascii="Times New Roman" w:eastAsiaTheme="minorEastAsia" w:hAnsi="Times New Roman" w:cs="Times New Roman"/>
          <w:sz w:val="24"/>
          <w:szCs w:val="24"/>
          <w:lang w:eastAsia="uk-UA"/>
        </w:rPr>
        <w:t xml:space="preserve"> - питомі викиди j-ї забруднюючої речовини (крім свинцю) від використання палива i-го виду к-ю групою автотранспорту суб'єктів господарської діяльності;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тсjiк</w:t>
      </w:r>
      <w:proofErr w:type="spellEnd"/>
      <w:r w:rsidRPr="009C61FC">
        <w:rPr>
          <w:rFonts w:ascii="Times New Roman" w:eastAsiaTheme="minorEastAsia" w:hAnsi="Times New Roman" w:cs="Times New Roman"/>
          <w:sz w:val="24"/>
          <w:szCs w:val="24"/>
          <w:lang w:eastAsia="uk-UA"/>
        </w:rPr>
        <w:t xml:space="preserve"> - коефіцієнт впливу технічного стану на питомі викиди j-ї забруднюючої речовини (крім свинцю) від використання i-го виду палива к-ю групою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Викиди свинцю від використання етильованого бензину визначаються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пвjiк</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тсjiк</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(13),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обсяги викидів свинцю від споживання етильованого бензину к-ю групою автотранспорту m-го суб'єкта господарювання;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lang w:eastAsia="uk-UA"/>
        </w:rPr>
        <w:t xml:space="preserve"> - обсяги споживання етильованого бензину к-ю групою автотранспорту m-го суб'єкта господарювання;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пвjiк</w:t>
      </w:r>
      <w:proofErr w:type="spellEnd"/>
      <w:r w:rsidRPr="009C61FC">
        <w:rPr>
          <w:rFonts w:ascii="Times New Roman" w:eastAsiaTheme="minorEastAsia" w:hAnsi="Times New Roman" w:cs="Times New Roman"/>
          <w:sz w:val="24"/>
          <w:szCs w:val="24"/>
          <w:lang w:eastAsia="uk-UA"/>
        </w:rPr>
        <w:t xml:space="preserve"> - питомі викиди свинцю від споживання етильованого бензину к-ю групою автотранспорту;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тсjiк</w:t>
      </w:r>
      <w:proofErr w:type="spellEnd"/>
      <w:r w:rsidRPr="009C61FC">
        <w:rPr>
          <w:rFonts w:ascii="Times New Roman" w:eastAsiaTheme="minorEastAsia" w:hAnsi="Times New Roman" w:cs="Times New Roman"/>
          <w:sz w:val="24"/>
          <w:szCs w:val="24"/>
          <w:lang w:eastAsia="uk-UA"/>
        </w:rPr>
        <w:t xml:space="preserve"> - коефіцієнт впливу технічного стану к-ї групи автотранспорту на питомі викиди свинцю від споживання бензину.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2.3. Розрахунок викидів забруднюючих речовин та парникових газів у повітря від автотранспорту юридичних осіб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у населеному пункті здійснюється з використанням даних про обсяги викидів забруднюючих речовин та парникових газів автотранспортом суб'єктів господарювання, які знаходяться на території населеного пункту,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39C5F11A" wp14:editId="79BF3E6B">
                  <wp:extent cx="285750" cy="390525"/>
                  <wp:effectExtent l="0" t="0" r="0" b="9525"/>
                  <wp:docPr id="6" name="Рисунок 6" descr="C:\Users\t.borovich\AppData\Roaming\Liga70\Client\Session\fin42578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in42578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38CA961E" wp14:editId="4EEDD17E">
                  <wp:extent cx="247650" cy="361950"/>
                  <wp:effectExtent l="0" t="0" r="0" b="0"/>
                  <wp:docPr id="7" name="Рисунок 7" descr="C:\Users\t.borovich\AppData\Roaming\Liga70\Client\Session\FIN4257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IN42578_IMG_001.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148AAB63" wp14:editId="26DDBBEC">
                  <wp:extent cx="285750" cy="361950"/>
                  <wp:effectExtent l="0" t="0" r="0" b="0"/>
                  <wp:docPr id="8" name="Рисунок 8" descr="C:\Users\t.borovich\AppData\Roaming\Liga70\Client\Session\fin4257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fin42578_IMG_004.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237F271A" wp14:editId="600BC62B">
                  <wp:extent cx="323850" cy="323850"/>
                  <wp:effectExtent l="0" t="0" r="0" b="0"/>
                  <wp:docPr id="9" name="Рисунок 9" descr="C:\Users\t.borovich\AppData\Roaming\Liga70\Client\Session\fin4257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fin42578_IMG_005.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(14),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lang w:eastAsia="uk-UA"/>
        </w:rPr>
        <w:t xml:space="preserve"> - обсяги викидів забруднюючих речовин та парникових газів (крім вуглекислого газу) від автотранспорту, який експлуатується юридичними особами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jiкm</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(крім вуглекислого газу) від споживання i-го виду палива к-ю групою автотранспорту, який перебуває в експлуатації m-го суб'єкта господарської діяльності;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n - кількість суб'єктів господарської діяльності, які використовують автотранспорт на території населеного пункту.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вуглекислого газу в населених пунктах здійснюється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vertAlign w:val="subscript"/>
                <w:lang w:eastAsia="uk-UA"/>
              </w:rPr>
              <w:t>(</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vertAlign w:val="subscript"/>
                <w:lang w:eastAsia="uk-UA"/>
              </w:rPr>
              <w:t>)</w:t>
            </w:r>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3EBE4287" wp14:editId="240B05E5">
                  <wp:extent cx="247650" cy="361950"/>
                  <wp:effectExtent l="0" t="0" r="0" b="0"/>
                  <wp:docPr id="10" name="Рисунок 10" descr="C:\Users\t.borovich\AppData\Roaming\Liga70\Client\Session\fin42578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fin42578_img_003.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55EDD54B" wp14:editId="201C7371">
                  <wp:extent cx="285750" cy="361950"/>
                  <wp:effectExtent l="0" t="0" r="0" b="0"/>
                  <wp:docPr id="11" name="Рисунок 11" descr="C:\Users\t.borovich\AppData\Roaming\Liga70\Client\Session\FIN42578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FIN42578_IMG_004.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r w:rsidRPr="009C61FC">
              <w:rPr>
                <w:rFonts w:ascii="Times New Roman" w:eastAsiaTheme="minorEastAsia" w:hAnsi="Times New Roman" w:cs="Times New Roman"/>
                <w:noProof/>
                <w:sz w:val="24"/>
                <w:szCs w:val="24"/>
                <w:lang w:eastAsia="uk-UA"/>
              </w:rPr>
              <w:drawing>
                <wp:inline distT="0" distB="0" distL="0" distR="0" wp14:anchorId="7E857DAE" wp14:editId="62336EED">
                  <wp:extent cx="323850" cy="323850"/>
                  <wp:effectExtent l="0" t="0" r="0" b="0"/>
                  <wp:docPr id="12" name="Рисунок 12" descr="C:\Users\t.borovich\AppData\Roaming\Liga70\Client\Session\FIN42578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FIN42578_IMG_005.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vertAlign w:val="subscript"/>
                <w:lang w:eastAsia="uk-UA"/>
              </w:rPr>
              <w:t>(</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vertAlign w:val="subscript"/>
                <w:lang w:eastAsia="uk-UA"/>
              </w:rPr>
              <w:t>)</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(15),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нп</w:t>
      </w:r>
      <w:proofErr w:type="spellEnd"/>
      <w:r w:rsidRPr="009C61FC">
        <w:rPr>
          <w:rFonts w:ascii="Times New Roman" w:eastAsiaTheme="minorEastAsia" w:hAnsi="Times New Roman" w:cs="Times New Roman"/>
          <w:sz w:val="24"/>
          <w:szCs w:val="24"/>
          <w:vertAlign w:val="subscript"/>
          <w:lang w:eastAsia="uk-UA"/>
        </w:rPr>
        <w:t>(</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vertAlign w:val="subscript"/>
          <w:lang w:eastAsia="uk-UA"/>
        </w:rPr>
        <w:t>)</w:t>
      </w:r>
      <w:r w:rsidRPr="009C61FC">
        <w:rPr>
          <w:rFonts w:ascii="Times New Roman" w:eastAsiaTheme="minorEastAsia" w:hAnsi="Times New Roman" w:cs="Times New Roman"/>
          <w:sz w:val="24"/>
          <w:szCs w:val="24"/>
          <w:lang w:eastAsia="uk-UA"/>
        </w:rPr>
        <w:t xml:space="preserve"> - обсяги викидів вуглекислого газу від автотранспорту юридичних осіб у населеному пункті;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iкm</w:t>
      </w:r>
      <w:proofErr w:type="spellEnd"/>
      <w:r w:rsidRPr="009C61FC">
        <w:rPr>
          <w:rFonts w:ascii="Times New Roman" w:eastAsiaTheme="minorEastAsia" w:hAnsi="Times New Roman" w:cs="Times New Roman"/>
          <w:sz w:val="24"/>
          <w:szCs w:val="24"/>
          <w:vertAlign w:val="subscript"/>
          <w:lang w:eastAsia="uk-UA"/>
        </w:rPr>
        <w:t>(</w:t>
      </w:r>
      <w:proofErr w:type="spellStart"/>
      <w:r w:rsidRPr="009C61FC">
        <w:rPr>
          <w:rFonts w:ascii="Times New Roman" w:eastAsiaTheme="minorEastAsia" w:hAnsi="Times New Roman" w:cs="Times New Roman"/>
          <w:sz w:val="24"/>
          <w:szCs w:val="24"/>
          <w:vertAlign w:val="subscript"/>
          <w:lang w:eastAsia="uk-UA"/>
        </w:rPr>
        <w:t>вг</w:t>
      </w:r>
      <w:proofErr w:type="spellEnd"/>
      <w:r w:rsidRPr="009C61FC">
        <w:rPr>
          <w:rFonts w:ascii="Times New Roman" w:eastAsiaTheme="minorEastAsia" w:hAnsi="Times New Roman" w:cs="Times New Roman"/>
          <w:sz w:val="24"/>
          <w:szCs w:val="24"/>
          <w:vertAlign w:val="subscript"/>
          <w:lang w:eastAsia="uk-UA"/>
        </w:rPr>
        <w:t>)</w:t>
      </w:r>
      <w:r w:rsidRPr="009C61FC">
        <w:rPr>
          <w:rFonts w:ascii="Times New Roman" w:eastAsiaTheme="minorEastAsia" w:hAnsi="Times New Roman" w:cs="Times New Roman"/>
          <w:sz w:val="24"/>
          <w:szCs w:val="24"/>
          <w:lang w:eastAsia="uk-UA"/>
        </w:rPr>
        <w:t xml:space="preserve"> - обсяги викидів вуглекислого газу від використання бензину та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i = 1, 2 - види палива.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2.4. Розрахунок узагальнених даних щодо викидів забруднюючих речовин та парникових газів у повітря від автотранспорту юридичних осіб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Загальні обсяги викидів забруднюючих речовин та парникових газів від автотранспорту, який експлуатується суб'єктами господарювання, по районах, містах обласного та республіканського підпорядкування (з урахуванням підпорядкованих населених пунктів) визначаються як сума обсягів викидів окремих забруднюючих речовин та парникових газів по підпорядкованих адміністративно-територіальних одиницях відповідно до КОАТУУ.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Сумарні обсяги викидів забруднюючих речовин та парникових газів за видами економічної діяльності та організаційно-правовими формами господарювання визначаються з використанням чинних класифікацій.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3. Розрахунок викидів забруднюючих речовин та парникових газів у повітря від авіаційного, водного та залізничного транспорту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3.1. Вхідна інформація для проведення розрахунку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Вхідними даними для визначення обсягів викидів забруднюючих речовин у повітря є: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витрати палива на роботу двигунів тепловозів, повітряних, річкових та морських суден;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питомі викиди забруднюючих речовин та парникових газів з одиниці палива, використаного тепловозами, повітряними, річковими та морськими суднами.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3.1.1. Витрати палива на роботу авіаційного, річкового, морського та залізничного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роботи двигунів повітряного, річкового, морського і залізничного транспорту використовуються такі види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авіаційний транспорт - бензин авіаційний, паливо бензинове реактивне, паливо реактивне типу гас, гас для технічних цілей;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морський транспорт -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мазути топкові важкі;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річковий транспорт -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мазути топкові важкі;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залізничний транспорт -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Дані про обсяги витрат палива на роботу двигунів авіаційного, морського, річкового і залізничного транспорту вибираються з </w:t>
      </w:r>
      <w:r w:rsidRPr="009C61FC">
        <w:rPr>
          <w:rFonts w:ascii="Times New Roman" w:eastAsiaTheme="minorEastAsia" w:hAnsi="Times New Roman" w:cs="Times New Roman"/>
          <w:color w:val="0000FF"/>
          <w:sz w:val="24"/>
          <w:szCs w:val="24"/>
          <w:lang w:eastAsia="uk-UA"/>
        </w:rPr>
        <w:t>форм державного статистичного спостереження ф. N 4-мтп</w:t>
      </w:r>
      <w:r w:rsidRPr="009C61FC">
        <w:rPr>
          <w:rFonts w:ascii="Times New Roman" w:eastAsiaTheme="minorEastAsia" w:hAnsi="Times New Roman" w:cs="Times New Roman"/>
          <w:sz w:val="24"/>
          <w:szCs w:val="24"/>
          <w:lang w:eastAsia="uk-UA"/>
        </w:rPr>
        <w:t xml:space="preserve"> та </w:t>
      </w:r>
      <w:r w:rsidRPr="009C61FC">
        <w:rPr>
          <w:rFonts w:ascii="Times New Roman" w:eastAsiaTheme="minorEastAsia" w:hAnsi="Times New Roman" w:cs="Times New Roman"/>
          <w:color w:val="0000FF"/>
          <w:sz w:val="24"/>
          <w:szCs w:val="24"/>
          <w:lang w:eastAsia="uk-UA"/>
        </w:rPr>
        <w:t>N 4-мтп(</w:t>
      </w:r>
      <w:proofErr w:type="spellStart"/>
      <w:r w:rsidRPr="009C61FC">
        <w:rPr>
          <w:rFonts w:ascii="Times New Roman" w:eastAsiaTheme="minorEastAsia" w:hAnsi="Times New Roman" w:cs="Times New Roman"/>
          <w:color w:val="0000FF"/>
          <w:sz w:val="24"/>
          <w:szCs w:val="24"/>
          <w:lang w:eastAsia="uk-UA"/>
        </w:rPr>
        <w:t>св</w:t>
      </w:r>
      <w:proofErr w:type="spellEnd"/>
      <w:r w:rsidRPr="009C61FC">
        <w:rPr>
          <w:rFonts w:ascii="Times New Roman" w:eastAsiaTheme="minorEastAsia" w:hAnsi="Times New Roman" w:cs="Times New Roman"/>
          <w:color w:val="0000FF"/>
          <w:sz w:val="24"/>
          <w:szCs w:val="24"/>
          <w:lang w:eastAsia="uk-UA"/>
        </w:rPr>
        <w:t>) "Звіт про залишки і використання енергетичних матеріалів та продуктів перероблення нафти"</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 xml:space="preserve">Відбір звітів та показників у них по залізничному, авіаційному, морському та річковому транспорту із загальної сукупності звітів, поданих підприємствами, організаціями, установами за </w:t>
      </w:r>
      <w:r w:rsidRPr="009C61FC">
        <w:rPr>
          <w:rFonts w:ascii="Times New Roman" w:eastAsiaTheme="minorEastAsia" w:hAnsi="Times New Roman" w:cs="Times New Roman"/>
          <w:color w:val="0000FF"/>
          <w:sz w:val="24"/>
          <w:szCs w:val="24"/>
          <w:lang w:eastAsia="uk-UA"/>
        </w:rPr>
        <w:t>ф. N 4-мтп</w:t>
      </w:r>
      <w:r w:rsidRPr="009C61FC">
        <w:rPr>
          <w:rFonts w:ascii="Times New Roman" w:eastAsiaTheme="minorEastAsia" w:hAnsi="Times New Roman" w:cs="Times New Roman"/>
          <w:sz w:val="24"/>
          <w:szCs w:val="24"/>
          <w:lang w:eastAsia="uk-UA"/>
        </w:rPr>
        <w:t xml:space="preserve"> та </w:t>
      </w:r>
      <w:r w:rsidRPr="009C61FC">
        <w:rPr>
          <w:rFonts w:ascii="Times New Roman" w:eastAsiaTheme="minorEastAsia" w:hAnsi="Times New Roman" w:cs="Times New Roman"/>
          <w:color w:val="0000FF"/>
          <w:sz w:val="24"/>
          <w:szCs w:val="24"/>
          <w:lang w:eastAsia="uk-UA"/>
        </w:rPr>
        <w:t>N 4-мтп(</w:t>
      </w:r>
      <w:proofErr w:type="spellStart"/>
      <w:r w:rsidRPr="009C61FC">
        <w:rPr>
          <w:rFonts w:ascii="Times New Roman" w:eastAsiaTheme="minorEastAsia" w:hAnsi="Times New Roman" w:cs="Times New Roman"/>
          <w:color w:val="0000FF"/>
          <w:sz w:val="24"/>
          <w:szCs w:val="24"/>
          <w:lang w:eastAsia="uk-UA"/>
        </w:rPr>
        <w:t>св</w:t>
      </w:r>
      <w:proofErr w:type="spellEnd"/>
      <w:r w:rsidRPr="009C61FC">
        <w:rPr>
          <w:rFonts w:ascii="Times New Roman" w:eastAsiaTheme="minorEastAsia" w:hAnsi="Times New Roman" w:cs="Times New Roman"/>
          <w:color w:val="0000FF"/>
          <w:sz w:val="24"/>
          <w:szCs w:val="24"/>
          <w:lang w:eastAsia="uk-UA"/>
        </w:rPr>
        <w:t>)</w:t>
      </w:r>
      <w:r w:rsidRPr="009C61FC">
        <w:rPr>
          <w:rFonts w:ascii="Times New Roman" w:eastAsiaTheme="minorEastAsia" w:hAnsi="Times New Roman" w:cs="Times New Roman"/>
          <w:sz w:val="24"/>
          <w:szCs w:val="24"/>
          <w:lang w:eastAsia="uk-UA"/>
        </w:rPr>
        <w:t xml:space="preserve">, виконується за такими критеріями: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залізничний транспорт: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color w:val="0000FF"/>
          <w:sz w:val="24"/>
          <w:szCs w:val="24"/>
          <w:lang w:eastAsia="uk-UA"/>
        </w:rPr>
        <w:t>коди виду економічної діяльності 60.10.1</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60.10.2</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63.21.1</w:t>
      </w:r>
      <w:r w:rsidRPr="009C61FC">
        <w:rPr>
          <w:rFonts w:ascii="Times New Roman" w:eastAsiaTheme="minorEastAsia" w:hAnsi="Times New Roman" w:cs="Times New Roman"/>
          <w:sz w:val="24"/>
          <w:szCs w:val="24"/>
          <w:lang w:eastAsia="uk-UA"/>
        </w:rPr>
        <w:t>, розділ "Кінцеве споживання енергетичних матеріалів та продуктів перероблення нафти", графа 5 ("на діяльність транспорту"), рядок 300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авіаційний транспорт: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color w:val="0000FF"/>
          <w:sz w:val="24"/>
          <w:szCs w:val="24"/>
          <w:lang w:eastAsia="uk-UA"/>
        </w:rPr>
        <w:t>коди виду економічної діяльності 62.10.1</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62.10.2</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62.20.1</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62.20.2</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63.23.0</w:t>
      </w:r>
      <w:r w:rsidRPr="009C61FC">
        <w:rPr>
          <w:rFonts w:ascii="Times New Roman" w:eastAsiaTheme="minorEastAsia" w:hAnsi="Times New Roman" w:cs="Times New Roman"/>
          <w:sz w:val="24"/>
          <w:szCs w:val="24"/>
          <w:lang w:eastAsia="uk-UA"/>
        </w:rPr>
        <w:t xml:space="preserve">, розділ "Кінцеве споживання енергетичних матеріалів та продуктів перероблення нафти", графа 5 ("на діяльність транспорту"), рядки: 230 (бензин авіаційний), 250 (паливо бензинове реактивне), 270 (паливо реактивне типу гас), 280 (гас для технічних цілей);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морський та річковий транспорт: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color w:val="0000FF"/>
          <w:sz w:val="24"/>
          <w:szCs w:val="24"/>
          <w:lang w:eastAsia="uk-UA"/>
        </w:rPr>
        <w:t>коди виду економічної діяльності 61.10.1</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61.10.2</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61.20.1</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61.20.2</w:t>
      </w:r>
      <w:r w:rsidRPr="009C61FC">
        <w:rPr>
          <w:rFonts w:ascii="Times New Roman" w:eastAsiaTheme="minorEastAsia" w:hAnsi="Times New Roman" w:cs="Times New Roman"/>
          <w:sz w:val="24"/>
          <w:szCs w:val="24"/>
          <w:lang w:eastAsia="uk-UA"/>
        </w:rPr>
        <w:t xml:space="preserve">, </w:t>
      </w:r>
      <w:r w:rsidRPr="009C61FC">
        <w:rPr>
          <w:rFonts w:ascii="Times New Roman" w:eastAsiaTheme="minorEastAsia" w:hAnsi="Times New Roman" w:cs="Times New Roman"/>
          <w:color w:val="0000FF"/>
          <w:sz w:val="24"/>
          <w:szCs w:val="24"/>
          <w:lang w:eastAsia="uk-UA"/>
        </w:rPr>
        <w:t>63.22.0</w:t>
      </w:r>
      <w:r w:rsidRPr="009C61FC">
        <w:rPr>
          <w:rFonts w:ascii="Times New Roman" w:eastAsiaTheme="minorEastAsia" w:hAnsi="Times New Roman" w:cs="Times New Roman"/>
          <w:sz w:val="24"/>
          <w:szCs w:val="24"/>
          <w:lang w:eastAsia="uk-UA"/>
        </w:rPr>
        <w:t>, розділ "Кінцеве споживання енергетичних матеріалів та продуктів перероблення нафти", графа 5 ("на діяльність транспорту"), рядок 300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320 (мазути топкові важкі).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надходження у повітря шкідливих речовин від роботи двигунів повітряних суден базується на CORINAIR, відповідно до якого доцільно враховувати лише викиди, що надходять у повітря під час зльоту та посадки повітряних суден, а також різницю в питомих викидах шкідливих речовин літаками міжнародних та внутрішніх авіаліній. При цьому не враховуються типи літаків, а розрахунки проводяться для усереднених типів літаків, зокрема двомоторних (для внутрішніх авіаліній) та чотиримоторних (для міжнародних). Переміщення у повітрі між двома аеропортами однієї країни вважається внутрішнім, незалежно від приналежності літака та від того, чи є даний аеропорт місцевим або міжнародним. Якщо літак летить з одного аеропорту в інший однієї і тієї ж країни, а потім летить у третій аеропорт іншої країни, то перший переліт вважається внутрішнім, а другий - міжнародним.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Разом з тим обсяги палива, використаного літаками внутрішніх авіаліній на зліт та посадку, становлять 30 % від обсягів палива, відображених у звітах за </w:t>
      </w:r>
      <w:proofErr w:type="spellStart"/>
      <w:r w:rsidRPr="009C61FC">
        <w:rPr>
          <w:rFonts w:ascii="Times New Roman" w:eastAsiaTheme="minorEastAsia" w:hAnsi="Times New Roman" w:cs="Times New Roman"/>
          <w:color w:val="0000FF"/>
          <w:sz w:val="24"/>
          <w:szCs w:val="24"/>
          <w:lang w:eastAsia="uk-UA"/>
        </w:rPr>
        <w:t>фф</w:t>
      </w:r>
      <w:proofErr w:type="spellEnd"/>
      <w:r w:rsidRPr="009C61FC">
        <w:rPr>
          <w:rFonts w:ascii="Times New Roman" w:eastAsiaTheme="minorEastAsia" w:hAnsi="Times New Roman" w:cs="Times New Roman"/>
          <w:color w:val="0000FF"/>
          <w:sz w:val="24"/>
          <w:szCs w:val="24"/>
          <w:lang w:eastAsia="uk-UA"/>
        </w:rPr>
        <w:t>. N 4-мтп</w:t>
      </w:r>
      <w:r w:rsidRPr="009C61FC">
        <w:rPr>
          <w:rFonts w:ascii="Times New Roman" w:eastAsiaTheme="minorEastAsia" w:hAnsi="Times New Roman" w:cs="Times New Roman"/>
          <w:sz w:val="24"/>
          <w:szCs w:val="24"/>
          <w:lang w:eastAsia="uk-UA"/>
        </w:rPr>
        <w:t xml:space="preserve"> та </w:t>
      </w:r>
      <w:r w:rsidRPr="009C61FC">
        <w:rPr>
          <w:rFonts w:ascii="Times New Roman" w:eastAsiaTheme="minorEastAsia" w:hAnsi="Times New Roman" w:cs="Times New Roman"/>
          <w:color w:val="0000FF"/>
          <w:sz w:val="24"/>
          <w:szCs w:val="24"/>
          <w:lang w:eastAsia="uk-UA"/>
        </w:rPr>
        <w:t>N 4-мтп(</w:t>
      </w:r>
      <w:proofErr w:type="spellStart"/>
      <w:r w:rsidRPr="009C61FC">
        <w:rPr>
          <w:rFonts w:ascii="Times New Roman" w:eastAsiaTheme="minorEastAsia" w:hAnsi="Times New Roman" w:cs="Times New Roman"/>
          <w:color w:val="0000FF"/>
          <w:sz w:val="24"/>
          <w:szCs w:val="24"/>
          <w:lang w:eastAsia="uk-UA"/>
        </w:rPr>
        <w:t>св</w:t>
      </w:r>
      <w:proofErr w:type="spellEnd"/>
      <w:r w:rsidRPr="009C61FC">
        <w:rPr>
          <w:rFonts w:ascii="Times New Roman" w:eastAsiaTheme="minorEastAsia" w:hAnsi="Times New Roman" w:cs="Times New Roman"/>
          <w:color w:val="0000FF"/>
          <w:sz w:val="24"/>
          <w:szCs w:val="24"/>
          <w:lang w:eastAsia="uk-UA"/>
        </w:rPr>
        <w:t>)</w:t>
      </w:r>
      <w:r w:rsidRPr="009C61FC">
        <w:rPr>
          <w:rFonts w:ascii="Times New Roman" w:eastAsiaTheme="minorEastAsia" w:hAnsi="Times New Roman" w:cs="Times New Roman"/>
          <w:sz w:val="24"/>
          <w:szCs w:val="24"/>
          <w:lang w:eastAsia="uk-UA"/>
        </w:rPr>
        <w:t xml:space="preserve">. Решта 70 % палива витрачається літаками внутрішніх авіаліній безпосередньо на політ. Облік викидів шкідливих речовин від споживання цього палива відповідно до рекомендацій Статистичної комісії ООН щодо інвентаризації атмосферних викидів не проводиться. Разом з тим, за експертною оцінкою, кількість зльотів та посадок, виконаних літаками внутрішніх авіаліній у загальній кількості щорічних польотів, коливається в межах 70 %. Зважаючи на те, що літаками міжнародних авіаліній на зліт-посадку витрачається у 2 - 3 рази більше палива, ніж літаками внутрішніх авіаліній, постає необхідність врахування також і цих викидів. Проте, статистична інформація щодо загальних витрат палива літаками міжнародних авіаліній на зліт та посадку відсутня. У зв'язку з цим були проведені дослідження, якими встановлено, що переважну частину викидів забруднюючих речовин та парникових газів, які надходять у повітря під час зльоту та посадки літаків міжнародних авіаліній, можна покрити за рахунок використання у розрахунку тієї частини палива, яка витрачається літаками внутрішніх авіаліній на польоти і не враховується в розрахунку викидів, що утворюються під час зльоту та посадки.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Таким чином, для визначення викидів забруднюючих речовин та парникових газів, які надходять в атмосферу під час зльоту і посадки літаків внутрішніх та міжнародних авіаліній, пропонується дані про обсяги використання палива авіаційним транспортом, отримані зі звіту </w:t>
      </w:r>
      <w:r w:rsidRPr="009C61FC">
        <w:rPr>
          <w:rFonts w:ascii="Times New Roman" w:eastAsiaTheme="minorEastAsia" w:hAnsi="Times New Roman" w:cs="Times New Roman"/>
          <w:sz w:val="24"/>
          <w:szCs w:val="24"/>
          <w:lang w:eastAsia="uk-UA"/>
        </w:rPr>
        <w:lastRenderedPageBreak/>
        <w:t xml:space="preserve">за </w:t>
      </w:r>
      <w:r w:rsidRPr="009C61FC">
        <w:rPr>
          <w:rFonts w:ascii="Times New Roman" w:eastAsiaTheme="minorEastAsia" w:hAnsi="Times New Roman" w:cs="Times New Roman"/>
          <w:color w:val="0000FF"/>
          <w:sz w:val="24"/>
          <w:szCs w:val="24"/>
          <w:lang w:eastAsia="uk-UA"/>
        </w:rPr>
        <w:t>формами N 4-мтп</w:t>
      </w:r>
      <w:r w:rsidRPr="009C61FC">
        <w:rPr>
          <w:rFonts w:ascii="Times New Roman" w:eastAsiaTheme="minorEastAsia" w:hAnsi="Times New Roman" w:cs="Times New Roman"/>
          <w:sz w:val="24"/>
          <w:szCs w:val="24"/>
          <w:lang w:eastAsia="uk-UA"/>
        </w:rPr>
        <w:t xml:space="preserve"> та </w:t>
      </w:r>
      <w:r w:rsidRPr="009C61FC">
        <w:rPr>
          <w:rFonts w:ascii="Times New Roman" w:eastAsiaTheme="minorEastAsia" w:hAnsi="Times New Roman" w:cs="Times New Roman"/>
          <w:color w:val="0000FF"/>
          <w:sz w:val="24"/>
          <w:szCs w:val="24"/>
          <w:lang w:eastAsia="uk-UA"/>
        </w:rPr>
        <w:t>N 4-мтп(</w:t>
      </w:r>
      <w:proofErr w:type="spellStart"/>
      <w:r w:rsidRPr="009C61FC">
        <w:rPr>
          <w:rFonts w:ascii="Times New Roman" w:eastAsiaTheme="minorEastAsia" w:hAnsi="Times New Roman" w:cs="Times New Roman"/>
          <w:color w:val="0000FF"/>
          <w:sz w:val="24"/>
          <w:szCs w:val="24"/>
          <w:lang w:eastAsia="uk-UA"/>
        </w:rPr>
        <w:t>св</w:t>
      </w:r>
      <w:proofErr w:type="spellEnd"/>
      <w:r w:rsidRPr="009C61FC">
        <w:rPr>
          <w:rFonts w:ascii="Times New Roman" w:eastAsiaTheme="minorEastAsia" w:hAnsi="Times New Roman" w:cs="Times New Roman"/>
          <w:color w:val="0000FF"/>
          <w:sz w:val="24"/>
          <w:szCs w:val="24"/>
          <w:lang w:eastAsia="uk-UA"/>
        </w:rPr>
        <w:t>)</w:t>
      </w:r>
      <w:r w:rsidRPr="009C61FC">
        <w:rPr>
          <w:rFonts w:ascii="Times New Roman" w:eastAsiaTheme="minorEastAsia" w:hAnsi="Times New Roman" w:cs="Times New Roman"/>
          <w:sz w:val="24"/>
          <w:szCs w:val="24"/>
          <w:lang w:eastAsia="uk-UA"/>
        </w:rPr>
        <w:t xml:space="preserve">, розподілити </w:t>
      </w:r>
      <w:proofErr w:type="spellStart"/>
      <w:r w:rsidRPr="009C61FC">
        <w:rPr>
          <w:rFonts w:ascii="Times New Roman" w:eastAsiaTheme="minorEastAsia" w:hAnsi="Times New Roman" w:cs="Times New Roman"/>
          <w:sz w:val="24"/>
          <w:szCs w:val="24"/>
          <w:lang w:eastAsia="uk-UA"/>
        </w:rPr>
        <w:t>пропорційно</w:t>
      </w:r>
      <w:proofErr w:type="spellEnd"/>
      <w:r w:rsidRPr="009C61FC">
        <w:rPr>
          <w:rFonts w:ascii="Times New Roman" w:eastAsiaTheme="minorEastAsia" w:hAnsi="Times New Roman" w:cs="Times New Roman"/>
          <w:sz w:val="24"/>
          <w:szCs w:val="24"/>
          <w:lang w:eastAsia="uk-UA"/>
        </w:rPr>
        <w:t xml:space="preserve">: на внутрішні авіалінії - 30 %, на міжнародні авіалінії - 70 %.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3.1.2. Питомі викиди забруднюючих речовин та парникових газів від авіаційного, річкового, морського та залізничного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3.1.2.1. Питомі викиди забруднюючих речовин та парникових газів від авіаційного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За базові приймаються значення усереднених питомих викидів забруднюючих речовин та парникових газів, що надходять в атмосферу під час зльоту та посадки повітряних суден від споживання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палива (табл. 4). Серед факторів, що впливають на надходження викидів забруднюючих речовин та парникових газів від авіаційного транспорту, враховуються польоти на внутрішніх і міжнародних авіалініях.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4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Питомі викиди забруднюючих речовин та парникових газів від авіаційного транспорту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кг/т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83"/>
        <w:gridCol w:w="2595"/>
        <w:gridCol w:w="2045"/>
      </w:tblGrid>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Найменування забруднюючих речовин та парникових газів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Внутрішні авіалінії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Міжнародні авіалінії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Б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вуглецю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16,9 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42,2 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Неметанові леткі органічні сполуки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4,1 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30,2 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Метан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азоту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9,0 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9,8 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Сажа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0,4 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азоту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Аміак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w:t>
            </w:r>
            <w:r w:rsidRPr="009C61F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Вуглекислий газ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3150 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3150 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сірки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Свинець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2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bl>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i/>
          <w:iCs/>
          <w:sz w:val="24"/>
          <w:szCs w:val="24"/>
          <w:lang w:eastAsia="uk-UA"/>
        </w:rPr>
        <w:t xml:space="preserve">3.1.2.2. Питомі викиди забруднюючих речовин та парникових газів від річкового, морського та залізничного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Усереднені питомі викиди забруднюючих речовин та парникових газів, які надходять у повітря під час роботи залізничного, річкового, морського транспорту, наводяться нижче.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5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lastRenderedPageBreak/>
        <w:t xml:space="preserve">Питомі викиди забруднюючих речовин та парникових газів від залізничного, морського та річкового транспорту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кг/т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38"/>
        <w:gridCol w:w="1385"/>
        <w:gridCol w:w="1170"/>
        <w:gridCol w:w="904"/>
        <w:gridCol w:w="1170"/>
        <w:gridCol w:w="884"/>
        <w:gridCol w:w="1170"/>
        <w:gridCol w:w="902"/>
      </w:tblGrid>
      <w:tr w:rsidR="009C61FC" w:rsidRPr="009C61FC" w:rsidTr="00AF4D78">
        <w:trPr>
          <w:tblCellSpacing w:w="18" w:type="dxa"/>
          <w:jc w:val="right"/>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Найменування </w:t>
            </w:r>
            <w:r w:rsidRPr="009C61FC">
              <w:rPr>
                <w:rFonts w:ascii="Times New Roman" w:eastAsiaTheme="minorEastAsia" w:hAnsi="Times New Roman" w:cs="Times New Roman"/>
                <w:sz w:val="24"/>
                <w:szCs w:val="24"/>
                <w:lang w:eastAsia="uk-UA"/>
              </w:rPr>
              <w:br/>
              <w:t xml:space="preserve">забруднюючих речовин та </w:t>
            </w:r>
            <w:r w:rsidRPr="009C61FC">
              <w:rPr>
                <w:rFonts w:ascii="Times New Roman" w:eastAsiaTheme="minorEastAsia" w:hAnsi="Times New Roman" w:cs="Times New Roman"/>
                <w:sz w:val="24"/>
                <w:szCs w:val="24"/>
                <w:lang w:eastAsia="uk-UA"/>
              </w:rPr>
              <w:br/>
              <w:t>парникових газів </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Залізничний транспорт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tc>
        <w:tc>
          <w:tcPr>
            <w:tcW w:w="2200" w:type="pct"/>
            <w:gridSpan w:val="4"/>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Морський транспорт </w:t>
            </w:r>
          </w:p>
        </w:tc>
        <w:tc>
          <w:tcPr>
            <w:tcW w:w="10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Річковий транспорт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1150" w:type="pct"/>
            <w:gridSpan w:val="2"/>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Внутрішні перевезення </w:t>
            </w:r>
          </w:p>
        </w:tc>
        <w:tc>
          <w:tcPr>
            <w:tcW w:w="1050" w:type="pct"/>
            <w:gridSpan w:val="2"/>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Закордонні перевезення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мазути топкові важкі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мазути топкові важкі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мазути топкові важкі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5 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7 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вуглецю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45,0 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25,6 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23,4 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23,4 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10,9 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Неметанові леткі органічні сполуки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4,65 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4,72 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Метан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0,18 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азоту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66,5 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68,1 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42,5 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66,2 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42,5 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66,2 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42,5 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Сажа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4,58 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6,11 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4,48 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6,11 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4,48 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7,5 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4,48 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азоту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1,24 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1,29 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Аміак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0,007 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Вуглекислий газ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сірки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4,2 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3,9 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3,9 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4,5 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3,9 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Свинець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11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6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5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c>
          <w:tcPr>
            <w:tcW w:w="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r>
    </w:tbl>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3.2. Розрахунок викидів забруднюючих речовин та парникових газів у повітря від авіаційного, річкового, морського та залізничного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від авіаційного, залізничного, річкового та морського транспорту здійснюється, виходячи із первинних даних підприємств щодо витрат палива на роботу двигунів тепловозів, повітряних, річкових та морських суден,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(16),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i-м видом транспорту,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обсяги спожитого палива i-м видом транспорту, 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усереднені питомі викиди j-ї забруднюючої речовини та парникового газу i-м видом транспорту;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коефіцієнти використання палива і-м видом транспорту: залізничним - 1,0; морським та річковим - 1,0; авіаційним: на внутрішніх авіалініях - 0,3, міжнародних - 0,7.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Загальний обсяг викидів забруднюючих речовин та парникових газів i-м видом транспорту визначається як сума обсягів викидів j-ї (крім вуглекислого газу) речовини та парникового газу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6A335788" wp14:editId="4EB1E9A7">
                  <wp:extent cx="285750" cy="352425"/>
                  <wp:effectExtent l="0" t="0" r="0" b="9525"/>
                  <wp:docPr id="13" name="Рисунок 13" descr="C:\Users\t.borovich\AppData\Roaming\Liga70\Client\Session\fin42578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fin42578_IMG_006.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(17),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сумарні обсяги викидів забруднюючих речовин і парникових газів (крім вуглекислого газу) i-м видом транспорту,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i-м видом транспорту,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j = 1, 2, ..., 10 (крім вуглекислого газу).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Узагальнені дані щодо обсягів викидів забруднюючих речовин та парникових газів у населених пунктах, за регіонами, видами економічної діяльності та організаційно-правовими формами господарювання визначаються з використанням чинних класифікацій.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4. Розрахунок викидів забруднюючих речовин та парникових газів у повітря від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4.1. Вхідна інформація для проведення розрахунку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Вхідними даними для визначення обсягів викидів забруднюючих речовин у повітря є: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витрати палива на роботу двигунів внутрішнього згоряння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питомі викиди забруднюючих речовин від використання палива.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4.1.1. Витрати палива на роботу двигунів внутрішнього згоряння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роботи двигунів промислової, сільськогосподарської, будівельної та іншої техніки використовуються такі види палива: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бензин;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Дані про обсяги витрат палива на роботу двигунів внутрішнього згоряння промислової, сільськогосподарської, будівельної та іншої техніки містяться у державному статистичному </w:t>
      </w:r>
      <w:r w:rsidRPr="009C61FC">
        <w:rPr>
          <w:rFonts w:ascii="Times New Roman" w:eastAsiaTheme="minorEastAsia" w:hAnsi="Times New Roman" w:cs="Times New Roman"/>
          <w:sz w:val="24"/>
          <w:szCs w:val="24"/>
          <w:lang w:eastAsia="uk-UA"/>
        </w:rPr>
        <w:lastRenderedPageBreak/>
        <w:t xml:space="preserve">спостереженні за </w:t>
      </w:r>
      <w:r w:rsidRPr="009C61FC">
        <w:rPr>
          <w:rFonts w:ascii="Times New Roman" w:eastAsiaTheme="minorEastAsia" w:hAnsi="Times New Roman" w:cs="Times New Roman"/>
          <w:color w:val="0000FF"/>
          <w:sz w:val="24"/>
          <w:szCs w:val="24"/>
          <w:lang w:eastAsia="uk-UA"/>
        </w:rPr>
        <w:t>формою N 4-мтп(річна) "Звіт про залишки і використання енергетичних матеріалів та продуктів перероблення нафти"</w:t>
      </w:r>
      <w:r w:rsidRPr="009C61FC">
        <w:rPr>
          <w:rFonts w:ascii="Times New Roman" w:eastAsiaTheme="minorEastAsia" w:hAnsi="Times New Roman" w:cs="Times New Roman"/>
          <w:sz w:val="24"/>
          <w:szCs w:val="24"/>
          <w:lang w:eastAsia="uk-UA"/>
        </w:rPr>
        <w:t xml:space="preserve"> або за спрощеним її варіантом - </w:t>
      </w:r>
      <w:r w:rsidRPr="009C61FC">
        <w:rPr>
          <w:rFonts w:ascii="Times New Roman" w:eastAsiaTheme="minorEastAsia" w:hAnsi="Times New Roman" w:cs="Times New Roman"/>
          <w:color w:val="0000FF"/>
          <w:sz w:val="24"/>
          <w:szCs w:val="24"/>
          <w:lang w:eastAsia="uk-UA"/>
        </w:rPr>
        <w:t>формою N 4-мтп(</w:t>
      </w:r>
      <w:proofErr w:type="spellStart"/>
      <w:r w:rsidRPr="009C61FC">
        <w:rPr>
          <w:rFonts w:ascii="Times New Roman" w:eastAsiaTheme="minorEastAsia" w:hAnsi="Times New Roman" w:cs="Times New Roman"/>
          <w:color w:val="0000FF"/>
          <w:sz w:val="24"/>
          <w:szCs w:val="24"/>
          <w:lang w:eastAsia="uk-UA"/>
        </w:rPr>
        <w:t>св</w:t>
      </w:r>
      <w:proofErr w:type="spellEnd"/>
      <w:r w:rsidRPr="009C61FC">
        <w:rPr>
          <w:rFonts w:ascii="Times New Roman" w:eastAsiaTheme="minorEastAsia" w:hAnsi="Times New Roman" w:cs="Times New Roman"/>
          <w:color w:val="0000FF"/>
          <w:sz w:val="24"/>
          <w:szCs w:val="24"/>
          <w:lang w:eastAsia="uk-UA"/>
        </w:rPr>
        <w:t>) "Звіт про залишки і використання енергетичних матеріалів та продуктів перероблення нафти"</w:t>
      </w:r>
      <w:r w:rsidRPr="009C61FC">
        <w:rPr>
          <w:rFonts w:ascii="Times New Roman" w:eastAsiaTheme="minorEastAsia" w:hAnsi="Times New Roman" w:cs="Times New Roman"/>
          <w:sz w:val="24"/>
          <w:szCs w:val="24"/>
          <w:lang w:eastAsia="uk-UA"/>
        </w:rPr>
        <w:t xml:space="preserve">.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розрахунку викидів забруднюючих речовин та парникових газів у повітря використовуються дані про витрати бензину,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(дизельного палива) на виробництво промислової продукції (робіт, послуг) (графа N 3), на сільськогосподарські роботи, продукцію (графа N 4), на будівництво (графа N 6), на торговельну діяльність, ресторанне господарство (графа N 7), на інші потреби (графа N 8) розділу 4 "Кінцеве споживання енергетичних матеріалів та продуктів перероблення нафти", що наводяться у </w:t>
      </w:r>
      <w:r w:rsidRPr="009C61FC">
        <w:rPr>
          <w:rFonts w:ascii="Times New Roman" w:eastAsiaTheme="minorEastAsia" w:hAnsi="Times New Roman" w:cs="Times New Roman"/>
          <w:color w:val="0000FF"/>
          <w:sz w:val="24"/>
          <w:szCs w:val="24"/>
          <w:lang w:eastAsia="uk-UA"/>
        </w:rPr>
        <w:t>формі N 4-мтп (річна) "Звіт про залишки і використання енергетичних матеріалів та продуктів перероблення нафти"</w:t>
      </w:r>
      <w:r w:rsidRPr="009C61FC">
        <w:rPr>
          <w:rFonts w:ascii="Times New Roman" w:eastAsiaTheme="minorEastAsia" w:hAnsi="Times New Roman" w:cs="Times New Roman"/>
          <w:sz w:val="24"/>
          <w:szCs w:val="24"/>
          <w:lang w:eastAsia="uk-UA"/>
        </w:rPr>
        <w:t xml:space="preserve">, або у розділі 3 спрощеного варіанту цієї форми.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Відбір звітів для розрахунку викидів забруднюючих речовин та парникових газів у повітря здійснюється за умови наявності у них заповнених показників у графах 3, 4, 6, 7, 8 по рядках з кодами: 240 (бензин моторний); 300 (</w:t>
      </w: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незалежно від виду економічної діяльності.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4.1.2. Питомі викиди забруднюючих речовин та парникових газів в атмосферу від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Для розрахунку викидів забруднюючих речовин та парникових газів, що надходять у повітря від споживання палива двигунами внутрішнього згоряння під час роботи промислової, сільськогосподарської, будівельної та іншої техніки, використовуються усереднені питомі викиди забруднюючих речовин та парникових газів, які утворюються при спалюванні однієї </w:t>
      </w:r>
      <w:proofErr w:type="spellStart"/>
      <w:r w:rsidRPr="009C61FC">
        <w:rPr>
          <w:rFonts w:ascii="Times New Roman" w:eastAsiaTheme="minorEastAsia" w:hAnsi="Times New Roman" w:cs="Times New Roman"/>
          <w:sz w:val="24"/>
          <w:szCs w:val="24"/>
          <w:lang w:eastAsia="uk-UA"/>
        </w:rPr>
        <w:t>тонни</w:t>
      </w:r>
      <w:proofErr w:type="spellEnd"/>
      <w:r w:rsidRPr="009C61FC">
        <w:rPr>
          <w:rFonts w:ascii="Times New Roman" w:eastAsiaTheme="minorEastAsia" w:hAnsi="Times New Roman" w:cs="Times New Roman"/>
          <w:sz w:val="24"/>
          <w:szCs w:val="24"/>
          <w:lang w:eastAsia="uk-UA"/>
        </w:rPr>
        <w:t xml:space="preserve"> бензину, </w:t>
      </w:r>
      <w:proofErr w:type="spellStart"/>
      <w:r w:rsidRPr="009C61FC">
        <w:rPr>
          <w:rFonts w:ascii="Times New Roman" w:eastAsiaTheme="minorEastAsia" w:hAnsi="Times New Roman" w:cs="Times New Roman"/>
          <w:sz w:val="24"/>
          <w:szCs w:val="24"/>
          <w:lang w:eastAsia="uk-UA"/>
        </w:rPr>
        <w:t>газойлів</w:t>
      </w:r>
      <w:proofErr w:type="spellEnd"/>
      <w:r w:rsidRPr="009C61FC">
        <w:rPr>
          <w:rFonts w:ascii="Times New Roman" w:eastAsiaTheme="minorEastAsia" w:hAnsi="Times New Roman" w:cs="Times New Roman"/>
          <w:sz w:val="24"/>
          <w:szCs w:val="24"/>
          <w:lang w:eastAsia="uk-UA"/>
        </w:rPr>
        <w:t xml:space="preserve"> (палива дизельного).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Таблиця 6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Питомі викиди забруднюючих речовин та парникових газів у повітря від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(кг/т) </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46"/>
        <w:gridCol w:w="2785"/>
        <w:gridCol w:w="2992"/>
      </w:tblGrid>
      <w:tr w:rsidR="009C61FC" w:rsidRPr="009C61FC" w:rsidTr="00AF4D78">
        <w:trPr>
          <w:tblCellSpacing w:w="18" w:type="dxa"/>
          <w:jc w:val="right"/>
        </w:trPr>
        <w:tc>
          <w:tcPr>
            <w:tcW w:w="2000" w:type="pct"/>
            <w:vMerge w:val="restar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Найменування забруднюючих речовин та парникових газів </w:t>
            </w:r>
          </w:p>
        </w:tc>
        <w:tc>
          <w:tcPr>
            <w:tcW w:w="3000" w:type="pct"/>
            <w:gridSpan w:val="2"/>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Види палива </w:t>
            </w:r>
          </w:p>
        </w:tc>
      </w:tr>
      <w:tr w:rsidR="009C61FC" w:rsidRPr="009C61FC" w:rsidTr="00AF4D78">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after="0" w:line="240" w:lineRule="auto"/>
              <w:rPr>
                <w:rFonts w:ascii="Times New Roman" w:eastAsiaTheme="minorEastAsia" w:hAnsi="Times New Roman" w:cs="Times New Roman"/>
                <w:sz w:val="24"/>
                <w:szCs w:val="24"/>
                <w:lang w:eastAsia="uk-UA"/>
              </w:rPr>
            </w:pP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Бензин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t>Газойлі</w:t>
            </w:r>
            <w:proofErr w:type="spellEnd"/>
            <w:r w:rsidRPr="009C61FC">
              <w:rPr>
                <w:rFonts w:ascii="Times New Roman" w:eastAsiaTheme="minorEastAsia" w:hAnsi="Times New Roman" w:cs="Times New Roman"/>
                <w:sz w:val="24"/>
                <w:szCs w:val="24"/>
                <w:lang w:eastAsia="uk-UA"/>
              </w:rPr>
              <w:t xml:space="preserve"> (паливо дизельне)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вуглецю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197,8 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36,2 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азоту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21,6 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31,4 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Діоксид сірки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4,3 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Неметанові леткі органічні сполуки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28,5 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8,16 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Метан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0,64 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0,25 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Оксид азоту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0,035 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0,12 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Аміак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0,004 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Сажа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3,85 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Свинець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0,013*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Вуглекислий газ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3183 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3138 </w:t>
            </w:r>
          </w:p>
        </w:tc>
      </w:tr>
      <w:tr w:rsidR="009C61FC" w:rsidRPr="009C61FC" w:rsidTr="00AF4D78">
        <w:trPr>
          <w:tblCellSpacing w:w="18" w:type="dxa"/>
          <w:jc w:val="right"/>
        </w:trPr>
        <w:tc>
          <w:tcPr>
            <w:tcW w:w="200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9C61FC">
              <w:rPr>
                <w:rFonts w:ascii="Times New Roman" w:eastAsiaTheme="minorEastAsia" w:hAnsi="Times New Roman" w:cs="Times New Roman"/>
                <w:sz w:val="24"/>
                <w:szCs w:val="24"/>
                <w:lang w:eastAsia="uk-UA"/>
              </w:rPr>
              <w:lastRenderedPageBreak/>
              <w:t>Бенз</w:t>
            </w:r>
            <w:proofErr w:type="spellEnd"/>
            <w:r w:rsidRPr="009C61FC">
              <w:rPr>
                <w:rFonts w:ascii="Times New Roman" w:eastAsiaTheme="minorEastAsia" w:hAnsi="Times New Roman" w:cs="Times New Roman"/>
                <w:sz w:val="24"/>
                <w:szCs w:val="24"/>
                <w:lang w:eastAsia="uk-UA"/>
              </w:rPr>
              <w:t>(а)</w:t>
            </w:r>
            <w:proofErr w:type="spellStart"/>
            <w:r w:rsidRPr="009C61FC">
              <w:rPr>
                <w:rFonts w:ascii="Times New Roman" w:eastAsiaTheme="minorEastAsia" w:hAnsi="Times New Roman" w:cs="Times New Roman"/>
                <w:sz w:val="24"/>
                <w:szCs w:val="24"/>
                <w:lang w:eastAsia="uk-UA"/>
              </w:rPr>
              <w:t>пірен</w:t>
            </w:r>
            <w:proofErr w:type="spellEnd"/>
            <w:r w:rsidRPr="009C61FC">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0,03 </w:t>
            </w:r>
          </w:p>
        </w:tc>
      </w:tr>
    </w:tbl>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C61FC">
        <w:rPr>
          <w:rFonts w:ascii="Times New Roman" w:eastAsiaTheme="minorEastAsia" w:hAnsi="Times New Roman" w:cs="Times New Roman"/>
          <w:sz w:val="24"/>
          <w:szCs w:val="24"/>
          <w:lang w:eastAsia="uk-UA"/>
        </w:rPr>
        <w:t>____________</w:t>
      </w:r>
      <w:r w:rsidRPr="009C61FC">
        <w:rPr>
          <w:rFonts w:ascii="Times New Roman" w:eastAsiaTheme="minorEastAsia" w:hAnsi="Times New Roman" w:cs="Times New Roman"/>
          <w:sz w:val="24"/>
          <w:szCs w:val="24"/>
          <w:lang w:eastAsia="uk-UA"/>
        </w:rPr>
        <w:br/>
        <w:t xml:space="preserve">* </w:t>
      </w:r>
      <w:r w:rsidRPr="009C61FC">
        <w:rPr>
          <w:rFonts w:ascii="Times New Roman" w:eastAsiaTheme="minorEastAsia" w:hAnsi="Times New Roman" w:cs="Times New Roman"/>
          <w:sz w:val="20"/>
          <w:szCs w:val="20"/>
          <w:lang w:eastAsia="uk-UA"/>
        </w:rPr>
        <w:t xml:space="preserve">Викиди свинцю визначаються тільки для етильованого бензину. </w:t>
      </w:r>
    </w:p>
    <w:p w:rsidR="009C61FC" w:rsidRPr="009C61FC" w:rsidRDefault="009C61FC" w:rsidP="009C61FC">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4.2. Розрахунок викидів забруднюючих речовин та парникових газів у повітря від використання промислової, сільськогосподарської, будівельної та іншої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Розрахунок викидів забруднюючих речовин та парникових газів від роботи двигунів внутрішнього згоряння промислової, сільськогосподарської, будівельної та іншої техніки здійснюється, виходячи із первинних даних підприємств щодо витрат палива,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(18),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та парникового газу (крім свинцю) i-ю групою техніки,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обсяги спожитого палива i-ю групою техніки, 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усереднені питомі викиди j-ї забруднюючої речовини та парникового газу i-ю групою техніки, кг/т.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 xml:space="preserve">Викиди свинцю </w:t>
      </w:r>
      <w:r w:rsidRPr="009C61FC">
        <w:rPr>
          <w:rFonts w:ascii="Times New Roman" w:eastAsiaTheme="minorEastAsia" w:hAnsi="Times New Roman" w:cs="Times New Roman"/>
          <w:sz w:val="24"/>
          <w:szCs w:val="24"/>
          <w:lang w:eastAsia="uk-UA"/>
        </w:rPr>
        <w:t xml:space="preserve">від використання етильованого бензину визначаються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ет</w:t>
            </w:r>
            <w:r w:rsidRPr="009C61FC">
              <w:rPr>
                <w:rFonts w:ascii="Times New Roman" w:eastAsiaTheme="minorEastAsia" w:hAnsi="Times New Roman" w:cs="Times New Roman"/>
                <w:sz w:val="24"/>
                <w:szCs w:val="24"/>
                <w:lang w:eastAsia="uk-UA"/>
              </w:rPr>
              <w:t xml:space="preserve"> · К</w:t>
            </w:r>
            <w:r w:rsidRPr="009C61FC">
              <w:rPr>
                <w:rFonts w:ascii="Times New Roman" w:eastAsiaTheme="minorEastAsia" w:hAnsi="Times New Roman" w:cs="Times New Roman"/>
                <w:sz w:val="24"/>
                <w:szCs w:val="24"/>
                <w:vertAlign w:val="subscript"/>
                <w:lang w:eastAsia="uk-UA"/>
              </w:rPr>
              <w:t xml:space="preserve"> з</w:t>
            </w:r>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(19),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vertAlign w:val="subscript"/>
          <w:lang w:eastAsia="uk-UA"/>
        </w:rPr>
        <w:t>(с)</w:t>
      </w:r>
      <w:r w:rsidRPr="009C61FC">
        <w:rPr>
          <w:rFonts w:ascii="Times New Roman" w:eastAsiaTheme="minorEastAsia" w:hAnsi="Times New Roman" w:cs="Times New Roman"/>
          <w:sz w:val="24"/>
          <w:szCs w:val="24"/>
          <w:lang w:eastAsia="uk-UA"/>
        </w:rPr>
        <w:t xml:space="preserve"> - обсяги викидів свинцю i-ю групою техніки,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М</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обсяги спожитого бензину i-ю групою техніки, 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А</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усереднені питомі викиди j-ї забруднюючої речовини (свинцю) i-ю групою техніки, кг/т;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ет</w:t>
      </w:r>
      <w:r w:rsidRPr="009C61FC">
        <w:rPr>
          <w:rFonts w:ascii="Times New Roman" w:eastAsiaTheme="minorEastAsia" w:hAnsi="Times New Roman" w:cs="Times New Roman"/>
          <w:sz w:val="24"/>
          <w:szCs w:val="24"/>
          <w:lang w:eastAsia="uk-UA"/>
        </w:rPr>
        <w:t xml:space="preserve"> - питомі викиди свинцю від споживання етильованого бензину i-ю групою техніки;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К</w:t>
      </w:r>
      <w:r w:rsidRPr="009C61FC">
        <w:rPr>
          <w:rFonts w:ascii="Times New Roman" w:eastAsiaTheme="minorEastAsia" w:hAnsi="Times New Roman" w:cs="Times New Roman"/>
          <w:sz w:val="24"/>
          <w:szCs w:val="24"/>
          <w:vertAlign w:val="subscript"/>
          <w:lang w:eastAsia="uk-UA"/>
        </w:rPr>
        <w:t xml:space="preserve"> з</w:t>
      </w:r>
      <w:r w:rsidRPr="009C61FC">
        <w:rPr>
          <w:rFonts w:ascii="Times New Roman" w:eastAsiaTheme="minorEastAsia" w:hAnsi="Times New Roman" w:cs="Times New Roman"/>
          <w:sz w:val="24"/>
          <w:szCs w:val="24"/>
          <w:lang w:eastAsia="uk-UA"/>
        </w:rPr>
        <w:t xml:space="preserve"> - частка етильованого бензину в загальних обсягах спожитого бензину.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Загальний обсяг викидів забруднюючих речовин та парникових газів по i-й групі техніки визначається як сума обсягів викидів забруднюючих речовин за формулою: </w:t>
      </w:r>
    </w:p>
    <w:tbl>
      <w:tblPr>
        <w:tblW w:w="7500" w:type="dxa"/>
        <w:jc w:val="center"/>
        <w:tblCellSpacing w:w="18" w:type="dxa"/>
        <w:tblCellMar>
          <w:top w:w="24" w:type="dxa"/>
          <w:left w:w="24" w:type="dxa"/>
          <w:bottom w:w="24" w:type="dxa"/>
          <w:right w:w="24" w:type="dxa"/>
        </w:tblCellMar>
        <w:tblLook w:val="04A0" w:firstRow="1" w:lastRow="0" w:firstColumn="1" w:lastColumn="0" w:noHBand="0" w:noVBand="1"/>
      </w:tblPr>
      <w:tblGrid>
        <w:gridCol w:w="6878"/>
        <w:gridCol w:w="622"/>
      </w:tblGrid>
      <w:tr w:rsidR="009C61FC" w:rsidRPr="009C61FC" w:rsidTr="00AF4D78">
        <w:trPr>
          <w:tblCellSpacing w:w="18" w:type="dxa"/>
          <w:jc w:val="center"/>
        </w:trPr>
        <w:tc>
          <w:tcPr>
            <w:tcW w:w="475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В</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w:t>
            </w:r>
            <w:r w:rsidRPr="009C61FC">
              <w:rPr>
                <w:rFonts w:ascii="Times New Roman" w:eastAsiaTheme="minorEastAsia" w:hAnsi="Times New Roman" w:cs="Times New Roman"/>
                <w:noProof/>
                <w:sz w:val="24"/>
                <w:szCs w:val="24"/>
                <w:lang w:eastAsia="uk-UA"/>
              </w:rPr>
              <w:drawing>
                <wp:inline distT="0" distB="0" distL="0" distR="0" wp14:anchorId="1A5D7F11" wp14:editId="0FE06906">
                  <wp:extent cx="285750" cy="352425"/>
                  <wp:effectExtent l="0" t="0" r="0" b="9525"/>
                  <wp:docPr id="14" name="Рисунок 14" descr="C:\Users\t.borovich\AppData\Roaming\Liga70\Client\Session\FIN42578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FIN42578_IMG_006.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іj</w:t>
            </w:r>
            <w:proofErr w:type="spellEnd"/>
            <w:r w:rsidRPr="009C61FC">
              <w:rPr>
                <w:rFonts w:ascii="Times New Roman" w:eastAsiaTheme="minorEastAsia" w:hAnsi="Times New Roman" w:cs="Times New Roman"/>
                <w:sz w:val="24"/>
                <w:szCs w:val="24"/>
                <w:lang w:eastAsia="uk-UA"/>
              </w:rPr>
              <w:t> </w:t>
            </w:r>
          </w:p>
        </w:tc>
        <w:tc>
          <w:tcPr>
            <w:tcW w:w="250" w:type="pct"/>
            <w:vAlign w:val="center"/>
            <w:hideMark/>
          </w:tcPr>
          <w:p w:rsidR="009C61FC" w:rsidRPr="009C61FC" w:rsidRDefault="009C61FC" w:rsidP="009C61FC">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(20), </w:t>
            </w:r>
          </w:p>
        </w:tc>
      </w:tr>
    </w:tbl>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де: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w:t>
      </w:r>
      <w:proofErr w:type="spellStart"/>
      <w:r w:rsidRPr="009C61FC">
        <w:rPr>
          <w:rFonts w:ascii="Times New Roman" w:eastAsiaTheme="minorEastAsia" w:hAnsi="Times New Roman" w:cs="Times New Roman"/>
          <w:sz w:val="24"/>
          <w:szCs w:val="24"/>
          <w:vertAlign w:val="subscript"/>
          <w:lang w:eastAsia="uk-UA"/>
        </w:rPr>
        <w:t>ij</w:t>
      </w:r>
      <w:proofErr w:type="spellEnd"/>
      <w:r w:rsidRPr="009C61FC">
        <w:rPr>
          <w:rFonts w:ascii="Times New Roman" w:eastAsiaTheme="minorEastAsia" w:hAnsi="Times New Roman" w:cs="Times New Roman"/>
          <w:sz w:val="24"/>
          <w:szCs w:val="24"/>
          <w:lang w:eastAsia="uk-UA"/>
        </w:rPr>
        <w:t xml:space="preserve"> - обсяги викидів j-ї забруднюючої речовини i-ю групою техніки,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В</w:t>
      </w:r>
      <w:r w:rsidRPr="009C61FC">
        <w:rPr>
          <w:rFonts w:ascii="Times New Roman" w:eastAsiaTheme="minorEastAsia" w:hAnsi="Times New Roman" w:cs="Times New Roman"/>
          <w:sz w:val="24"/>
          <w:szCs w:val="24"/>
          <w:vertAlign w:val="subscript"/>
          <w:lang w:eastAsia="uk-UA"/>
        </w:rPr>
        <w:t xml:space="preserve"> i</w:t>
      </w:r>
      <w:r w:rsidRPr="009C61FC">
        <w:rPr>
          <w:rFonts w:ascii="Times New Roman" w:eastAsiaTheme="minorEastAsia" w:hAnsi="Times New Roman" w:cs="Times New Roman"/>
          <w:sz w:val="24"/>
          <w:szCs w:val="24"/>
          <w:lang w:eastAsia="uk-UA"/>
        </w:rPr>
        <w:t xml:space="preserve"> - сумарні обсяги викидів забруднюючих речовин i-ю групою техніки, кг;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j = 1 </w:t>
      </w:r>
      <w:r w:rsidRPr="009C61FC">
        <w:rPr>
          <w:rFonts w:ascii="Symbol" w:eastAsiaTheme="minorEastAsia" w:hAnsi="Symbol" w:cs="Times New Roman"/>
          <w:sz w:val="24"/>
          <w:szCs w:val="24"/>
          <w:lang w:eastAsia="uk-UA"/>
        </w:rPr>
        <w:t></w:t>
      </w:r>
      <w:r w:rsidRPr="009C61FC">
        <w:rPr>
          <w:rFonts w:ascii="Times New Roman" w:eastAsiaTheme="minorEastAsia" w:hAnsi="Times New Roman" w:cs="Times New Roman"/>
          <w:sz w:val="24"/>
          <w:szCs w:val="24"/>
          <w:lang w:eastAsia="uk-UA"/>
        </w:rPr>
        <w:t xml:space="preserve"> 10 - забруднюючі речовини (крім вуглекислого газу).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Узагальнені дані щодо обсягів викидів забруднюючих речовин та парникових газів у населених пунктах, за регіонами, видами економічної діяльності та організаційно-правовими формами господарювання визначаються з використанням чинних класифікацій. </w:t>
      </w:r>
    </w:p>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C61FC" w:rsidRPr="009C61FC" w:rsidTr="00AF4D78">
        <w:trPr>
          <w:tblCellSpacing w:w="18" w:type="dxa"/>
        </w:trPr>
        <w:tc>
          <w:tcPr>
            <w:tcW w:w="2500" w:type="pct"/>
            <w:vAlign w:val="center"/>
            <w:hideMark/>
          </w:tcPr>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tc>
        <w:tc>
          <w:tcPr>
            <w:tcW w:w="2500" w:type="pct"/>
            <w:vAlign w:val="center"/>
            <w:hideMark/>
          </w:tcPr>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b/>
                <w:bCs/>
                <w:sz w:val="24"/>
                <w:szCs w:val="24"/>
                <w:lang w:eastAsia="uk-UA"/>
              </w:rPr>
              <w:t>Департамент статистики</w:t>
            </w:r>
            <w:r w:rsidRPr="009C61FC">
              <w:rPr>
                <w:rFonts w:ascii="Times New Roman" w:eastAsiaTheme="minorEastAsia" w:hAnsi="Times New Roman" w:cs="Times New Roman"/>
                <w:sz w:val="24"/>
                <w:szCs w:val="24"/>
                <w:lang w:eastAsia="uk-UA"/>
              </w:rPr>
              <w:br/>
            </w:r>
            <w:r w:rsidRPr="009C61FC">
              <w:rPr>
                <w:rFonts w:ascii="Times New Roman" w:eastAsiaTheme="minorEastAsia" w:hAnsi="Times New Roman" w:cs="Times New Roman"/>
                <w:b/>
                <w:bCs/>
                <w:sz w:val="24"/>
                <w:szCs w:val="24"/>
                <w:lang w:eastAsia="uk-UA"/>
              </w:rPr>
              <w:t>сільського господарства та</w:t>
            </w:r>
            <w:r w:rsidRPr="009C61FC">
              <w:rPr>
                <w:rFonts w:ascii="Times New Roman" w:eastAsiaTheme="minorEastAsia" w:hAnsi="Times New Roman" w:cs="Times New Roman"/>
                <w:sz w:val="24"/>
                <w:szCs w:val="24"/>
                <w:lang w:eastAsia="uk-UA"/>
              </w:rPr>
              <w:br/>
            </w:r>
            <w:r w:rsidRPr="009C61FC">
              <w:rPr>
                <w:rFonts w:ascii="Times New Roman" w:eastAsiaTheme="minorEastAsia" w:hAnsi="Times New Roman" w:cs="Times New Roman"/>
                <w:b/>
                <w:bCs/>
                <w:sz w:val="24"/>
                <w:szCs w:val="24"/>
                <w:lang w:eastAsia="uk-UA"/>
              </w:rPr>
              <w:t>навколишнього середовища </w:t>
            </w:r>
          </w:p>
        </w:tc>
      </w:tr>
    </w:tbl>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br w:type="textWrapping" w:clear="all"/>
      </w:r>
    </w:p>
    <w:p w:rsidR="009C61FC" w:rsidRPr="009C61FC" w:rsidRDefault="009C61FC" w:rsidP="009C61FC">
      <w:pPr>
        <w:spacing w:before="100" w:beforeAutospacing="1" w:after="100" w:afterAutospacing="1" w:line="240" w:lineRule="auto"/>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w:t>
      </w:r>
    </w:p>
    <w:p w:rsidR="009C61FC" w:rsidRPr="009C61FC" w:rsidRDefault="009C61FC" w:rsidP="009C61F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C61FC">
        <w:rPr>
          <w:rFonts w:ascii="Times New Roman" w:eastAsia="Times New Roman" w:hAnsi="Times New Roman" w:cs="Times New Roman"/>
          <w:b/>
          <w:bCs/>
          <w:sz w:val="27"/>
          <w:szCs w:val="27"/>
          <w:lang w:eastAsia="uk-UA"/>
        </w:rPr>
        <w:t xml:space="preserve">Література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1. </w:t>
      </w:r>
      <w:r w:rsidRPr="009C61FC">
        <w:rPr>
          <w:rFonts w:ascii="Times New Roman" w:eastAsiaTheme="minorEastAsia" w:hAnsi="Times New Roman" w:cs="Times New Roman"/>
          <w:color w:val="0000FF"/>
          <w:sz w:val="24"/>
          <w:szCs w:val="24"/>
          <w:lang w:eastAsia="uk-UA"/>
        </w:rPr>
        <w:t>Закон України "Про охорону атмосферного повітря"</w:t>
      </w:r>
      <w:r w:rsidRPr="009C61FC">
        <w:rPr>
          <w:rFonts w:ascii="Times New Roman" w:eastAsiaTheme="minorEastAsia" w:hAnsi="Times New Roman" w:cs="Times New Roman"/>
          <w:sz w:val="24"/>
          <w:szCs w:val="24"/>
          <w:lang w:eastAsia="uk-UA"/>
        </w:rPr>
        <w:t xml:space="preserve">, зі змінами </w:t>
      </w:r>
      <w:r w:rsidRPr="009C61FC">
        <w:rPr>
          <w:rFonts w:ascii="Times New Roman" w:eastAsiaTheme="minorEastAsia" w:hAnsi="Times New Roman" w:cs="Times New Roman"/>
          <w:color w:val="0000FF"/>
          <w:sz w:val="24"/>
          <w:szCs w:val="24"/>
          <w:lang w:eastAsia="uk-UA"/>
        </w:rPr>
        <w:t>від 21.06.2001 р. за N 2556-III.</w:t>
      </w:r>
      <w:r w:rsidRPr="009C61FC">
        <w:rPr>
          <w:rFonts w:ascii="Times New Roman" w:eastAsiaTheme="minorEastAsia" w:hAnsi="Times New Roman" w:cs="Times New Roman"/>
          <w:sz w:val="24"/>
          <w:szCs w:val="24"/>
          <w:lang w:eastAsia="uk-UA"/>
        </w:rPr>
        <w:t xml:space="preserve"> - 23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2. </w:t>
      </w:r>
      <w:proofErr w:type="spellStart"/>
      <w:r w:rsidRPr="009C61FC">
        <w:rPr>
          <w:rFonts w:ascii="Times New Roman" w:eastAsiaTheme="minorEastAsia" w:hAnsi="Times New Roman" w:cs="Times New Roman"/>
          <w:sz w:val="24"/>
          <w:szCs w:val="24"/>
          <w:lang w:eastAsia="uk-UA"/>
        </w:rPr>
        <w:t>Бойченко</w:t>
      </w:r>
      <w:proofErr w:type="spellEnd"/>
      <w:r w:rsidRPr="009C61FC">
        <w:rPr>
          <w:rFonts w:ascii="Times New Roman" w:eastAsiaTheme="minorEastAsia" w:hAnsi="Times New Roman" w:cs="Times New Roman"/>
          <w:sz w:val="24"/>
          <w:szCs w:val="24"/>
          <w:lang w:eastAsia="uk-UA"/>
        </w:rPr>
        <w:t xml:space="preserve"> С. В., Іванов С. В., </w:t>
      </w:r>
      <w:proofErr w:type="spellStart"/>
      <w:r w:rsidRPr="009C61FC">
        <w:rPr>
          <w:rFonts w:ascii="Times New Roman" w:eastAsiaTheme="minorEastAsia" w:hAnsi="Times New Roman" w:cs="Times New Roman"/>
          <w:sz w:val="24"/>
          <w:szCs w:val="24"/>
          <w:lang w:eastAsia="uk-UA"/>
        </w:rPr>
        <w:t>Буогака</w:t>
      </w:r>
      <w:proofErr w:type="spellEnd"/>
      <w:r w:rsidRPr="009C61FC">
        <w:rPr>
          <w:rFonts w:ascii="Times New Roman" w:eastAsiaTheme="minorEastAsia" w:hAnsi="Times New Roman" w:cs="Times New Roman"/>
          <w:sz w:val="24"/>
          <w:szCs w:val="24"/>
          <w:lang w:eastAsia="uk-UA"/>
        </w:rPr>
        <w:t xml:space="preserve"> В. Г., Моторні палива і масла для сучасної техніки: Монографія. - К.: НАУ, 2005. - 216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3. </w:t>
      </w:r>
      <w:proofErr w:type="spellStart"/>
      <w:r w:rsidRPr="009C61FC">
        <w:rPr>
          <w:rFonts w:ascii="Times New Roman" w:eastAsiaTheme="minorEastAsia" w:hAnsi="Times New Roman" w:cs="Times New Roman"/>
          <w:sz w:val="24"/>
          <w:szCs w:val="24"/>
          <w:lang w:eastAsia="uk-UA"/>
        </w:rPr>
        <w:t>Голубев</w:t>
      </w:r>
      <w:proofErr w:type="spellEnd"/>
      <w:r w:rsidRPr="009C61FC">
        <w:rPr>
          <w:rFonts w:ascii="Times New Roman" w:eastAsiaTheme="minorEastAsia" w:hAnsi="Times New Roman" w:cs="Times New Roman"/>
          <w:sz w:val="24"/>
          <w:szCs w:val="24"/>
          <w:lang w:eastAsia="uk-UA"/>
        </w:rPr>
        <w:t xml:space="preserve"> И. Р., Новиков Ю. В. </w:t>
      </w:r>
      <w:proofErr w:type="spellStart"/>
      <w:r w:rsidRPr="009C61FC">
        <w:rPr>
          <w:rFonts w:ascii="Times New Roman" w:eastAsiaTheme="minorEastAsia" w:hAnsi="Times New Roman" w:cs="Times New Roman"/>
          <w:sz w:val="24"/>
          <w:szCs w:val="24"/>
          <w:lang w:eastAsia="uk-UA"/>
        </w:rPr>
        <w:t>Окружающая</w:t>
      </w:r>
      <w:proofErr w:type="spellEnd"/>
      <w:r w:rsidRPr="009C61FC">
        <w:rPr>
          <w:rFonts w:ascii="Times New Roman" w:eastAsiaTheme="minorEastAsia" w:hAnsi="Times New Roman" w:cs="Times New Roman"/>
          <w:sz w:val="24"/>
          <w:szCs w:val="24"/>
          <w:lang w:eastAsia="uk-UA"/>
        </w:rPr>
        <w:t xml:space="preserve"> середа и транспорт. - М.: Транспорт, 1987. - 207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4. </w:t>
      </w:r>
      <w:proofErr w:type="spellStart"/>
      <w:r w:rsidRPr="009C61FC">
        <w:rPr>
          <w:rFonts w:ascii="Times New Roman" w:eastAsiaTheme="minorEastAsia" w:hAnsi="Times New Roman" w:cs="Times New Roman"/>
          <w:sz w:val="24"/>
          <w:szCs w:val="24"/>
          <w:lang w:eastAsia="uk-UA"/>
        </w:rPr>
        <w:t>Гутаревич</w:t>
      </w:r>
      <w:proofErr w:type="spellEnd"/>
      <w:r w:rsidRPr="009C61FC">
        <w:rPr>
          <w:rFonts w:ascii="Times New Roman" w:eastAsiaTheme="minorEastAsia" w:hAnsi="Times New Roman" w:cs="Times New Roman"/>
          <w:sz w:val="24"/>
          <w:szCs w:val="24"/>
          <w:lang w:eastAsia="uk-UA"/>
        </w:rPr>
        <w:t xml:space="preserve"> Ю. Ф. </w:t>
      </w:r>
      <w:proofErr w:type="spellStart"/>
      <w:r w:rsidRPr="009C61FC">
        <w:rPr>
          <w:rFonts w:ascii="Times New Roman" w:eastAsiaTheme="minorEastAsia" w:hAnsi="Times New Roman" w:cs="Times New Roman"/>
          <w:sz w:val="24"/>
          <w:szCs w:val="24"/>
          <w:lang w:eastAsia="uk-UA"/>
        </w:rPr>
        <w:t>Охрана</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окружающей</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среды</w:t>
      </w:r>
      <w:proofErr w:type="spellEnd"/>
      <w:r w:rsidRPr="009C61FC">
        <w:rPr>
          <w:rFonts w:ascii="Times New Roman" w:eastAsiaTheme="minorEastAsia" w:hAnsi="Times New Roman" w:cs="Times New Roman"/>
          <w:sz w:val="24"/>
          <w:szCs w:val="24"/>
          <w:lang w:eastAsia="uk-UA"/>
        </w:rPr>
        <w:t xml:space="preserve"> от </w:t>
      </w:r>
      <w:proofErr w:type="spellStart"/>
      <w:r w:rsidRPr="009C61FC">
        <w:rPr>
          <w:rFonts w:ascii="Times New Roman" w:eastAsiaTheme="minorEastAsia" w:hAnsi="Times New Roman" w:cs="Times New Roman"/>
          <w:sz w:val="24"/>
          <w:szCs w:val="24"/>
          <w:lang w:eastAsia="uk-UA"/>
        </w:rPr>
        <w:t>загрязнения</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выбросами</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двигателей</w:t>
      </w:r>
      <w:proofErr w:type="spellEnd"/>
      <w:r w:rsidRPr="009C61FC">
        <w:rPr>
          <w:rFonts w:ascii="Times New Roman" w:eastAsiaTheme="minorEastAsia" w:hAnsi="Times New Roman" w:cs="Times New Roman"/>
          <w:sz w:val="24"/>
          <w:szCs w:val="24"/>
          <w:lang w:eastAsia="uk-UA"/>
        </w:rPr>
        <w:t xml:space="preserve">. - К.: Урожай, 1989. - 224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5. Ковальський В., </w:t>
      </w:r>
      <w:proofErr w:type="spellStart"/>
      <w:r w:rsidRPr="009C61FC">
        <w:rPr>
          <w:rFonts w:ascii="Times New Roman" w:eastAsiaTheme="minorEastAsia" w:hAnsi="Times New Roman" w:cs="Times New Roman"/>
          <w:sz w:val="24"/>
          <w:szCs w:val="24"/>
          <w:lang w:eastAsia="uk-UA"/>
        </w:rPr>
        <w:t>Голодников</w:t>
      </w:r>
      <w:proofErr w:type="spellEnd"/>
      <w:r w:rsidRPr="009C61FC">
        <w:rPr>
          <w:rFonts w:ascii="Times New Roman" w:eastAsiaTheme="minorEastAsia" w:hAnsi="Times New Roman" w:cs="Times New Roman"/>
          <w:sz w:val="24"/>
          <w:szCs w:val="24"/>
          <w:lang w:eastAsia="uk-UA"/>
        </w:rPr>
        <w:t xml:space="preserve"> А., </w:t>
      </w:r>
      <w:proofErr w:type="spellStart"/>
      <w:r w:rsidRPr="009C61FC">
        <w:rPr>
          <w:rFonts w:ascii="Times New Roman" w:eastAsiaTheme="minorEastAsia" w:hAnsi="Times New Roman" w:cs="Times New Roman"/>
          <w:sz w:val="24"/>
          <w:szCs w:val="24"/>
          <w:lang w:eastAsia="uk-UA"/>
        </w:rPr>
        <w:t>Григорак</w:t>
      </w:r>
      <w:proofErr w:type="spellEnd"/>
      <w:r w:rsidRPr="009C61FC">
        <w:rPr>
          <w:rFonts w:ascii="Times New Roman" w:eastAsiaTheme="minorEastAsia" w:hAnsi="Times New Roman" w:cs="Times New Roman"/>
          <w:sz w:val="24"/>
          <w:szCs w:val="24"/>
          <w:lang w:eastAsia="uk-UA"/>
        </w:rPr>
        <w:t xml:space="preserve"> М., </w:t>
      </w:r>
      <w:proofErr w:type="spellStart"/>
      <w:r w:rsidRPr="009C61FC">
        <w:rPr>
          <w:rFonts w:ascii="Times New Roman" w:eastAsiaTheme="minorEastAsia" w:hAnsi="Times New Roman" w:cs="Times New Roman"/>
          <w:sz w:val="24"/>
          <w:szCs w:val="24"/>
          <w:lang w:eastAsia="uk-UA"/>
        </w:rPr>
        <w:t>Косарев</w:t>
      </w:r>
      <w:proofErr w:type="spellEnd"/>
      <w:r w:rsidRPr="009C61FC">
        <w:rPr>
          <w:rFonts w:ascii="Times New Roman" w:eastAsiaTheme="minorEastAsia" w:hAnsi="Times New Roman" w:cs="Times New Roman"/>
          <w:sz w:val="24"/>
          <w:szCs w:val="24"/>
          <w:lang w:eastAsia="uk-UA"/>
        </w:rPr>
        <w:t xml:space="preserve"> А., Кузьменко В. Про підвищення рівня енергетично-екологічної безпеки України // - 2000. - N 10. - 34 - 41 (38).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6. </w:t>
      </w:r>
      <w:proofErr w:type="spellStart"/>
      <w:r w:rsidRPr="009C61FC">
        <w:rPr>
          <w:rFonts w:ascii="Times New Roman" w:eastAsiaTheme="minorEastAsia" w:hAnsi="Times New Roman" w:cs="Times New Roman"/>
          <w:sz w:val="24"/>
          <w:szCs w:val="24"/>
          <w:lang w:eastAsia="uk-UA"/>
        </w:rPr>
        <w:t>Промышленно-транспортная</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экология</w:t>
      </w:r>
      <w:proofErr w:type="spellEnd"/>
      <w:r w:rsidRPr="009C61FC">
        <w:rPr>
          <w:rFonts w:ascii="Times New Roman" w:eastAsiaTheme="minorEastAsia" w:hAnsi="Times New Roman" w:cs="Times New Roman"/>
          <w:sz w:val="24"/>
          <w:szCs w:val="24"/>
          <w:lang w:eastAsia="uk-UA"/>
        </w:rPr>
        <w:t xml:space="preserve">: </w:t>
      </w:r>
      <w:proofErr w:type="spellStart"/>
      <w:r w:rsidRPr="009C61FC">
        <w:rPr>
          <w:rFonts w:ascii="Times New Roman" w:eastAsiaTheme="minorEastAsia" w:hAnsi="Times New Roman" w:cs="Times New Roman"/>
          <w:sz w:val="24"/>
          <w:szCs w:val="24"/>
          <w:lang w:eastAsia="uk-UA"/>
        </w:rPr>
        <w:t>учебник</w:t>
      </w:r>
      <w:proofErr w:type="spellEnd"/>
      <w:r w:rsidRPr="009C61FC">
        <w:rPr>
          <w:rFonts w:ascii="Times New Roman" w:eastAsiaTheme="minorEastAsia" w:hAnsi="Times New Roman" w:cs="Times New Roman"/>
          <w:sz w:val="24"/>
          <w:szCs w:val="24"/>
          <w:lang w:eastAsia="uk-UA"/>
        </w:rPr>
        <w:t xml:space="preserve"> для </w:t>
      </w:r>
      <w:proofErr w:type="spellStart"/>
      <w:r w:rsidRPr="009C61FC">
        <w:rPr>
          <w:rFonts w:ascii="Times New Roman" w:eastAsiaTheme="minorEastAsia" w:hAnsi="Times New Roman" w:cs="Times New Roman"/>
          <w:sz w:val="24"/>
          <w:szCs w:val="24"/>
          <w:lang w:eastAsia="uk-UA"/>
        </w:rPr>
        <w:t>студентов</w:t>
      </w:r>
      <w:proofErr w:type="spellEnd"/>
      <w:r w:rsidRPr="009C61FC">
        <w:rPr>
          <w:rFonts w:ascii="Times New Roman" w:eastAsiaTheme="minorEastAsia" w:hAnsi="Times New Roman" w:cs="Times New Roman"/>
          <w:sz w:val="24"/>
          <w:szCs w:val="24"/>
          <w:lang w:eastAsia="uk-UA"/>
        </w:rPr>
        <w:t xml:space="preserve"> ВУЗ/ В. Н. </w:t>
      </w:r>
      <w:proofErr w:type="spellStart"/>
      <w:r w:rsidRPr="009C61FC">
        <w:rPr>
          <w:rFonts w:ascii="Times New Roman" w:eastAsiaTheme="minorEastAsia" w:hAnsi="Times New Roman" w:cs="Times New Roman"/>
          <w:sz w:val="24"/>
          <w:szCs w:val="24"/>
          <w:lang w:eastAsia="uk-UA"/>
        </w:rPr>
        <w:t>Луканин</w:t>
      </w:r>
      <w:proofErr w:type="spellEnd"/>
      <w:r w:rsidRPr="009C61FC">
        <w:rPr>
          <w:rFonts w:ascii="Times New Roman" w:eastAsiaTheme="minorEastAsia" w:hAnsi="Times New Roman" w:cs="Times New Roman"/>
          <w:sz w:val="24"/>
          <w:szCs w:val="24"/>
          <w:lang w:eastAsia="uk-UA"/>
        </w:rPr>
        <w:t xml:space="preserve">, Ю. В. Трофименко. - М.: </w:t>
      </w:r>
      <w:proofErr w:type="spellStart"/>
      <w:r w:rsidRPr="009C61FC">
        <w:rPr>
          <w:rFonts w:ascii="Times New Roman" w:eastAsiaTheme="minorEastAsia" w:hAnsi="Times New Roman" w:cs="Times New Roman"/>
          <w:sz w:val="24"/>
          <w:szCs w:val="24"/>
          <w:lang w:eastAsia="uk-UA"/>
        </w:rPr>
        <w:t>Высшая</w:t>
      </w:r>
      <w:proofErr w:type="spellEnd"/>
      <w:r w:rsidRPr="009C61FC">
        <w:rPr>
          <w:rFonts w:ascii="Times New Roman" w:eastAsiaTheme="minorEastAsia" w:hAnsi="Times New Roman" w:cs="Times New Roman"/>
          <w:sz w:val="24"/>
          <w:szCs w:val="24"/>
          <w:lang w:eastAsia="uk-UA"/>
        </w:rPr>
        <w:t xml:space="preserve"> школа, 2001. - 296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7. Паливно-енергетичні ресурси України: Статистичний збірник / Державний комітет статистики України - К., 2001. - 273 с. </w:t>
      </w:r>
    </w:p>
    <w:p w:rsidR="009C61FC" w:rsidRPr="009C61FC" w:rsidRDefault="009C61FC" w:rsidP="009C61FC">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lastRenderedPageBreak/>
        <w:t xml:space="preserve">8. Транспорт і зв'язок України: Статистичний збірник/Державний комітет статистики України - К., 2003. - 219 с. </w:t>
      </w:r>
    </w:p>
    <w:p w:rsidR="009C61FC" w:rsidRPr="009C61FC" w:rsidRDefault="009C61FC" w:rsidP="009C61FC">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C61FC">
        <w:rPr>
          <w:rFonts w:ascii="Times New Roman" w:eastAsiaTheme="minorEastAsia" w:hAnsi="Times New Roman" w:cs="Times New Roman"/>
          <w:sz w:val="24"/>
          <w:szCs w:val="24"/>
          <w:lang w:eastAsia="uk-UA"/>
        </w:rPr>
        <w:t xml:space="preserve">____________ </w:t>
      </w:r>
    </w:p>
    <w:sectPr w:rsidR="009C61FC" w:rsidRPr="009C61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FC"/>
    <w:rsid w:val="007725AF"/>
    <w:rsid w:val="009C61FC"/>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BABE3-7F49-4650-8985-E77A2356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C61FC"/>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9C61FC"/>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61FC"/>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9C61FC"/>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9C61FC"/>
  </w:style>
  <w:style w:type="paragraph" w:customStyle="1" w:styleId="msonormal0">
    <w:name w:val="msonormal"/>
    <w:basedOn w:val="a"/>
    <w:rsid w:val="009C61FC"/>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9C61FC"/>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fin42578_img_002.gif" TargetMode="External"/><Relationship Id="rId13" Type="http://schemas.openxmlformats.org/officeDocument/2006/relationships/image" Target="file:///C:\Users\t.borovich\AppData\Roaming\Liga70\Client\Session\FIN42578_IMG_004.GI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t.borovich\AppData\Roaming\Liga70\Client\Session\fin42578_IMG_003.gif" TargetMode="External"/><Relationship Id="rId12" Type="http://schemas.openxmlformats.org/officeDocument/2006/relationships/image" Target="file:///C:\Users\t.borovich\AppData\Roaming\Liga70\Client\Session\fin42578_img_003.gi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C:\Users\t.borovich\AppData\Roaming\Liga70\Client\Session\FIN42578_IMG_006.GIF" TargetMode="External"/><Relationship Id="rId1" Type="http://schemas.openxmlformats.org/officeDocument/2006/relationships/styles" Target="styles.xml"/><Relationship Id="rId6" Type="http://schemas.openxmlformats.org/officeDocument/2006/relationships/image" Target="file:///C:\Users\t.borovich\AppData\Roaming\Liga70\Client\Session\fin42578_img_001.gif" TargetMode="External"/><Relationship Id="rId11" Type="http://schemas.openxmlformats.org/officeDocument/2006/relationships/image" Target="file:///C:\Users\t.borovich\AppData\Roaming\Liga70\Client\Session\fin42578_IMG_005.gif" TargetMode="External"/><Relationship Id="rId5" Type="http://schemas.openxmlformats.org/officeDocument/2006/relationships/image" Target="file:///C:\Users\t.borovich\AppData\Roaming\Liga70\Client\Session\fin42578_IMG_002.gif" TargetMode="External"/><Relationship Id="rId15" Type="http://schemas.openxmlformats.org/officeDocument/2006/relationships/image" Target="file:///C:\Users\t.borovich\AppData\Roaming\Liga70\Client\Session\fin42578_IMG_006.gif" TargetMode="External"/><Relationship Id="rId10" Type="http://schemas.openxmlformats.org/officeDocument/2006/relationships/image" Target="file:///C:\Users\t.borovich\AppData\Roaming\Liga70\Client\Session\fin42578_IMG_004.gif" TargetMode="External"/><Relationship Id="rId4" Type="http://schemas.openxmlformats.org/officeDocument/2006/relationships/image" Target="file:///C:\Users\t.borovich\AppData\Roaming\Liga70\Client\Session\fin42578_IMG_001.gif" TargetMode="External"/><Relationship Id="rId9" Type="http://schemas.openxmlformats.org/officeDocument/2006/relationships/image" Target="file:///C:\Users\t.borovich\AppData\Roaming\Liga70\Client\Session\FIN42578_IMG_001.GIF" TargetMode="External"/><Relationship Id="rId14" Type="http://schemas.openxmlformats.org/officeDocument/2006/relationships/image" Target="file:///C:\Users\t.borovich\AppData\Roaming\Liga70\Client\Session\FIN42578_IMG_005.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29601</Words>
  <Characters>16873</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2018-03-13T14:49:00Z</dcterms:created>
  <dcterms:modified xsi:type="dcterms:W3CDTF">2018-03-13T14:50:00Z</dcterms:modified>
</cp:coreProperties>
</file>