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E0760" w14:textId="77777777" w:rsidR="008D04E9" w:rsidRPr="008D04E9" w:rsidRDefault="008D04E9" w:rsidP="008D04E9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8D04E9">
        <w:rPr>
          <w:rFonts w:ascii="Times New Roman" w:hAnsi="Times New Roman" w:cs="Times New Roman"/>
          <w:b/>
          <w:bCs/>
          <w:i/>
          <w:iCs/>
        </w:rPr>
        <w:t>МІНІСТЕРСТВО ОСВІТИ І НАУКИ УКРАЇНИ</w:t>
      </w:r>
    </w:p>
    <w:p w14:paraId="523CB172" w14:textId="77777777" w:rsidR="008D04E9" w:rsidRPr="008D04E9" w:rsidRDefault="008D04E9" w:rsidP="008D04E9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8D04E9">
        <w:rPr>
          <w:rFonts w:ascii="Times New Roman" w:hAnsi="Times New Roman" w:cs="Times New Roman"/>
          <w:b/>
          <w:bCs/>
          <w:i/>
          <w:iCs/>
        </w:rPr>
        <w:t>ЛИСТ</w:t>
      </w:r>
    </w:p>
    <w:p w14:paraId="7D703DC0" w14:textId="77AFB47E" w:rsidR="008D04E9" w:rsidRDefault="008D04E9" w:rsidP="008D04E9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8D04E9">
        <w:rPr>
          <w:rFonts w:ascii="Times New Roman" w:hAnsi="Times New Roman" w:cs="Times New Roman"/>
          <w:b/>
          <w:bCs/>
          <w:i/>
          <w:iCs/>
        </w:rPr>
        <w:t>від 24.05.2026 № 1/11114-26</w:t>
      </w:r>
    </w:p>
    <w:p w14:paraId="30066604" w14:textId="77777777" w:rsidR="008D04E9" w:rsidRPr="008D04E9" w:rsidRDefault="008D04E9" w:rsidP="008D04E9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5FDD8B3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Міністерство освіти і науки України розглянуло лист &lt;…&gt; стосовно здійснення видатків для розпорядників бюджетних коштів, які мають укладені договори на послуги з харчування (</w:t>
      </w:r>
      <w:proofErr w:type="spellStart"/>
      <w:r w:rsidRPr="008D04E9">
        <w:rPr>
          <w:rFonts w:ascii="Times New Roman" w:hAnsi="Times New Roman" w:cs="Times New Roman"/>
        </w:rPr>
        <w:t>кейтеринг</w:t>
      </w:r>
      <w:proofErr w:type="spellEnd"/>
      <w:r w:rsidRPr="008D04E9">
        <w:rPr>
          <w:rFonts w:ascii="Times New Roman" w:hAnsi="Times New Roman" w:cs="Times New Roman"/>
        </w:rPr>
        <w:t xml:space="preserve"> або аутсорсинг) та в межах компетенції повідомляє.</w:t>
      </w:r>
    </w:p>
    <w:p w14:paraId="700034AA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Постановою Кабінету Міністрів України від 25 березня 2026 року № 400 «Про внесення змін до пункту 4 Порядку та умов надання субвенції з державного бюджету місцевим бюджетам на забезпечення харчуванням учнів закладів загальної середньої освіти» (далі – Постанова № 400) були внесені зміни до Порядку та умов надання субвенції з державного бюджету місцевим бюджетам на забезпечення харчуванням учнів закладів загальної середньої освіти, затверджених постановою Кабінету Міністрів України від 20 грудня 2024 року № 1456 (далі – Порядок та умови № 1456).</w:t>
      </w:r>
    </w:p>
    <w:p w14:paraId="0E4753CB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Так, Постановою № 400 скасований фіксований розмір співфінансування при оплаті послуг з харчування (</w:t>
      </w:r>
      <w:proofErr w:type="spellStart"/>
      <w:r w:rsidRPr="008D04E9">
        <w:rPr>
          <w:rFonts w:ascii="Times New Roman" w:hAnsi="Times New Roman" w:cs="Times New Roman"/>
        </w:rPr>
        <w:t>кейтеринг</w:t>
      </w:r>
      <w:proofErr w:type="spellEnd"/>
      <w:r w:rsidRPr="008D04E9">
        <w:rPr>
          <w:rFonts w:ascii="Times New Roman" w:hAnsi="Times New Roman" w:cs="Times New Roman"/>
        </w:rPr>
        <w:t xml:space="preserve"> або аутсорсинг) надавачам послуг з харчування за рахунок субвенції з державного бюджету місцевим бюджетам на забезпечення харчуванням учнів закладів загальної середньої освіти (далі – субвенція на харчування) у розмірі 70 відсотків за рахунок коштів місцевих бюджетів та/або інших джерел, визначених абзацом третім пункту 7 Порядку та умов № 1456, у розмірі 30 відсотків.</w:t>
      </w:r>
    </w:p>
    <w:p w14:paraId="2C899FE8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Також передбачено можливість спрямування субвенції на харчування виключно на оплату вартості продуктів харчування у разі забезпечення одноразовим гарячим харчуванням учнів надавачами послуг з харчування (</w:t>
      </w:r>
      <w:proofErr w:type="spellStart"/>
      <w:r w:rsidRPr="008D04E9">
        <w:rPr>
          <w:rFonts w:ascii="Times New Roman" w:hAnsi="Times New Roman" w:cs="Times New Roman"/>
        </w:rPr>
        <w:t>кейтеринг</w:t>
      </w:r>
      <w:proofErr w:type="spellEnd"/>
      <w:r w:rsidRPr="008D04E9">
        <w:rPr>
          <w:rFonts w:ascii="Times New Roman" w:hAnsi="Times New Roman" w:cs="Times New Roman"/>
        </w:rPr>
        <w:t xml:space="preserve"> або аутсорсинг).</w:t>
      </w:r>
    </w:p>
    <w:p w14:paraId="3C298323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Слід зазначити, що при забезпеченні харчуванням учнів закладів загальної середньої освіти закладом самостійно кошти субвенції повністю спрямовуються на закупівлю продуктів харчування. Решта видатків з організації харчування покладається на засновників закладів освіти.</w:t>
      </w:r>
    </w:p>
    <w:p w14:paraId="40B5FF32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При забезпеченні харчуванням учнів надавачами послуг з харчування (</w:t>
      </w:r>
      <w:proofErr w:type="spellStart"/>
      <w:r w:rsidRPr="008D04E9">
        <w:rPr>
          <w:rFonts w:ascii="Times New Roman" w:hAnsi="Times New Roman" w:cs="Times New Roman"/>
        </w:rPr>
        <w:t>кейтеринг</w:t>
      </w:r>
      <w:proofErr w:type="spellEnd"/>
      <w:r w:rsidRPr="008D04E9">
        <w:rPr>
          <w:rFonts w:ascii="Times New Roman" w:hAnsi="Times New Roman" w:cs="Times New Roman"/>
        </w:rPr>
        <w:t xml:space="preserve"> або аутсорсинг) до вартості послуг, крім продуктів харчування, надавач послуг закладає транспортні видатки, оплату транспортуючих коштів державного бюджету не передбачена.</w:t>
      </w:r>
    </w:p>
    <w:p w14:paraId="64753DDA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В той же час при наявному співфінансуванні 70 на 30 відсотків існує вірогідність сплати за рахунок субвенції на харчування у 70 відсотках вартості послуг, крім вартості безпосередньо продуктів харчування, – вартості інших витрат надавача послуг.</w:t>
      </w:r>
    </w:p>
    <w:p w14:paraId="2F7F2904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Таким чином, внесені зміни встановлюють чітке розмежування витрат:</w:t>
      </w:r>
    </w:p>
    <w:p w14:paraId="31D2AACA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витрати на придбання продуктів харчування або оплату вартості продуктів харчування – за рахунок субвенції;</w:t>
      </w:r>
    </w:p>
    <w:p w14:paraId="79EEE27E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витрати на оплату супутніх складових вартості послуг надавача послуг харчування (</w:t>
      </w:r>
      <w:proofErr w:type="spellStart"/>
      <w:r w:rsidRPr="008D04E9">
        <w:rPr>
          <w:rFonts w:ascii="Times New Roman" w:hAnsi="Times New Roman" w:cs="Times New Roman"/>
        </w:rPr>
        <w:t>кейтеринг</w:t>
      </w:r>
      <w:proofErr w:type="spellEnd"/>
      <w:r w:rsidRPr="008D04E9">
        <w:rPr>
          <w:rFonts w:ascii="Times New Roman" w:hAnsi="Times New Roman" w:cs="Times New Roman"/>
        </w:rPr>
        <w:t xml:space="preserve"> або аутсорсинг) – за рахунок коштів місцевих бюджетів та/або інших джерел, визначених абзацом третім пункту 7 Порядку та умов № 1456.</w:t>
      </w:r>
    </w:p>
    <w:p w14:paraId="5C73F72E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Зазначене дає можливість місцевим бюджетам самостійно визначати обсяг покриття тих складових вартості послуги, які не оплачуються за рахунок субвенції, за умови належного документального підтвердження такого розмежування.</w:t>
      </w:r>
    </w:p>
    <w:p w14:paraId="5DDB5D08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 xml:space="preserve">Також чітке розмежування витрат на закупівлю продуктів харчування та на оплату послуг </w:t>
      </w:r>
      <w:proofErr w:type="spellStart"/>
      <w:r w:rsidRPr="008D04E9">
        <w:rPr>
          <w:rFonts w:ascii="Times New Roman" w:hAnsi="Times New Roman" w:cs="Times New Roman"/>
        </w:rPr>
        <w:t>кейтерингу</w:t>
      </w:r>
      <w:proofErr w:type="spellEnd"/>
      <w:r w:rsidRPr="008D04E9">
        <w:rPr>
          <w:rFonts w:ascii="Times New Roman" w:hAnsi="Times New Roman" w:cs="Times New Roman"/>
        </w:rPr>
        <w:t xml:space="preserve"> або аутсорсингу та визначення джерел їх покриття забезпечить можливість місцевим бюджетам самостійно встановлювати обсяг співфінансування та більш </w:t>
      </w:r>
      <w:proofErr w:type="spellStart"/>
      <w:r w:rsidRPr="008D04E9">
        <w:rPr>
          <w:rFonts w:ascii="Times New Roman" w:hAnsi="Times New Roman" w:cs="Times New Roman"/>
        </w:rPr>
        <w:t>гнучко</w:t>
      </w:r>
      <w:proofErr w:type="spellEnd"/>
      <w:r w:rsidRPr="008D04E9">
        <w:rPr>
          <w:rFonts w:ascii="Times New Roman" w:hAnsi="Times New Roman" w:cs="Times New Roman"/>
        </w:rPr>
        <w:t xml:space="preserve"> формувати цінову політику щодо відповідних послуг.</w:t>
      </w:r>
    </w:p>
    <w:p w14:paraId="0CBD1464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Постанова № 400 набирає чинності з дати її опублікування, тобто з 01 квітня 2026 року В той же час на цю дату вже укладені договори та учні отримують харчування.</w:t>
      </w:r>
    </w:p>
    <w:p w14:paraId="13F9FCAF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lastRenderedPageBreak/>
        <w:t>Всі акти виконаних робіт/наданих послуг до 31 березня 2026 року включно підлягають оплаті відповідно до Порядку та умов № 1456, у редакції, що діяла на момент їх надання (тобто до внесених змін відповідно до Постанови № 400).</w:t>
      </w:r>
    </w:p>
    <w:p w14:paraId="03576684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Стосовно вже укладених договорів до набрання чинності зазначених змін з надавачами послуг харчування (</w:t>
      </w:r>
      <w:proofErr w:type="spellStart"/>
      <w:r w:rsidRPr="008D04E9">
        <w:rPr>
          <w:rFonts w:ascii="Times New Roman" w:hAnsi="Times New Roman" w:cs="Times New Roman"/>
        </w:rPr>
        <w:t>кейтеринг</w:t>
      </w:r>
      <w:proofErr w:type="spellEnd"/>
      <w:r w:rsidRPr="008D04E9">
        <w:rPr>
          <w:rFonts w:ascii="Times New Roman" w:hAnsi="Times New Roman" w:cs="Times New Roman"/>
        </w:rPr>
        <w:t xml:space="preserve"> або аутсорсинг), то зауважуємо, що предмет (послуга з харчування) договорів не змінився та структура послуги залишається незмінною.</w:t>
      </w:r>
    </w:p>
    <w:p w14:paraId="09D97E76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Зміна джерела фінансування або деталізація калькуляції всередині існуючої ціни договору не впливає на сам предмет закупівлі, а лише призводить до уточнення порядку розрахунків.</w:t>
      </w:r>
    </w:p>
    <w:p w14:paraId="48CCBA61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Законодавче виокремлення у структурі послуги з харчування оплати вартості продуктів харчування саме за рахунок коштів субвенції не змінює її структуру, а лише чітко розмежовує джерела покриття витрат.</w:t>
      </w:r>
    </w:p>
    <w:p w14:paraId="1A90BD3F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Джерела покриття витрат залишилися тими самими, як і до внесення змін: субвенція на харчування, кошти місцевих бюджетів та/або інші джерела, визначені абзацом третім пункту 7 Порядку та умов № 1456.</w:t>
      </w:r>
    </w:p>
    <w:p w14:paraId="7A4B852C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Таким чином, щодо договорів, укладених до набрання чинності Постанови № 400, зазначаємо, що внесені зміни стосуються порядку розмежування джерел покриття витрат у складі послуги з харчування та не змінюють предмет закупівлі як послуги з харчування.</w:t>
      </w:r>
    </w:p>
    <w:p w14:paraId="59B1FA08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Зазначені заходи сприяють забезпеченню прозорості розрахунків, дотримання вимог бюджетного законодавства та недопущення використання коштів субвенції не за цільовим призначенням.</w:t>
      </w:r>
    </w:p>
    <w:p w14:paraId="5D527772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Водночас подальші розрахунки за такими договорами мають здійснюватися з урахуванням оновлених вимог щодо окремого визначення вартості продуктів харчування та інших складових послуги. У зв’язку з цим замовникам доцільно забезпечити належне документальне підтвердження такого розмежування, зокрема у калькуляції вартості послуги та документах, що є підставою для проведення розрахунків.</w:t>
      </w:r>
    </w:p>
    <w:p w14:paraId="58D3DCB9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В той же час в процесі імплементації змін до Порядку та умов № 1456 виникла необхідність у поетапному впровадженні змін напряму спрямування коштів субвенції з державного бюджету місцевим бюджетам на забезпечення харчуванням учнів закладів загальної середньої освіти внаслідок особливостей укладених договорів в деяких засновників закладів освіти.</w:t>
      </w:r>
    </w:p>
    <w:p w14:paraId="49DAA71C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З цією метою МОН розроблено проєкт постанови Кабінету Міністрів України «Про внесення змін до пункту 4 Порядку та умов надання субвенції з державного бюджету місцевим бюджетам на забезпечення харчуванням учнів закладів загальної середньої освіти», який листом від 13 травня 2026 року № 1/10187-26 надіслано на розгляд Кабінету Міністрів України.</w:t>
      </w:r>
    </w:p>
    <w:p w14:paraId="7B355D4D" w14:textId="77777777" w:rsidR="008D04E9" w:rsidRPr="008D04E9" w:rsidRDefault="008D04E9" w:rsidP="008D04E9">
      <w:pPr>
        <w:rPr>
          <w:rFonts w:ascii="Times New Roman" w:hAnsi="Times New Roman" w:cs="Times New Roman"/>
        </w:rPr>
      </w:pPr>
      <w:r w:rsidRPr="008D04E9">
        <w:rPr>
          <w:rFonts w:ascii="Times New Roman" w:hAnsi="Times New Roman" w:cs="Times New Roman"/>
        </w:rPr>
        <w:t>Постанову прийнято Урядом 20 травня 2026 року та зареєстровано за № 640.</w:t>
      </w:r>
    </w:p>
    <w:p w14:paraId="75475B98" w14:textId="0DFF550A" w:rsidR="00961D17" w:rsidRPr="008D04E9" w:rsidRDefault="00961D17" w:rsidP="008D04E9"/>
    <w:sectPr w:rsidR="00961D17" w:rsidRPr="008D04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93"/>
    <w:rsid w:val="006437E5"/>
    <w:rsid w:val="008D04E9"/>
    <w:rsid w:val="00916D93"/>
    <w:rsid w:val="00961D17"/>
    <w:rsid w:val="00DE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C45E7"/>
  <w15:chartTrackingRefBased/>
  <w15:docId w15:val="{7D8ABB12-4BB2-4652-B5C2-5FC3D0DA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6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6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6D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6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6D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6D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6D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6D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6D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D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6D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6D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6D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6D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6D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6D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6D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6D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6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6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6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6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6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6D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6D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6D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6D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6D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6D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3850</Words>
  <Characters>2195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Злата Герасименко</dc:creator>
  <cp:keywords/>
  <dc:description/>
  <cp:lastModifiedBy>Злата Герасименко</cp:lastModifiedBy>
  <cp:revision>3</cp:revision>
  <dcterms:created xsi:type="dcterms:W3CDTF">2026-06-05T07:06:00Z</dcterms:created>
  <dcterms:modified xsi:type="dcterms:W3CDTF">2026-06-05T07:33:00Z</dcterms:modified>
</cp:coreProperties>
</file>