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0760" w14:textId="77777777" w:rsidR="008D04E9" w:rsidRPr="008D04E9" w:rsidRDefault="008D04E9" w:rsidP="008D04E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D04E9">
        <w:rPr>
          <w:rFonts w:ascii="Times New Roman" w:hAnsi="Times New Roman" w:cs="Times New Roman"/>
          <w:b/>
          <w:bCs/>
          <w:i/>
          <w:iCs/>
        </w:rPr>
        <w:t>МІНІСТЕРСТВО ОСВІТИ І НАУКИ УКРАЇНИ</w:t>
      </w:r>
    </w:p>
    <w:p w14:paraId="523CB172" w14:textId="77777777" w:rsidR="008D04E9" w:rsidRPr="008D04E9" w:rsidRDefault="008D04E9" w:rsidP="008D04E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D04E9">
        <w:rPr>
          <w:rFonts w:ascii="Times New Roman" w:hAnsi="Times New Roman" w:cs="Times New Roman"/>
          <w:b/>
          <w:bCs/>
          <w:i/>
          <w:iCs/>
        </w:rPr>
        <w:t>ЛИСТ</w:t>
      </w:r>
    </w:p>
    <w:p w14:paraId="7D703DC0" w14:textId="77AFB47E" w:rsidR="008D04E9" w:rsidRDefault="008D04E9" w:rsidP="008D04E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D04E9">
        <w:rPr>
          <w:rFonts w:ascii="Times New Roman" w:hAnsi="Times New Roman" w:cs="Times New Roman"/>
          <w:b/>
          <w:bCs/>
          <w:i/>
          <w:iCs/>
        </w:rPr>
        <w:t>від 24.05.2026 № 1/11114-26</w:t>
      </w:r>
    </w:p>
    <w:p w14:paraId="30066604" w14:textId="77777777" w:rsidR="008D04E9" w:rsidRPr="008D04E9" w:rsidRDefault="008D04E9" w:rsidP="008D04E9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5FDD8B3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Міністерство освіти і науки України розглянуло лист &lt;…&gt; стосовно здійснення видатків для розпорядників бюджетних коштів, які мають укладені договори на послуги з харчування (</w:t>
      </w:r>
      <w:proofErr w:type="spellStart"/>
      <w:r w:rsidRPr="008D04E9">
        <w:rPr>
          <w:rFonts w:ascii="Times New Roman" w:hAnsi="Times New Roman" w:cs="Times New Roman"/>
        </w:rPr>
        <w:t>кейтеринг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аутсорсинг) та в межах компетенції повідомляє.</w:t>
      </w:r>
    </w:p>
    <w:p w14:paraId="700034AA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Постановою Кабінету Міністрів України від 25 березня 2026 року № 400 «Про внесення змін до пункту 4 Порядку та умов надання субвенції з державного бюджету місцевим бюджетам на забезпечення харчуванням учнів закладів загальної середньої освіти» (далі – Постанова № 400) були внесені зміни до Порядку та умов надання субвенції з державного бюджету місцевим бюджетам на забезпечення харчуванням учнів закладів загальної середньої освіти, затверджених постановою Кабінету Міністрів України від 20 грудня 2024 року № 1456 (далі – Порядок та умови № 1456).</w:t>
      </w:r>
    </w:p>
    <w:p w14:paraId="0E4753CB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Так, Постановою № 400 скасований фіксований розмір співфінансування при оплаті послуг з харчування (</w:t>
      </w:r>
      <w:proofErr w:type="spellStart"/>
      <w:r w:rsidRPr="008D04E9">
        <w:rPr>
          <w:rFonts w:ascii="Times New Roman" w:hAnsi="Times New Roman" w:cs="Times New Roman"/>
        </w:rPr>
        <w:t>кейтеринг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аутсорсинг) надавачам послуг з харчування за рахунок субвенції з державного бюджету місцевим бюджетам на забезпечення харчуванням учнів закладів загальної середньої освіти (далі – субвенція на харчування) у розмірі 70 відсотків за рахунок коштів місцевих бюджетів та/або інших джерел, визначених абзацом третім пункту 7 Порядку та умов № 1456, у розмірі 30 відсотків.</w:t>
      </w:r>
    </w:p>
    <w:p w14:paraId="2C899FE8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Також передбачено можливість спрямування субвенції на харчування виключно на оплату вартості продуктів харчування у разі забезпечення одноразовим гарячим харчуванням учнів надавачами послуг з харчування (</w:t>
      </w:r>
      <w:proofErr w:type="spellStart"/>
      <w:r w:rsidRPr="008D04E9">
        <w:rPr>
          <w:rFonts w:ascii="Times New Roman" w:hAnsi="Times New Roman" w:cs="Times New Roman"/>
        </w:rPr>
        <w:t>кейтеринг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аутсорсинг).</w:t>
      </w:r>
    </w:p>
    <w:p w14:paraId="3C298323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Слід зазначити, що при забезпеченні харчуванням учнів закладів загальної середньої освіти закладом самостійно кошти субвенції повністю спрямовуються на закупівлю продуктів харчування. Решта видатків з організації харчування покладається на засновників закладів освіти.</w:t>
      </w:r>
    </w:p>
    <w:p w14:paraId="40B5FF32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При забезпеченні харчуванням учнів надавачами послуг з харчування (</w:t>
      </w:r>
      <w:proofErr w:type="spellStart"/>
      <w:r w:rsidRPr="008D04E9">
        <w:rPr>
          <w:rFonts w:ascii="Times New Roman" w:hAnsi="Times New Roman" w:cs="Times New Roman"/>
        </w:rPr>
        <w:t>кейтеринг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аутсорсинг) до вартості послуг, крім продуктів харчування, надавач послуг закладає транспортні видатки, оплату транспортуючих коштів державного бюджету не передбачена.</w:t>
      </w:r>
    </w:p>
    <w:p w14:paraId="64753DDA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В той же час при наявному співфінансуванні 70 на 30 відсотків існує вірогідність сплати за рахунок субвенції на харчування у 70 відсотках вартості послуг, крім вартості безпосередньо продуктів харчування, – вартості інших витрат надавача послуг.</w:t>
      </w:r>
    </w:p>
    <w:p w14:paraId="2F7F2904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Таким чином, внесені зміни встановлюють чітке розмежування витрат:</w:t>
      </w:r>
    </w:p>
    <w:p w14:paraId="31D2AACA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витрати на придбання продуктів харчування або оплату вартості продуктів харчування – за рахунок субвенції;</w:t>
      </w:r>
    </w:p>
    <w:p w14:paraId="79EEE27E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витрати на оплату супутніх складових вартості послуг надавача послуг харчування (</w:t>
      </w:r>
      <w:proofErr w:type="spellStart"/>
      <w:r w:rsidRPr="008D04E9">
        <w:rPr>
          <w:rFonts w:ascii="Times New Roman" w:hAnsi="Times New Roman" w:cs="Times New Roman"/>
        </w:rPr>
        <w:t>кейтеринг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аутсорсинг) – за рахунок коштів місцевих бюджетів та/або інших джерел, визначених абзацом третім пункту 7 Порядку та умов № 1456.</w:t>
      </w:r>
    </w:p>
    <w:p w14:paraId="5C73F72E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Зазначене дає можливість місцевим бюджетам самостійно визначати обсяг покриття тих складових вартості послуги, які не оплачуються за рахунок субвенції, за умови належного документального підтвердження такого розмежування.</w:t>
      </w:r>
    </w:p>
    <w:p w14:paraId="5DDB5D08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 xml:space="preserve">Також чітке розмежування витрат на закупівлю продуктів харчування та на оплату послуг </w:t>
      </w:r>
      <w:proofErr w:type="spellStart"/>
      <w:r w:rsidRPr="008D04E9">
        <w:rPr>
          <w:rFonts w:ascii="Times New Roman" w:hAnsi="Times New Roman" w:cs="Times New Roman"/>
        </w:rPr>
        <w:t>кейтерингу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аутсорсингу та визначення джерел їх покриття забезпечить можливість місцевим бюджетам самостійно встановлювати обсяг співфінансування та більш </w:t>
      </w:r>
      <w:proofErr w:type="spellStart"/>
      <w:r w:rsidRPr="008D04E9">
        <w:rPr>
          <w:rFonts w:ascii="Times New Roman" w:hAnsi="Times New Roman" w:cs="Times New Roman"/>
        </w:rPr>
        <w:t>гнучко</w:t>
      </w:r>
      <w:proofErr w:type="spellEnd"/>
      <w:r w:rsidRPr="008D04E9">
        <w:rPr>
          <w:rFonts w:ascii="Times New Roman" w:hAnsi="Times New Roman" w:cs="Times New Roman"/>
        </w:rPr>
        <w:t xml:space="preserve"> формувати цінову політику щодо відповідних послуг.</w:t>
      </w:r>
    </w:p>
    <w:p w14:paraId="0CBD1464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Постанова № 400 набирає чинності з дати її опублікування, тобто з 01 квітня 2026 року В той же час на цю дату вже укладені договори та учні отримують харчування.</w:t>
      </w:r>
    </w:p>
    <w:p w14:paraId="13F9FCAF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lastRenderedPageBreak/>
        <w:t>Всі акти виконаних робіт/наданих послуг до 31 березня 2026 року включно підлягають оплаті відповідно до Порядку та умов № 1456, у редакції, що діяла на момент їх надання (тобто до внесених змін відповідно до Постанови № 400).</w:t>
      </w:r>
    </w:p>
    <w:p w14:paraId="03576684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Стосовно вже укладених договорів до набрання чинності зазначених змін з надавачами послуг харчування (</w:t>
      </w:r>
      <w:proofErr w:type="spellStart"/>
      <w:r w:rsidRPr="008D04E9">
        <w:rPr>
          <w:rFonts w:ascii="Times New Roman" w:hAnsi="Times New Roman" w:cs="Times New Roman"/>
        </w:rPr>
        <w:t>кейтеринг</w:t>
      </w:r>
      <w:proofErr w:type="spellEnd"/>
      <w:r w:rsidRPr="008D04E9">
        <w:rPr>
          <w:rFonts w:ascii="Times New Roman" w:hAnsi="Times New Roman" w:cs="Times New Roman"/>
        </w:rPr>
        <w:t xml:space="preserve"> або аутсорсинг), то зауважуємо, що предмет (послуга з харчування) договорів не змінився та структура послуги залишається незмінною.</w:t>
      </w:r>
    </w:p>
    <w:p w14:paraId="09D97E76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Зміна джерела фінансування або деталізація калькуляції всередині існуючої ціни договору не впливає на сам предмет закупівлі, а лише призводить до уточнення порядку розрахунків.</w:t>
      </w:r>
    </w:p>
    <w:p w14:paraId="48CCBA61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Законодавче виокремлення у структурі послуги з харчування оплати вартості продуктів харчування саме за рахунок коштів субвенції не змінює її структуру, а лише чітко розмежовує джерела покриття витрат.</w:t>
      </w:r>
    </w:p>
    <w:p w14:paraId="1A90BD3F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Джерела покриття витрат залишилися тими самими, як і до внесення змін: субвенція на харчування, кошти місцевих бюджетів та/або інші джерела, визначені абзацом третім пункту 7 Порядку та умов № 1456.</w:t>
      </w:r>
    </w:p>
    <w:p w14:paraId="7A4B852C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Таким чином, щодо договорів, укладених до набрання чинності Постанови № 400, зазначаємо, що внесені зміни стосуються порядку розмежування джерел покриття витрат у складі послуги з харчування та не змінюють предмет закупівлі як послуги з харчування.</w:t>
      </w:r>
    </w:p>
    <w:p w14:paraId="59B1FA08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Зазначені заходи сприяють забезпеченню прозорості розрахунків, дотримання вимог бюджетного законодавства та недопущення використання коштів субвенції не за цільовим призначенням.</w:t>
      </w:r>
    </w:p>
    <w:p w14:paraId="5D527772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Водночас подальші розрахунки за такими договорами мають здійснюватися з урахуванням оновлених вимог щодо окремого визначення вартості продуктів харчування та інших складових послуги. У зв’язку з цим замовникам доцільно забезпечити належне документальне підтвердження такого розмежування, зокрема у калькуляції вартості послуги та документах, що є підставою для проведення розрахунків.</w:t>
      </w:r>
    </w:p>
    <w:p w14:paraId="58D3DCB9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В той же час в процесі імплементації змін до Порядку та умов № 1456 виникла необхідність у поетапному впровадженні змін напряму спрямування коштів субвенції з державного бюджету місцевим бюджетам на забезпечення харчуванням учнів закладів загальної середньої освіти внаслідок особливостей укладених договорів в деяких засновників закладів освіти.</w:t>
      </w:r>
    </w:p>
    <w:p w14:paraId="49DAA71C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З цією метою МОН розроблено проєкт постанови Кабінету Міністрів України «Про внесення змін до пункту 4 Порядку та умов надання субвенції з державного бюджету місцевим бюджетам на забезпечення харчуванням учнів закладів загальної середньої освіти», який листом від 13 травня 2026 року № 1/10187-26 надіслано на розгляд Кабінету Міністрів України.</w:t>
      </w:r>
    </w:p>
    <w:p w14:paraId="7B355D4D" w14:textId="77777777" w:rsidR="008D04E9" w:rsidRPr="008D04E9" w:rsidRDefault="008D04E9" w:rsidP="008D04E9">
      <w:pPr>
        <w:rPr>
          <w:rFonts w:ascii="Times New Roman" w:hAnsi="Times New Roman" w:cs="Times New Roman"/>
        </w:rPr>
      </w:pPr>
      <w:r w:rsidRPr="008D04E9">
        <w:rPr>
          <w:rFonts w:ascii="Times New Roman" w:hAnsi="Times New Roman" w:cs="Times New Roman"/>
        </w:rPr>
        <w:t>Постанову прийнято Урядом 20 травня 2026 року та зареєстровано за № 640.</w:t>
      </w:r>
    </w:p>
    <w:p w14:paraId="75475B98" w14:textId="0DFF550A" w:rsidR="00961D17" w:rsidRPr="008D04E9" w:rsidRDefault="00961D17" w:rsidP="008D04E9"/>
    <w:sectPr w:rsidR="00961D17" w:rsidRPr="008D0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93"/>
    <w:rsid w:val="006437E5"/>
    <w:rsid w:val="008D04E9"/>
    <w:rsid w:val="00916D93"/>
    <w:rsid w:val="00961D17"/>
    <w:rsid w:val="00D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45E7"/>
  <w15:chartTrackingRefBased/>
  <w15:docId w15:val="{7D8ABB12-4BB2-4652-B5C2-5FC3D0D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D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D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D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Герасименко</dc:creator>
  <cp:keywords/>
  <dc:description/>
  <cp:lastModifiedBy>Злата Герасименко</cp:lastModifiedBy>
  <cp:revision>3</cp:revision>
  <dcterms:created xsi:type="dcterms:W3CDTF">2026-06-05T07:06:00Z</dcterms:created>
  <dcterms:modified xsi:type="dcterms:W3CDTF">2026-06-05T07:33:00Z</dcterms:modified>
</cp:coreProperties>
</file>