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FD9" w:rsidRDefault="001206F6">
      <w:pPr>
        <w:spacing w:after="0" w:line="240" w:lineRule="auto"/>
        <w:ind w:left="1664" w:right="1658" w:hanging="10"/>
        <w:jc w:val="center"/>
        <w:rPr>
          <w:b/>
        </w:rPr>
      </w:pPr>
      <w:r>
        <w:rPr>
          <w:b/>
        </w:rPr>
        <w:t xml:space="preserve">ПОЯСНЮВАЛЬНА ЗАПИСКА </w:t>
      </w:r>
    </w:p>
    <w:p w:rsidR="00833FD9" w:rsidRDefault="001206F6">
      <w:pPr>
        <w:spacing w:after="0" w:line="240" w:lineRule="auto"/>
        <w:ind w:left="1664" w:right="1558" w:hanging="10"/>
        <w:jc w:val="center"/>
        <w:rPr>
          <w:b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наказу Міністерства фінансів України</w:t>
      </w:r>
    </w:p>
    <w:p w:rsidR="00833FD9" w:rsidRDefault="001206F6">
      <w:pPr>
        <w:spacing w:after="0" w:line="240" w:lineRule="auto"/>
        <w:ind w:right="-1" w:hanging="10"/>
        <w:jc w:val="center"/>
      </w:pPr>
      <w:r>
        <w:rPr>
          <w:b/>
        </w:rPr>
        <w:t>«Про затвердження Стандартів внутрішнього аудиту</w:t>
      </w:r>
      <w:r>
        <w:t>»</w:t>
      </w:r>
    </w:p>
    <w:p w:rsidR="00833FD9" w:rsidRDefault="001206F6">
      <w:pPr>
        <w:pStyle w:val="1"/>
        <w:spacing w:before="240"/>
        <w:ind w:left="562" w:right="0"/>
      </w:pPr>
      <w:r>
        <w:t>1. Мета</w:t>
      </w:r>
    </w:p>
    <w:p w:rsidR="00833FD9" w:rsidRDefault="001206F6">
      <w:pPr>
        <w:spacing w:after="310"/>
        <w:ind w:left="-15" w:right="0"/>
      </w:pPr>
      <w:proofErr w:type="spellStart"/>
      <w:r>
        <w:t>Проєкт</w:t>
      </w:r>
      <w:proofErr w:type="spellEnd"/>
      <w:r>
        <w:t xml:space="preserve"> наказу Міністерства фінансів України </w:t>
      </w:r>
      <w:r>
        <w:t xml:space="preserve">«Про затвердження Стандартів внутрішнього аудиту» (далі – </w:t>
      </w:r>
      <w:proofErr w:type="spellStart"/>
      <w:r>
        <w:t>проєкт</w:t>
      </w:r>
      <w:proofErr w:type="spellEnd"/>
      <w:r>
        <w:t xml:space="preserve"> наказу) розроблено з метою оновлення та удосконалення нормативного регулювання діяльності </w:t>
      </w:r>
      <w:r>
        <w:br/>
        <w:t>з внутрішнього аудиту в органах державної влади, узгодження Стандартів внутрішнього аудиту відповідн</w:t>
      </w:r>
      <w:r>
        <w:t>о</w:t>
      </w:r>
      <w:r>
        <w:t xml:space="preserve"> до сучасних міжнародних підходів, </w:t>
      </w:r>
      <w:r>
        <w:rPr>
          <w:highlight w:val="white"/>
        </w:rPr>
        <w:t>най</w:t>
      </w:r>
      <w:r>
        <w:t xml:space="preserve">кращих практик Європейського Союзу та Глобальних стандартів внутрішнього аудиту, </w:t>
      </w:r>
      <w:r>
        <w:br/>
        <w:t>а також підвищення якості та ефективності функціонування системи державного внутрішнього фінансового контролю.</w:t>
      </w:r>
    </w:p>
    <w:p w:rsidR="00833FD9" w:rsidRDefault="001206F6">
      <w:pPr>
        <w:pStyle w:val="1"/>
        <w:ind w:left="562" w:right="0"/>
      </w:pPr>
      <w:r>
        <w:t>2. Обґрунтування необхід</w:t>
      </w:r>
      <w:r>
        <w:t xml:space="preserve">ності прийняття </w:t>
      </w:r>
      <w:proofErr w:type="spellStart"/>
      <w:r>
        <w:t>акта</w:t>
      </w:r>
      <w:proofErr w:type="spellEnd"/>
    </w:p>
    <w:p w:rsidR="00833FD9" w:rsidRDefault="001206F6">
      <w:pPr>
        <w:spacing w:after="0"/>
        <w:ind w:right="-1" w:firstLine="567"/>
      </w:pPr>
      <w:r>
        <w:t>Відповідно до статей 346 і 347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сторони, ратифікованої Законом України від 16</w:t>
      </w:r>
      <w:r>
        <w:t xml:space="preserve"> вересня 2014 року № 1678-VII, передбачено подальший розвиток системи державного внутрішнього фінансового контролю шляхом гармонізації </w:t>
      </w:r>
      <w:r>
        <w:br/>
        <w:t xml:space="preserve">з міжнародно визнаними стандартами та </w:t>
      </w:r>
      <w:proofErr w:type="spellStart"/>
      <w:r>
        <w:t>методологіями</w:t>
      </w:r>
      <w:proofErr w:type="spellEnd"/>
      <w:r>
        <w:t>, а також з</w:t>
      </w:r>
      <w:r>
        <w:rPr>
          <w:highlight w:val="white"/>
        </w:rPr>
        <w:t xml:space="preserve"> найк</w:t>
      </w:r>
      <w:r>
        <w:t>ращою практикою Європейського Союзу щодо внутрішнього</w:t>
      </w:r>
      <w:r>
        <w:t xml:space="preserve"> контролю та внутрішнього аудиту в державних органах.</w:t>
      </w:r>
    </w:p>
    <w:p w:rsidR="00833FD9" w:rsidRDefault="001206F6">
      <w:pPr>
        <w:spacing w:after="0"/>
        <w:ind w:right="-1" w:firstLine="567"/>
      </w:pPr>
      <w:r>
        <w:t xml:space="preserve">Національне законодавство у сфері внутрішнього аудиту розробляється </w:t>
      </w:r>
      <w:r>
        <w:br/>
        <w:t xml:space="preserve">з урахуванням положень Угоди про асоціацію, концептуальних документів </w:t>
      </w:r>
      <w:r>
        <w:br/>
        <w:t>і принципів Європейської Комісії, документів Міжнародного інст</w:t>
      </w:r>
      <w:r>
        <w:t xml:space="preserve">итуту внутрішніх аудиторів (IIA), Міжнародної федерації бухгалтерів (IFAC) </w:t>
      </w:r>
      <w:r>
        <w:br/>
        <w:t>та INTOSAI, що зумовлює необхідність системного оновлення національних Стандартів внутрішнього аудиту відповідно до нових Глобальних стандартів внутрішнього аудиту.</w:t>
      </w:r>
    </w:p>
    <w:p w:rsidR="00833FD9" w:rsidRDefault="001206F6">
      <w:pPr>
        <w:spacing w:after="0"/>
        <w:ind w:right="-1" w:firstLine="567"/>
      </w:pPr>
      <w:r>
        <w:t>Законом України</w:t>
      </w:r>
      <w:r>
        <w:t xml:space="preserve"> від 16 січня 2025 року № 4225-IX </w:t>
      </w:r>
      <w:proofErr w:type="spellStart"/>
      <w:r>
        <w:t>внесено</w:t>
      </w:r>
      <w:proofErr w:type="spellEnd"/>
      <w:r>
        <w:t xml:space="preserve"> зміни до частини третьої статті 26 Бюджетного кодексу України, якими уточнено визначення внутрішнього аудиту з урахуванням підходів, закріплених у Глобальних стандартах внутрішнього аудиту. Зокрема, внутрішній ауди</w:t>
      </w:r>
      <w:r>
        <w:t xml:space="preserve">т визначено </w:t>
      </w:r>
      <w:r>
        <w:br/>
        <w:t xml:space="preserve">як незалежну та об’єктивну діяльність, що передбачає здійснення аудиторських досліджень (оцінок з надання впевненості) та аудиторського консультування </w:t>
      </w:r>
      <w:r>
        <w:br/>
        <w:t>з метою сприяння розпоряднику бюджетних коштів у досягненні цілей, завдань і конкретних рез</w:t>
      </w:r>
      <w:r>
        <w:t>ультатів його діяльності.</w:t>
      </w:r>
    </w:p>
    <w:p w:rsidR="00833FD9" w:rsidRDefault="001206F6">
      <w:pPr>
        <w:spacing w:after="0"/>
        <w:ind w:right="-1" w:firstLine="567"/>
      </w:pPr>
      <w:r>
        <w:t xml:space="preserve">Крім того, постановою Кабінету Міністрів України від 16 травня 2025 року № 567 </w:t>
      </w:r>
      <w:proofErr w:type="spellStart"/>
      <w:r>
        <w:t>внесено</w:t>
      </w:r>
      <w:proofErr w:type="spellEnd"/>
      <w:r>
        <w:t xml:space="preserve"> зміни до постанови Кабінету Міністрів України </w:t>
      </w:r>
      <w:r>
        <w:br/>
        <w:t xml:space="preserve">від 28 вересня 2011 р. № 1001, якими </w:t>
      </w:r>
      <w:r>
        <w:t xml:space="preserve">упорядковано </w:t>
      </w:r>
      <w:r>
        <w:t xml:space="preserve">термінологію </w:t>
      </w:r>
      <w:r>
        <w:br/>
        <w:t>та організаційні підходи до здій</w:t>
      </w:r>
      <w:r>
        <w:t>снення внутрішнього аудиту</w:t>
      </w:r>
      <w:r>
        <w:t xml:space="preserve"> відповідно </w:t>
      </w:r>
      <w:r>
        <w:br/>
      </w:r>
      <w:r>
        <w:lastRenderedPageBreak/>
        <w:t xml:space="preserve">до сучасної міжнародної моделі внутрішнього аудиту, сформованої Глобальними стандартами внутрішнього аудиту, зокрема шляхом запровадження понять аудиторських досліджень (оцінок з надання впевненості) та аудиторського </w:t>
      </w:r>
      <w:r>
        <w:t>консультування.</w:t>
      </w:r>
    </w:p>
    <w:p w:rsidR="00833FD9" w:rsidRDefault="001206F6">
      <w:pPr>
        <w:spacing w:after="0"/>
        <w:ind w:right="-1" w:firstLine="567"/>
      </w:pPr>
      <w:proofErr w:type="spellStart"/>
      <w:r>
        <w:t>Проєкт</w:t>
      </w:r>
      <w:proofErr w:type="spellEnd"/>
      <w:r>
        <w:t xml:space="preserve"> наказу розроблено на виконання частини третьої </w:t>
      </w:r>
      <w:r>
        <w:br/>
        <w:t xml:space="preserve">статті 26 Бюджетного кодексу України та пункту 8 Порядку утворення структурних підрозділів внутрішнього аудиту та проведення такого аудиту </w:t>
      </w:r>
      <w:r>
        <w:br/>
        <w:t>в міністерствах, інших центральних органах ви</w:t>
      </w:r>
      <w:r>
        <w:t xml:space="preserve">конавчої влади, їх територіальних органах та бюджетних установах, затвердженого постановою Кабінету Міністрів України від 28 вересня 2011 року № 1001, з метою </w:t>
      </w:r>
      <w:r>
        <w:t>узгодженн</w:t>
      </w:r>
      <w:r>
        <w:t>я стандартів внутрішнього ауди</w:t>
      </w:r>
      <w:r>
        <w:t xml:space="preserve">ту із Глобальними стандартами </w:t>
      </w:r>
      <w:r>
        <w:t>внутрішнього аудиту, а також</w:t>
      </w:r>
      <w:r>
        <w:t xml:space="preserve"> на виконання заходів, передбачених Переговорною позицією України під час переговорів з Європейським Союзом щодо укладення Угоди про вступ України до Європейського Союзу за кластером 1 «Основи процесу вступу до ЄС», схваленою розпорядженням Кабінету Мініст</w:t>
      </w:r>
      <w:r>
        <w:t>рів України від 14 травня 2025 року № 475-р, та Дорожньою картою з питань реформи державного управління, затвердженою зазначеним розпорядженням, якою визначено посилення ефективності та незалежності внутрішнього аудиту шляхом імплементації положень нових Г</w:t>
      </w:r>
      <w:r>
        <w:t>лобальних стандартів внутрішнього аудиту, як окремий захід у сфері управління державними фінансами.</w:t>
      </w:r>
    </w:p>
    <w:p w:rsidR="00833FD9" w:rsidRDefault="001206F6">
      <w:pPr>
        <w:spacing w:after="0"/>
        <w:ind w:right="-1" w:firstLine="567"/>
      </w:pPr>
      <w:r>
        <w:t>З огляду на це, чинні національні Стандарти внутрішнього аудиту, затверджені у 2011 році, що були розроблені з урахуванням підходів, актуальних на момент їх</w:t>
      </w:r>
      <w:r>
        <w:t xml:space="preserve"> ухвалення, потребують оновлення та упорядкування відповідно до Глобальних стандартів внутрішнього аудиту і змін у нормативно-правових актах, що регулюють діяльність із внутрішнього аудиту, зокрема з урахуванням посилення його стратегічної ролі в системі у</w:t>
      </w:r>
      <w:r>
        <w:t>правління, внутрішнього контролю та управління ризиками.</w:t>
      </w:r>
    </w:p>
    <w:p w:rsidR="00833FD9" w:rsidRDefault="001206F6">
      <w:pPr>
        <w:spacing w:after="100" w:afterAutospacing="1"/>
        <w:ind w:right="-1" w:firstLine="567"/>
        <w:rPr>
          <w:i/>
        </w:rPr>
      </w:pPr>
      <w:r>
        <w:t>Прийняття наказу забезпечить оновлення національних Стандартів внутрішнього аудиту відпов</w:t>
      </w:r>
      <w:r>
        <w:t xml:space="preserve">ідно до Глобальних стандартів внутрішнього аудиту та створить нормативні передумови </w:t>
      </w:r>
      <w:r>
        <w:rPr>
          <w:szCs w:val="28"/>
          <w:shd w:val="clear" w:color="auto" w:fill="FFFFFF"/>
        </w:rPr>
        <w:t>для посилення ефективності</w:t>
      </w:r>
      <w:r>
        <w:rPr>
          <w:szCs w:val="28"/>
          <w:shd w:val="clear" w:color="auto" w:fill="FFFFFF"/>
        </w:rPr>
        <w:t>, незалежності та спроможності внутрішнього аудиту в державному секторі.</w:t>
      </w:r>
    </w:p>
    <w:p w:rsidR="00833FD9" w:rsidRDefault="001206F6">
      <w:pPr>
        <w:spacing w:before="240" w:after="17"/>
        <w:ind w:left="552" w:right="-1" w:firstLine="0"/>
        <w:jc w:val="left"/>
        <w:rPr>
          <w:b/>
        </w:rPr>
      </w:pPr>
      <w:r>
        <w:rPr>
          <w:b/>
        </w:rPr>
        <w:t xml:space="preserve">3. Основні положення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акта</w:t>
      </w:r>
      <w:proofErr w:type="spellEnd"/>
      <w:r>
        <w:rPr>
          <w:b/>
        </w:rPr>
        <w:t xml:space="preserve"> </w:t>
      </w:r>
    </w:p>
    <w:p w:rsidR="00833FD9" w:rsidRDefault="001206F6">
      <w:pPr>
        <w:spacing w:after="17"/>
        <w:ind w:right="-1" w:firstLine="567"/>
      </w:pPr>
      <w:proofErr w:type="spellStart"/>
      <w:r>
        <w:t>Проєктом</w:t>
      </w:r>
      <w:proofErr w:type="spellEnd"/>
      <w:r w:rsidR="00FC235F">
        <w:t xml:space="preserve"> </w:t>
      </w:r>
      <w:r>
        <w:t>наказу</w:t>
      </w:r>
      <w:r>
        <w:t xml:space="preserve"> </w:t>
      </w:r>
      <w:r>
        <w:t>передбачено</w:t>
      </w:r>
      <w:r>
        <w:t xml:space="preserve"> </w:t>
      </w:r>
      <w:r>
        <w:t>затвердження</w:t>
      </w:r>
      <w:r>
        <w:t xml:space="preserve"> </w:t>
      </w:r>
      <w:r>
        <w:t xml:space="preserve">нових Стандартів внутрішнього аудиту, які розроблені з урахуванням вимог Глобальних стандартів внутрішнього аудиту (IPPF IIA © </w:t>
      </w:r>
      <w:proofErr w:type="spellStart"/>
      <w:r>
        <w:t>IIA</w:t>
      </w:r>
      <w:proofErr w:type="spellEnd"/>
      <w:r>
        <w:t xml:space="preserve"> 2025), </w:t>
      </w:r>
      <w:r>
        <w:br/>
        <w:t>що відображають сучасні підходи та на</w:t>
      </w:r>
      <w:bookmarkStart w:id="0" w:name="_GoBack"/>
      <w:bookmarkEnd w:id="0"/>
      <w:r>
        <w:t>йкращі міжнародні практики у сфері внут</w:t>
      </w:r>
      <w:r>
        <w:t>рішнього аудиту й формують методологічну основу для належної, ефективної та послідовної о</w:t>
      </w:r>
      <w:r>
        <w:t>рганізації і здійснення внутрішнього аудиту з метою досягнення його визначених цілей  в міністерствах, інших центральних органах виконавчої влади, Раді міністрів Автон</w:t>
      </w:r>
      <w:r>
        <w:t xml:space="preserve">омної Республіки Крим, обласних, Київській та Севастопольській міських державних адміністраціях, інших </w:t>
      </w:r>
      <w:r>
        <w:lastRenderedPageBreak/>
        <w:t>головних розпорядниках коштів державного бюджету, їх територіальних о</w:t>
      </w:r>
      <w:r>
        <w:t>рганах та бюджетних установах.</w:t>
      </w:r>
    </w:p>
    <w:p w:rsidR="00833FD9" w:rsidRDefault="001206F6">
      <w:pPr>
        <w:spacing w:after="17"/>
        <w:ind w:right="-1" w:firstLine="567"/>
      </w:pPr>
      <w:r>
        <w:t xml:space="preserve">Зокрема, у </w:t>
      </w:r>
      <w:proofErr w:type="spellStart"/>
      <w:r>
        <w:t>проєкті</w:t>
      </w:r>
      <w:proofErr w:type="spellEnd"/>
      <w:r>
        <w:t xml:space="preserve"> Стандартів внутрішнього аудиту:</w:t>
      </w:r>
    </w:p>
    <w:p w:rsidR="00833FD9" w:rsidRDefault="001206F6">
      <w:pPr>
        <w:spacing w:after="17"/>
        <w:ind w:right="-1" w:firstLine="567"/>
      </w:pPr>
      <w:r>
        <w:t>ут</w:t>
      </w:r>
      <w:r>
        <w:t>очнено мету внутрішнього аудиту та посилено його роль у системі управління, внутрішнього контролю й управління ризиками;</w:t>
      </w:r>
    </w:p>
    <w:p w:rsidR="00833FD9" w:rsidRDefault="001206F6">
      <w:pPr>
        <w:spacing w:after="17"/>
        <w:ind w:right="-1" w:firstLine="567"/>
      </w:pPr>
      <w:r>
        <w:t>закріплено принципи етики та професіоналізму, а саме чесності, незалежності, об’єктивності, компетентності, належної професійної ретель</w:t>
      </w:r>
      <w:r>
        <w:t>ності та конфіденційності;</w:t>
      </w:r>
    </w:p>
    <w:p w:rsidR="00833FD9" w:rsidRDefault="001206F6">
      <w:pPr>
        <w:spacing w:after="17"/>
        <w:ind w:right="-1" w:firstLine="567"/>
      </w:pPr>
      <w:r>
        <w:t>визначено вимоги до статусу, повноважень, підзвітності, а також організаційної і функціональної незалежності підрозділів внутрішнього аудиту;</w:t>
      </w:r>
    </w:p>
    <w:p w:rsidR="00833FD9" w:rsidRDefault="001206F6">
      <w:pPr>
        <w:spacing w:after="17"/>
        <w:ind w:right="-1" w:firstLine="567"/>
      </w:pPr>
      <w:r>
        <w:t xml:space="preserve">врегульовано підходи до стратегічного планування діяльності </w:t>
      </w:r>
      <w:r>
        <w:br/>
        <w:t>з внутрішнього аудиту, асп</w:t>
      </w:r>
      <w:r>
        <w:t xml:space="preserve">екти плану діяльності з внутрішнього аудиту (стратегічний та операційний) на основі ризик-орієнтованого підходу </w:t>
      </w:r>
      <w:r>
        <w:br/>
        <w:t>та періодичної оцінки ризиків;</w:t>
      </w:r>
    </w:p>
    <w:p w:rsidR="00833FD9" w:rsidRDefault="001206F6">
      <w:pPr>
        <w:spacing w:after="17"/>
        <w:ind w:right="-1" w:firstLine="567"/>
      </w:pPr>
      <w:r>
        <w:t xml:space="preserve">установлено єдині методологічні вимоги до організації, планування </w:t>
      </w:r>
      <w:r>
        <w:br/>
        <w:t xml:space="preserve">та виконання аудиторських досліджень (оцінок </w:t>
      </w:r>
      <w:r>
        <w:t xml:space="preserve">з надання впевненості) </w:t>
      </w:r>
      <w:r>
        <w:br/>
        <w:t>та аудиторського консультування;</w:t>
      </w:r>
    </w:p>
    <w:p w:rsidR="00833FD9" w:rsidRDefault="001206F6">
      <w:pPr>
        <w:spacing w:after="17"/>
        <w:ind w:right="-1" w:firstLine="567"/>
      </w:pPr>
      <w:r>
        <w:t>визначено порядок документування результатів аудиторських завдань, підготовки аудиторських звітів і здійснення моніторингу виконання рекомендацій;</w:t>
      </w:r>
    </w:p>
    <w:p w:rsidR="00833FD9" w:rsidRDefault="001206F6">
      <w:pPr>
        <w:spacing w:after="17"/>
        <w:ind w:right="-1" w:firstLine="567"/>
      </w:pPr>
      <w:r>
        <w:t>запроваджено підходи до внутрішньої та зовнішньої оц</w:t>
      </w:r>
      <w:r>
        <w:t>інки якості внутрішнього аудиту, а також до вимірювання результативності й ефективності діяльності підрозділів внутрішнього аудиту.</w:t>
      </w:r>
    </w:p>
    <w:p w:rsidR="00833FD9" w:rsidRDefault="001206F6">
      <w:pPr>
        <w:pStyle w:val="a3"/>
        <w:spacing w:after="17"/>
        <w:ind w:left="0" w:right="-1" w:firstLine="0"/>
      </w:pPr>
      <w:r>
        <w:tab/>
        <w:t xml:space="preserve">Крім того, враховуючи, що розділ ІІІ </w:t>
      </w:r>
      <w:proofErr w:type="spellStart"/>
      <w:r>
        <w:t>проєкту</w:t>
      </w:r>
      <w:proofErr w:type="spellEnd"/>
      <w:r>
        <w:t xml:space="preserve"> Стандартів внутрішнього аудиту «Етика та професіоналізм»  містить  принципи ет</w:t>
      </w:r>
      <w:r>
        <w:t xml:space="preserve">ики та професіоналізму, а саме чесності, незалежності, об’єктивності, компетентності, належної професійної ретельності та конфіденційності, </w:t>
      </w:r>
      <w:proofErr w:type="spellStart"/>
      <w:r>
        <w:t>проєктом</w:t>
      </w:r>
      <w:proofErr w:type="spellEnd"/>
      <w:r>
        <w:t xml:space="preserve"> наказу запропоновано визнати таким, що втратив чинність наказ Міністерства фінансів України від 29 вересня </w:t>
      </w:r>
      <w:r>
        <w:t xml:space="preserve">2011 року № 1217 «Про затвердження Кодексу етики працівників підрозділу внутрішнього аудиту», зареєстрований у Міністерстві юстиції України 17 жовтня 2011 року за № 1195/19933. </w:t>
      </w:r>
    </w:p>
    <w:p w:rsidR="00833FD9" w:rsidRDefault="001206F6">
      <w:pPr>
        <w:pStyle w:val="a3"/>
        <w:spacing w:after="17"/>
        <w:ind w:left="0" w:right="-1" w:firstLine="567"/>
      </w:pPr>
      <w:r>
        <w:t xml:space="preserve">Водночас з огляду на те, що </w:t>
      </w:r>
      <w:proofErr w:type="spellStart"/>
      <w:r>
        <w:t>проєктом</w:t>
      </w:r>
      <w:proofErr w:type="spellEnd"/>
      <w:r>
        <w:t xml:space="preserve"> наказу передбачено затвердження Стандарті</w:t>
      </w:r>
      <w:r>
        <w:t xml:space="preserve">в внутрішнього аудиту, розроблених з урахуванням Глобальних стандартів внутрішнього аудиту, які встановлюють єдині методологічні вимоги до організації і здійснення внутрішнього аудиту, </w:t>
      </w:r>
      <w:proofErr w:type="spellStart"/>
      <w:r>
        <w:t>проєктом</w:t>
      </w:r>
      <w:proofErr w:type="spellEnd"/>
      <w:r>
        <w:t xml:space="preserve"> наказу запропоновано визнати таким, що втратив чинність, наказ</w:t>
      </w:r>
      <w:r>
        <w:t xml:space="preserve"> Міністерства фінансів України від 04 жовтня 2011 року № 1247 «Про затвердження Стандартів внутрішнього аудиту», зареєстрований у Міністерстві юстиції України 20 жовтня 2011 року за № 1219/1995.</w:t>
      </w:r>
    </w:p>
    <w:p w:rsidR="00833FD9" w:rsidRDefault="001206F6">
      <w:pPr>
        <w:pStyle w:val="1"/>
        <w:spacing w:before="240"/>
        <w:ind w:left="562" w:right="0"/>
      </w:pPr>
      <w:r>
        <w:t>4. Правові аспекти</w:t>
      </w:r>
    </w:p>
    <w:p w:rsidR="00833FD9" w:rsidRDefault="001206F6">
      <w:pPr>
        <w:ind w:left="-15" w:right="0"/>
        <w:rPr>
          <w:spacing w:val="-4"/>
        </w:rPr>
      </w:pPr>
      <w:r>
        <w:rPr>
          <w:spacing w:val="-4"/>
        </w:rPr>
        <w:t>Основними нормативно-правовими актами у ці</w:t>
      </w:r>
      <w:r>
        <w:rPr>
          <w:spacing w:val="-4"/>
        </w:rPr>
        <w:t>й сфері суспільних відносин є:</w:t>
      </w:r>
    </w:p>
    <w:p w:rsidR="00833FD9" w:rsidRDefault="001206F6">
      <w:pPr>
        <w:ind w:left="567" w:right="0" w:firstLine="0"/>
      </w:pPr>
      <w:r>
        <w:lastRenderedPageBreak/>
        <w:t xml:space="preserve">Бюджетний кодекс України; </w:t>
      </w:r>
    </w:p>
    <w:p w:rsidR="00833FD9" w:rsidRDefault="001206F6">
      <w:pPr>
        <w:ind w:firstLine="567"/>
        <w:rPr>
          <w:color w:val="auto"/>
          <w:szCs w:val="28"/>
        </w:rPr>
      </w:pPr>
      <w:r>
        <w:rPr>
          <w:color w:val="auto"/>
          <w:szCs w:val="28"/>
        </w:rPr>
        <w:t>Угода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 (ратифікована Законом України в</w:t>
      </w:r>
      <w:r>
        <w:rPr>
          <w:color w:val="auto"/>
          <w:szCs w:val="28"/>
        </w:rPr>
        <w:t xml:space="preserve">ід 16 вересня </w:t>
      </w:r>
      <w:r>
        <w:rPr>
          <w:color w:val="auto"/>
          <w:szCs w:val="28"/>
        </w:rPr>
        <w:br/>
        <w:t>2014 року № 1678-VII);</w:t>
      </w:r>
    </w:p>
    <w:p w:rsidR="00833FD9" w:rsidRDefault="001206F6">
      <w:pPr>
        <w:ind w:firstLine="567"/>
        <w:rPr>
          <w:bCs/>
          <w:color w:val="auto"/>
          <w:szCs w:val="28"/>
        </w:rPr>
      </w:pPr>
      <w:r>
        <w:rPr>
          <w:bCs/>
          <w:color w:val="auto"/>
          <w:szCs w:val="28"/>
        </w:rPr>
        <w:t>постанова Кабінету Міністрів України від 28 вересня 2011 року № 1001 «Деякі питання здійснення внутрішнього аудиту та утворення підрозділів внутрішнього аудиту»;</w:t>
      </w:r>
    </w:p>
    <w:p w:rsidR="00833FD9" w:rsidRDefault="001206F6">
      <w:pPr>
        <w:ind w:right="0" w:firstLine="567"/>
      </w:pPr>
      <w:r>
        <w:t xml:space="preserve">постанова Кабінету Міністрів України від 20 серпня 2014 року № 375 </w:t>
      </w:r>
      <w:r>
        <w:br/>
        <w:t>«Про затвердження Положення про Міністерство фінансів України».</w:t>
      </w:r>
    </w:p>
    <w:p w:rsidR="00833FD9" w:rsidRDefault="001206F6">
      <w:pPr>
        <w:ind w:firstLine="567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</w:t>
      </w:r>
    </w:p>
    <w:p w:rsidR="00833FD9" w:rsidRDefault="001206F6">
      <w:pPr>
        <w:pStyle w:val="1"/>
        <w:ind w:left="562" w:right="0"/>
      </w:pPr>
      <w:r>
        <w:t xml:space="preserve">5. Фінансово-економічне обґрунтування </w:t>
      </w:r>
    </w:p>
    <w:p w:rsidR="00833FD9" w:rsidRDefault="001206F6">
      <w:pPr>
        <w:spacing w:after="310"/>
        <w:ind w:left="-15" w:right="0"/>
      </w:pPr>
      <w:r>
        <w:t xml:space="preserve">Реалізація </w:t>
      </w:r>
      <w:proofErr w:type="spellStart"/>
      <w:r>
        <w:t>акта</w:t>
      </w:r>
      <w:proofErr w:type="spellEnd"/>
      <w:r>
        <w:t xml:space="preserve"> не потребуватиме коштів державного чи місцевих бюджетів.</w:t>
      </w:r>
    </w:p>
    <w:p w:rsidR="00833FD9" w:rsidRDefault="001206F6">
      <w:pPr>
        <w:pStyle w:val="1"/>
        <w:ind w:left="562" w:right="0"/>
      </w:pPr>
      <w:r>
        <w:t>6. Позиція</w:t>
      </w:r>
      <w:r>
        <w:t xml:space="preserve"> заінтересованих сторін</w:t>
      </w:r>
    </w:p>
    <w:p w:rsidR="00833FD9" w:rsidRDefault="001206F6">
      <w:proofErr w:type="spellStart"/>
      <w:r>
        <w:t>Проєкт</w:t>
      </w:r>
      <w:proofErr w:type="spellEnd"/>
      <w:r>
        <w:t xml:space="preserve"> наказу не потребує проведення публічних консультацій </w:t>
      </w:r>
      <w:r>
        <w:br/>
        <w:t>з громадськістю з питань формування та реалізації державної політики.</w:t>
      </w:r>
    </w:p>
    <w:p w:rsidR="00833FD9" w:rsidRDefault="001206F6">
      <w:pPr>
        <w:ind w:firstLine="567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Проєкт</w:t>
      </w:r>
      <w:proofErr w:type="spellEnd"/>
      <w:r>
        <w:rPr>
          <w:color w:val="auto"/>
          <w:szCs w:val="28"/>
        </w:rPr>
        <w:t xml:space="preserve"> наказу не стосується питань функціонування місцевого самоврядування, прав та інтересів територ</w:t>
      </w:r>
      <w:r>
        <w:rPr>
          <w:color w:val="auto"/>
          <w:szCs w:val="28"/>
        </w:rPr>
        <w:t xml:space="preserve">іальних громад, місцевого </w:t>
      </w:r>
      <w:r>
        <w:rPr>
          <w:color w:val="auto"/>
          <w:szCs w:val="28"/>
        </w:rPr>
        <w:br/>
        <w:t>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:rsidR="00833FD9" w:rsidRDefault="001206F6">
      <w:pPr>
        <w:ind w:firstLine="567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Проєкт</w:t>
      </w:r>
      <w:proofErr w:type="spellEnd"/>
      <w:r>
        <w:rPr>
          <w:color w:val="auto"/>
          <w:szCs w:val="28"/>
        </w:rPr>
        <w:t xml:space="preserve"> наказу не стосується сфери наукової та науково-технічної діяльності.</w:t>
      </w:r>
    </w:p>
    <w:p w:rsidR="00833FD9" w:rsidRDefault="001206F6">
      <w:pPr>
        <w:ind w:right="0" w:firstLine="552"/>
      </w:pPr>
      <w:proofErr w:type="spellStart"/>
      <w:r>
        <w:t>Проєкт</w:t>
      </w:r>
      <w:proofErr w:type="spellEnd"/>
      <w:r>
        <w:t xml:space="preserve"> наказу</w:t>
      </w:r>
      <w:r>
        <w:t xml:space="preserve"> потребує погодження з Державною регуляторною службою України.</w:t>
      </w:r>
    </w:p>
    <w:p w:rsidR="00833FD9" w:rsidRDefault="001206F6">
      <w:pPr>
        <w:ind w:right="0" w:firstLine="552"/>
      </w:pPr>
      <w:proofErr w:type="spellStart"/>
      <w:r>
        <w:t>Проєкт</w:t>
      </w:r>
      <w:proofErr w:type="spellEnd"/>
      <w:r>
        <w:t xml:space="preserve"> наказу підлягає державній реєстрації в Міністерстві юстиції України.</w:t>
      </w:r>
    </w:p>
    <w:p w:rsidR="00833FD9" w:rsidRDefault="001206F6">
      <w:pPr>
        <w:pStyle w:val="1"/>
        <w:spacing w:before="240"/>
        <w:ind w:left="562" w:right="0"/>
      </w:pPr>
      <w:r>
        <w:t xml:space="preserve">7. Оцінка відповідності </w:t>
      </w:r>
    </w:p>
    <w:p w:rsidR="00833FD9" w:rsidRDefault="001206F6">
      <w:pPr>
        <w:ind w:firstLine="567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Проєкт</w:t>
      </w:r>
      <w:proofErr w:type="spellEnd"/>
      <w:r>
        <w:rPr>
          <w:color w:val="auto"/>
          <w:szCs w:val="28"/>
        </w:rPr>
        <w:t xml:space="preserve"> наказу стосується зобов’язань України у сфері європейської інтеграції.</w:t>
      </w:r>
    </w:p>
    <w:p w:rsidR="00833FD9" w:rsidRDefault="001206F6">
      <w:pPr>
        <w:spacing w:after="0"/>
        <w:ind w:left="-15" w:right="0"/>
      </w:pPr>
      <w:r>
        <w:t xml:space="preserve">У </w:t>
      </w:r>
      <w:proofErr w:type="spellStart"/>
      <w:r>
        <w:t>проєкті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немає полож</w:t>
      </w:r>
      <w:r>
        <w:t>ень, що:</w:t>
      </w:r>
    </w:p>
    <w:p w:rsidR="00833FD9" w:rsidRDefault="001206F6">
      <w:pPr>
        <w:spacing w:after="0"/>
        <w:ind w:right="0" w:firstLine="567"/>
      </w:pPr>
      <w:r>
        <w:t>стосуються прав та свобод, гарантованих Конвенцією про захист прав людини і основоположних свобод;</w:t>
      </w:r>
    </w:p>
    <w:p w:rsidR="00833FD9" w:rsidRDefault="001206F6">
      <w:pPr>
        <w:spacing w:after="0"/>
        <w:ind w:left="720" w:right="0" w:hanging="153"/>
      </w:pPr>
      <w:r>
        <w:t>впливають на забезпечення рівних прав та можливостей жінок і чоловіків;</w:t>
      </w:r>
    </w:p>
    <w:p w:rsidR="00833FD9" w:rsidRDefault="001206F6">
      <w:pPr>
        <w:spacing w:after="0"/>
        <w:ind w:right="0" w:firstLine="567"/>
      </w:pPr>
      <w:r>
        <w:t xml:space="preserve">містять ознаки дискримінації чи порушують принципи забезпечення </w:t>
      </w:r>
      <w:r>
        <w:t>рівних прав та можливостей;</w:t>
      </w:r>
    </w:p>
    <w:p w:rsidR="00833FD9" w:rsidRDefault="001206F6">
      <w:pPr>
        <w:spacing w:after="0"/>
        <w:ind w:right="0" w:firstLine="567"/>
      </w:pPr>
      <w:r>
        <w:t>містять ризики вчинення корупційних правопорушень та правопорушень, пов’язаних з корупцією;</w:t>
      </w:r>
    </w:p>
    <w:p w:rsidR="00833FD9" w:rsidRDefault="001206F6">
      <w:pPr>
        <w:spacing w:after="0"/>
        <w:ind w:right="0" w:firstLine="567"/>
      </w:pPr>
      <w:r>
        <w:t>створюють підстави для дискримінації.</w:t>
      </w:r>
    </w:p>
    <w:p w:rsidR="00833FD9" w:rsidRDefault="001206F6">
      <w:pPr>
        <w:ind w:firstLine="567"/>
        <w:rPr>
          <w:szCs w:val="28"/>
        </w:rPr>
      </w:pPr>
      <w:r>
        <w:rPr>
          <w:szCs w:val="28"/>
        </w:rPr>
        <w:t>Громадської</w:t>
      </w:r>
      <w:r>
        <w:t xml:space="preserve"> </w:t>
      </w:r>
      <w:r>
        <w:rPr>
          <w:szCs w:val="28"/>
        </w:rPr>
        <w:t xml:space="preserve">антикорупційної, громадської </w:t>
      </w:r>
      <w:proofErr w:type="spellStart"/>
      <w:r>
        <w:rPr>
          <w:szCs w:val="28"/>
        </w:rPr>
        <w:t>антидискримінаційної</w:t>
      </w:r>
      <w:proofErr w:type="spellEnd"/>
      <w:r>
        <w:rPr>
          <w:szCs w:val="28"/>
        </w:rPr>
        <w:t xml:space="preserve"> </w:t>
      </w:r>
      <w:r>
        <w:rPr>
          <w:szCs w:val="28"/>
        </w:rPr>
        <w:br/>
        <w:t xml:space="preserve">та громадської </w:t>
      </w:r>
      <w:proofErr w:type="spellStart"/>
      <w:r>
        <w:rPr>
          <w:szCs w:val="28"/>
        </w:rPr>
        <w:t>гендерно</w:t>
      </w:r>
      <w:proofErr w:type="spellEnd"/>
      <w:r>
        <w:rPr>
          <w:szCs w:val="28"/>
        </w:rPr>
        <w:t xml:space="preserve">-правової </w:t>
      </w:r>
      <w:r>
        <w:rPr>
          <w:szCs w:val="28"/>
        </w:rPr>
        <w:t>експертиз не проводилося.</w:t>
      </w:r>
    </w:p>
    <w:p w:rsidR="00833FD9" w:rsidRDefault="001206F6">
      <w:pPr>
        <w:ind w:firstLine="567"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 </w:t>
      </w:r>
    </w:p>
    <w:p w:rsidR="00833FD9" w:rsidRDefault="001206F6">
      <w:pPr>
        <w:pStyle w:val="1"/>
        <w:ind w:left="562" w:right="0"/>
      </w:pPr>
      <w:r>
        <w:t>8. Прогноз результатів</w:t>
      </w:r>
    </w:p>
    <w:p w:rsidR="00833FD9" w:rsidRDefault="001206F6">
      <w:pPr>
        <w:ind w:firstLine="567"/>
        <w:rPr>
          <w:bCs/>
          <w:szCs w:val="28"/>
          <w:shd w:val="clear" w:color="auto" w:fill="FFFFFF"/>
        </w:rPr>
      </w:pPr>
      <w:r>
        <w:t>Прийняття наказу забезпечить оновлення та систематизацію нормативної бази з питань внутрішнього аудиту в органах державної влади шляхом затвердження Стандартів внутрішнього аудиту, розроблених з урахування</w:t>
      </w:r>
      <w:r>
        <w:t xml:space="preserve">м Глобальних стандартів внутрішнього аудиту та </w:t>
      </w:r>
      <w:r>
        <w:rPr>
          <w:highlight w:val="white"/>
        </w:rPr>
        <w:t>найкра</w:t>
      </w:r>
      <w:r>
        <w:t>щих міжнародних практик, сприятиме підвищенню якості, послідовності та професійної єдності підходів до організації і здійснення внутрішнього аудиту, чіткому визначенню ролі, повноважень і відповідальност</w:t>
      </w:r>
      <w:r>
        <w:t>і підрозділів внутрішнього аудиту, посиленню їх незалежності, об’єктивності та професійної компетентності, удосконаленню планування діяльності з внутрішнього аудиту, виконання аудиторських завдань, документування їх результатів, управління якістю внутрішнь</w:t>
      </w:r>
      <w:r>
        <w:t xml:space="preserve">ого аудиту та взаємодії з керівниками установ і заінтересованими сторонами, </w:t>
      </w:r>
      <w:r>
        <w:rPr>
          <w:bCs/>
          <w:szCs w:val="28"/>
          <w:shd w:val="clear" w:color="auto" w:fill="FFFFFF"/>
        </w:rPr>
        <w:t xml:space="preserve">розширенню практичного інструментарію внутрішнього аудиту </w:t>
      </w:r>
      <w:r>
        <w:rPr>
          <w:bCs/>
          <w:szCs w:val="28"/>
          <w:shd w:val="clear" w:color="auto" w:fill="FFFFFF"/>
        </w:rPr>
        <w:br/>
        <w:t xml:space="preserve">та його подальшому переорієнтуванню на сприяння покращенню ефективності </w:t>
      </w:r>
      <w:r>
        <w:rPr>
          <w:bCs/>
          <w:szCs w:val="28"/>
          <w:shd w:val="clear" w:color="auto" w:fill="FFFFFF"/>
        </w:rPr>
        <w:br/>
        <w:t xml:space="preserve">і результативності діяльності установ, </w:t>
      </w:r>
      <w:r>
        <w:t>що сприят</w:t>
      </w:r>
      <w:r>
        <w:t>име підвищенню ефективності функціонування системи державного внутрішнього фінансового контролю.</w:t>
      </w:r>
    </w:p>
    <w:p w:rsidR="00833FD9" w:rsidRDefault="001206F6">
      <w:pPr>
        <w:ind w:left="-15" w:right="0"/>
        <w:rPr>
          <w:b/>
        </w:rPr>
      </w:pPr>
      <w:r>
        <w:t xml:space="preserve">Прийняття наказу не матиме впливу на ринкове середовище, забезпечення захисту прав та інтересів суб’єктів господарювання, громадян і держави; розвиток </w:t>
      </w:r>
      <w:r>
        <w:t>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</w:t>
      </w:r>
      <w:r>
        <w:t>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833FD9" w:rsidRDefault="00833FD9">
      <w:pPr>
        <w:pStyle w:val="1"/>
        <w:spacing w:before="240" w:after="306"/>
        <w:ind w:left="10" w:right="0"/>
      </w:pPr>
    </w:p>
    <w:p w:rsidR="00833FD9" w:rsidRDefault="001206F6">
      <w:pPr>
        <w:pStyle w:val="1"/>
        <w:spacing w:before="240" w:after="306"/>
        <w:ind w:left="10" w:right="0"/>
      </w:pPr>
      <w:r>
        <w:t>Мініст</w:t>
      </w:r>
      <w:r>
        <w:t>р фінансів України                                                     Сергій МАРЧЕНКО</w:t>
      </w:r>
    </w:p>
    <w:p w:rsidR="00833FD9" w:rsidRDefault="001206F6">
      <w:pPr>
        <w:spacing w:after="294" w:line="259" w:lineRule="auto"/>
        <w:ind w:left="-5" w:right="0" w:hanging="10"/>
        <w:jc w:val="left"/>
      </w:pPr>
      <w:r>
        <w:t xml:space="preserve">«____» ____________ </w:t>
      </w:r>
      <w:r>
        <w:t xml:space="preserve">2026 р. </w:t>
      </w:r>
    </w:p>
    <w:sectPr w:rsidR="00833FD9">
      <w:headerReference w:type="even" r:id="rId8"/>
      <w:headerReference w:type="default" r:id="rId9"/>
      <w:headerReference w:type="first" r:id="rId10"/>
      <w:pgSz w:w="11906" w:h="16838"/>
      <w:pgMar w:top="1134" w:right="567" w:bottom="1418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6F6" w:rsidRDefault="001206F6">
      <w:pPr>
        <w:spacing w:after="0" w:line="240" w:lineRule="auto"/>
      </w:pPr>
    </w:p>
  </w:endnote>
  <w:endnote w:type="continuationSeparator" w:id="0">
    <w:p w:rsidR="001206F6" w:rsidRDefault="001206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6F6" w:rsidRDefault="001206F6">
      <w:pPr>
        <w:spacing w:after="0" w:line="240" w:lineRule="auto"/>
      </w:pPr>
    </w:p>
  </w:footnote>
  <w:footnote w:type="continuationSeparator" w:id="0">
    <w:p w:rsidR="001206F6" w:rsidRDefault="001206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FD9" w:rsidRDefault="001206F6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#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FD9" w:rsidRDefault="001206F6">
    <w:pPr>
      <w:spacing w:after="0" w:line="259" w:lineRule="auto"/>
      <w:ind w:right="4" w:firstLine="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#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FD9" w:rsidRDefault="00833FD9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2840"/>
    <w:multiLevelType w:val="hybridMultilevel"/>
    <w:tmpl w:val="200A8A16"/>
    <w:lvl w:ilvl="0" w:tplc="77A0AF6A">
      <w:start w:val="1"/>
      <w:numFmt w:val="bullet"/>
      <w:lvlText w:val="-"/>
      <w:lvlJc w:val="left"/>
      <w:pPr>
        <w:ind w:left="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plc="12244742">
      <w:start w:val="1"/>
      <w:numFmt w:val="bullet"/>
      <w:lvlText w:val="o"/>
      <w:lvlJc w:val="left"/>
      <w:pPr>
        <w:ind w:left="164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plc="15B28BA2">
      <w:start w:val="1"/>
      <w:numFmt w:val="bullet"/>
      <w:lvlText w:val="▪"/>
      <w:lvlJc w:val="left"/>
      <w:pPr>
        <w:ind w:left="236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plc="4DCE4CC8">
      <w:start w:val="1"/>
      <w:numFmt w:val="bullet"/>
      <w:lvlText w:val="•"/>
      <w:lvlJc w:val="left"/>
      <w:pPr>
        <w:ind w:left="308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plc="26864074">
      <w:start w:val="1"/>
      <w:numFmt w:val="bullet"/>
      <w:lvlText w:val="o"/>
      <w:lvlJc w:val="left"/>
      <w:pPr>
        <w:ind w:left="380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plc="32B820D8">
      <w:start w:val="1"/>
      <w:numFmt w:val="bullet"/>
      <w:lvlText w:val="▪"/>
      <w:lvlJc w:val="left"/>
      <w:pPr>
        <w:ind w:left="452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plc="60F4E192">
      <w:start w:val="1"/>
      <w:numFmt w:val="bullet"/>
      <w:lvlText w:val="•"/>
      <w:lvlJc w:val="left"/>
      <w:pPr>
        <w:ind w:left="524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plc="40509E1A">
      <w:start w:val="1"/>
      <w:numFmt w:val="bullet"/>
      <w:lvlText w:val="o"/>
      <w:lvlJc w:val="left"/>
      <w:pPr>
        <w:ind w:left="596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plc="BC50C99E">
      <w:start w:val="1"/>
      <w:numFmt w:val="bullet"/>
      <w:lvlText w:val="▪"/>
      <w:lvlJc w:val="left"/>
      <w:pPr>
        <w:ind w:left="668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84F411D"/>
    <w:multiLevelType w:val="hybridMultilevel"/>
    <w:tmpl w:val="158281D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2D0338"/>
    <w:multiLevelType w:val="hybridMultilevel"/>
    <w:tmpl w:val="241CBE94"/>
    <w:lvl w:ilvl="0" w:tplc="123E19C2">
      <w:start w:val="1"/>
      <w:numFmt w:val="bullet"/>
      <w:lvlText w:val="-"/>
      <w:lvlJc w:val="left"/>
      <w:pPr>
        <w:ind w:left="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plc="9ACE5BE6">
      <w:start w:val="1"/>
      <w:numFmt w:val="bullet"/>
      <w:lvlText w:val="o"/>
      <w:lvlJc w:val="left"/>
      <w:pPr>
        <w:ind w:left="164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plc="226625E0">
      <w:start w:val="1"/>
      <w:numFmt w:val="bullet"/>
      <w:lvlText w:val="▪"/>
      <w:lvlJc w:val="left"/>
      <w:pPr>
        <w:ind w:left="236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plc="4BA8CAF8">
      <w:start w:val="1"/>
      <w:numFmt w:val="bullet"/>
      <w:lvlText w:val="•"/>
      <w:lvlJc w:val="left"/>
      <w:pPr>
        <w:ind w:left="308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plc="188E4A38">
      <w:start w:val="1"/>
      <w:numFmt w:val="bullet"/>
      <w:lvlText w:val="o"/>
      <w:lvlJc w:val="left"/>
      <w:pPr>
        <w:ind w:left="380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plc="A2B45340">
      <w:start w:val="1"/>
      <w:numFmt w:val="bullet"/>
      <w:lvlText w:val="▪"/>
      <w:lvlJc w:val="left"/>
      <w:pPr>
        <w:ind w:left="452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plc="416AE620">
      <w:start w:val="1"/>
      <w:numFmt w:val="bullet"/>
      <w:lvlText w:val="•"/>
      <w:lvlJc w:val="left"/>
      <w:pPr>
        <w:ind w:left="524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plc="F3BAD424">
      <w:start w:val="1"/>
      <w:numFmt w:val="bullet"/>
      <w:lvlText w:val="o"/>
      <w:lvlJc w:val="left"/>
      <w:pPr>
        <w:ind w:left="596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plc="E6F26DEA">
      <w:start w:val="1"/>
      <w:numFmt w:val="bullet"/>
      <w:lvlText w:val="▪"/>
      <w:lvlJc w:val="left"/>
      <w:pPr>
        <w:ind w:left="668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9632B46"/>
    <w:multiLevelType w:val="hybridMultilevel"/>
    <w:tmpl w:val="650C1C1C"/>
    <w:lvl w:ilvl="0" w:tplc="81B09D3A">
      <w:start w:val="5"/>
      <w:numFmt w:val="decimal"/>
      <w:lvlText w:val="%1)"/>
      <w:lvlJc w:val="left"/>
      <w:pPr>
        <w:ind w:left="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plc="4482AF6C">
      <w:start w:val="1"/>
      <w:numFmt w:val="lowerLetter"/>
      <w:lvlText w:val="%2"/>
      <w:lvlJc w:val="left"/>
      <w:pPr>
        <w:ind w:left="164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plc="7148546A">
      <w:start w:val="1"/>
      <w:numFmt w:val="lowerRoman"/>
      <w:lvlText w:val="%3"/>
      <w:lvlJc w:val="left"/>
      <w:pPr>
        <w:ind w:left="236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plc="B9A6CF4A">
      <w:start w:val="1"/>
      <w:numFmt w:val="decimal"/>
      <w:lvlText w:val="%4"/>
      <w:lvlJc w:val="left"/>
      <w:pPr>
        <w:ind w:left="308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plc="E93086D8">
      <w:start w:val="1"/>
      <w:numFmt w:val="lowerLetter"/>
      <w:lvlText w:val="%5"/>
      <w:lvlJc w:val="left"/>
      <w:pPr>
        <w:ind w:left="380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plc="71425F30">
      <w:start w:val="1"/>
      <w:numFmt w:val="lowerRoman"/>
      <w:lvlText w:val="%6"/>
      <w:lvlJc w:val="left"/>
      <w:pPr>
        <w:ind w:left="452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plc="4E78A5BA">
      <w:start w:val="1"/>
      <w:numFmt w:val="decimal"/>
      <w:lvlText w:val="%7"/>
      <w:lvlJc w:val="left"/>
      <w:pPr>
        <w:ind w:left="524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plc="51F0EC44">
      <w:start w:val="1"/>
      <w:numFmt w:val="lowerLetter"/>
      <w:lvlText w:val="%8"/>
      <w:lvlJc w:val="left"/>
      <w:pPr>
        <w:ind w:left="596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plc="982AF146">
      <w:start w:val="1"/>
      <w:numFmt w:val="lowerRoman"/>
      <w:lvlText w:val="%9"/>
      <w:lvlJc w:val="left"/>
      <w:pPr>
        <w:ind w:left="668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9097FC6"/>
    <w:multiLevelType w:val="hybridMultilevel"/>
    <w:tmpl w:val="9D22CB7A"/>
    <w:lvl w:ilvl="0" w:tplc="C2048E30">
      <w:start w:val="1"/>
      <w:numFmt w:val="decimal"/>
      <w:lvlText w:val="%1)"/>
      <w:lvlJc w:val="left"/>
      <w:pPr>
        <w:ind w:left="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plc="5EF69D60">
      <w:start w:val="1"/>
      <w:numFmt w:val="lowerLetter"/>
      <w:lvlText w:val="%2"/>
      <w:lvlJc w:val="left"/>
      <w:pPr>
        <w:ind w:left="164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plc="1B18B972">
      <w:start w:val="1"/>
      <w:numFmt w:val="lowerRoman"/>
      <w:lvlText w:val="%3"/>
      <w:lvlJc w:val="left"/>
      <w:pPr>
        <w:ind w:left="236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plc="CE120B42">
      <w:start w:val="1"/>
      <w:numFmt w:val="decimal"/>
      <w:lvlText w:val="%4"/>
      <w:lvlJc w:val="left"/>
      <w:pPr>
        <w:ind w:left="308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plc="5720B9F2">
      <w:start w:val="1"/>
      <w:numFmt w:val="lowerLetter"/>
      <w:lvlText w:val="%5"/>
      <w:lvlJc w:val="left"/>
      <w:pPr>
        <w:ind w:left="380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plc="33665F52">
      <w:start w:val="1"/>
      <w:numFmt w:val="lowerRoman"/>
      <w:lvlText w:val="%6"/>
      <w:lvlJc w:val="left"/>
      <w:pPr>
        <w:ind w:left="452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plc="4EF2FF60">
      <w:start w:val="1"/>
      <w:numFmt w:val="decimal"/>
      <w:lvlText w:val="%7"/>
      <w:lvlJc w:val="left"/>
      <w:pPr>
        <w:ind w:left="524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plc="90FA471C">
      <w:start w:val="1"/>
      <w:numFmt w:val="lowerLetter"/>
      <w:lvlText w:val="%8"/>
      <w:lvlJc w:val="left"/>
      <w:pPr>
        <w:ind w:left="596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plc="7F36B228">
      <w:start w:val="1"/>
      <w:numFmt w:val="lowerRoman"/>
      <w:lvlText w:val="%9"/>
      <w:lvlJc w:val="left"/>
      <w:pPr>
        <w:ind w:left="6687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0C0024F"/>
    <w:multiLevelType w:val="multilevel"/>
    <w:tmpl w:val="E91E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FD9"/>
    <w:rsid w:val="001206F6"/>
    <w:rsid w:val="00833FD9"/>
    <w:rsid w:val="00FC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2265"/>
  <w15:docId w15:val="{75D37001-A5A6-417E-8451-FF510931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49" w:lineRule="auto"/>
      <w:ind w:right="3" w:firstLine="55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" w:line="249" w:lineRule="auto"/>
      <w:ind w:left="1664" w:right="1658" w:hanging="10"/>
      <w:outlineLvl w:val="0"/>
    </w:pPr>
    <w:rPr>
      <w:rFonts w:ascii="Times New Roman" w:hAnsi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footer"/>
    <w:basedOn w:val="a"/>
    <w:link w:val="a5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note text"/>
    <w:link w:val="a7"/>
    <w:semiHidden/>
    <w:pPr>
      <w:spacing w:after="0" w:line="240" w:lineRule="auto"/>
    </w:pPr>
    <w:rPr>
      <w:sz w:val="20"/>
      <w:szCs w:val="20"/>
    </w:rPr>
  </w:style>
  <w:style w:type="paragraph" w:styleId="a8">
    <w:name w:val="endnote text"/>
    <w:link w:val="a9"/>
    <w:semiHidden/>
    <w:pPr>
      <w:spacing w:after="0" w:line="240" w:lineRule="auto"/>
    </w:pPr>
    <w:rPr>
      <w:sz w:val="20"/>
      <w:szCs w:val="20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Times New Roman" w:hAnsi="Times New Roman"/>
      <w:b/>
      <w:color w:val="000000"/>
      <w:sz w:val="28"/>
    </w:rPr>
  </w:style>
  <w:style w:type="character" w:customStyle="1" w:styleId="a5">
    <w:name w:val="Нижній колонтитул Знак"/>
    <w:basedOn w:val="a0"/>
    <w:link w:val="a4"/>
    <w:rPr>
      <w:rFonts w:ascii="Times New Roman" w:hAnsi="Times New Roman"/>
      <w:color w:val="000000"/>
      <w:sz w:val="28"/>
    </w:rPr>
  </w:style>
  <w:style w:type="character" w:styleId="ac">
    <w:name w:val="footnote reference"/>
    <w:semiHidden/>
    <w:rPr>
      <w:vertAlign w:val="superscript"/>
    </w:rPr>
  </w:style>
  <w:style w:type="character" w:customStyle="1" w:styleId="a7">
    <w:name w:val="Текст виноски Знак"/>
    <w:link w:val="a6"/>
    <w:semiHidden/>
    <w:rPr>
      <w:sz w:val="20"/>
      <w:szCs w:val="20"/>
    </w:rPr>
  </w:style>
  <w:style w:type="character" w:styleId="ad">
    <w:name w:val="endnote reference"/>
    <w:semiHidden/>
    <w:rPr>
      <w:vertAlign w:val="superscript"/>
    </w:rPr>
  </w:style>
  <w:style w:type="character" w:customStyle="1" w:styleId="a9">
    <w:name w:val="Текст кінцевої виноски Знак"/>
    <w:link w:val="a8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6450-EBBD-4995-8161-DC7CC3AB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7316</Words>
  <Characters>4171</Characters>
  <Application>Microsoft Office Word</Application>
  <DocSecurity>0</DocSecurity>
  <Lines>34</Lines>
  <Paragraphs>22</Paragraphs>
  <ScaleCrop>false</ScaleCrop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ЛАКТІОНОВ Андрій Андрійович</dc:creator>
  <cp:lastModifiedBy>ЛАКТІОНОВ Андрій Андрійович</cp:lastModifiedBy>
  <cp:revision>11</cp:revision>
  <dcterms:created xsi:type="dcterms:W3CDTF">2026-01-14T11:44:00Z</dcterms:created>
  <dcterms:modified xsi:type="dcterms:W3CDTF">2026-02-12T07:06:00Z</dcterms:modified>
</cp:coreProperties>
</file>