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6D4" w:rsidRPr="00D076D4" w:rsidRDefault="00D076D4" w:rsidP="00D076D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D076D4"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  <w:t>ПРАВЛІННЯ ПЕНСІЙНОГО ФОНДУ УКРАЇНИ</w:t>
      </w:r>
    </w:p>
    <w:p w:rsidR="00D076D4" w:rsidRPr="00D076D4" w:rsidRDefault="00D076D4" w:rsidP="00D076D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D076D4"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  <w:t>ПОСТАНОВА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0"/>
        <w:gridCol w:w="2833"/>
        <w:gridCol w:w="3320"/>
      </w:tblGrid>
      <w:tr w:rsidR="00D076D4" w:rsidRPr="00D076D4" w:rsidTr="00D076D4">
        <w:trPr>
          <w:tblCellSpacing w:w="22" w:type="dxa"/>
        </w:trPr>
        <w:tc>
          <w:tcPr>
            <w:tcW w:w="1750" w:type="pct"/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23.10.2017</w:t>
            </w:r>
          </w:p>
        </w:tc>
        <w:tc>
          <w:tcPr>
            <w:tcW w:w="1500" w:type="pct"/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м. Київ</w:t>
            </w:r>
          </w:p>
        </w:tc>
        <w:tc>
          <w:tcPr>
            <w:tcW w:w="1750" w:type="pct"/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N 23-1</w:t>
            </w:r>
          </w:p>
        </w:tc>
      </w:tr>
    </w:tbl>
    <w:p w:rsidR="00D076D4" w:rsidRPr="00D076D4" w:rsidRDefault="00D076D4" w:rsidP="00D076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D076D4"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  <w:t>Зареєстровано в Міністерстві юстиції України</w:t>
      </w:r>
      <w:r w:rsidRPr="00D076D4"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  <w:br/>
        <w:t>14 листопада 2017 р. за N 1392/31260</w:t>
      </w:r>
    </w:p>
    <w:p w:rsidR="00D076D4" w:rsidRPr="00D076D4" w:rsidRDefault="00D076D4" w:rsidP="00D076D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</w:pPr>
      <w:r w:rsidRPr="00D076D4">
        <w:rPr>
          <w:rFonts w:ascii="Times New Roman" w:eastAsia="Times New Roman" w:hAnsi="Times New Roman" w:cs="Times New Roman"/>
          <w:b/>
          <w:bCs/>
          <w:sz w:val="36"/>
          <w:szCs w:val="36"/>
          <w:lang w:eastAsia="ru-UA"/>
        </w:rPr>
        <w:t>Про затвердження Змін до постанови правління Пенсійного фонду України від 04 лютого 2016 року N 2-1</w:t>
      </w:r>
    </w:p>
    <w:p w:rsidR="00D076D4" w:rsidRPr="00D076D4" w:rsidRDefault="00D076D4" w:rsidP="00D07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D076D4">
        <w:rPr>
          <w:rFonts w:ascii="Times New Roman" w:eastAsia="Times New Roman" w:hAnsi="Times New Roman" w:cs="Times New Roman"/>
          <w:sz w:val="24"/>
          <w:szCs w:val="24"/>
          <w:lang w:eastAsia="ru-UA"/>
        </w:rPr>
        <w:t>Відповідно до Закону України від 03 листопада 2016 року N 1726-VIII "Про внесення змін до Закону України "Про основні засади державного нагляду (контролю) у сфері господарської діяльності" щодо лібералізації системи державного нагляду (контролю) у сфері господарської діяльності", Методики розроблення уніфікованих форм актів, що складаються за результатами проведення планових (позапланових) заходів державного нагляду (контролю), затвердженої постановою Кабінету Міністрів України від 28 серпня 2013 року N 752 (із змінами), та пунктів 9, 10 Положення про Пенсійний фонд України, затвердженого постановою Кабінету Міністрів України від 23 липня 2014 року N 280, правління Пенсійного фонду України</w:t>
      </w:r>
    </w:p>
    <w:p w:rsidR="00D076D4" w:rsidRPr="00D076D4" w:rsidRDefault="00D076D4" w:rsidP="00D07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D076D4"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  <w:t>ПОСТАНОВЛЯЄ:</w:t>
      </w:r>
    </w:p>
    <w:p w:rsidR="00D076D4" w:rsidRPr="00D076D4" w:rsidRDefault="00D076D4" w:rsidP="00D07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D076D4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1. </w:t>
      </w:r>
      <w:r w:rsidR="00271EEE" w:rsidRPr="00271EEE">
        <w:rPr>
          <w:rFonts w:ascii="Times New Roman" w:eastAsia="Times New Roman" w:hAnsi="Times New Roman" w:cs="Times New Roman"/>
          <w:sz w:val="24"/>
          <w:szCs w:val="24"/>
          <w:lang w:eastAsia="ru-UA"/>
        </w:rPr>
        <w:t>Затвердити Зміни до уніфікованої форми акта, який складається за результатами проведення планової (позапланової) перевірки щодо додержання суб'єктом господарювання вимог законодавства у сфері загальнообов'язкового державного пенсійного страхування</w:t>
      </w:r>
      <w:bookmarkStart w:id="0" w:name="_GoBack"/>
      <w:bookmarkEnd w:id="0"/>
      <w:r w:rsidRPr="00D076D4">
        <w:rPr>
          <w:rFonts w:ascii="Times New Roman" w:eastAsia="Times New Roman" w:hAnsi="Times New Roman" w:cs="Times New Roman"/>
          <w:sz w:val="24"/>
          <w:szCs w:val="24"/>
          <w:lang w:eastAsia="ru-UA"/>
        </w:rPr>
        <w:t>, затвердженої постановою правління Пенсійного фонду України від 04 лютого 2016 року N 2-1, зареєстрованою в Міністерстві юстиції України 22 лютого 2016 року за N 270/28400, що додаються.</w:t>
      </w:r>
    </w:p>
    <w:p w:rsidR="00D076D4" w:rsidRPr="00D076D4" w:rsidRDefault="00D076D4" w:rsidP="00D07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D076D4">
        <w:rPr>
          <w:rFonts w:ascii="Times New Roman" w:eastAsia="Times New Roman" w:hAnsi="Times New Roman" w:cs="Times New Roman"/>
          <w:sz w:val="24"/>
          <w:szCs w:val="24"/>
          <w:lang w:eastAsia="ru-UA"/>
        </w:rPr>
        <w:t>2. Департаменту внутрішнього аудиту та фінансового контролю (Шуляк А. П.) та юридичному департаменту (Рябцева Т. Б.) подати цю постанову на державну реєстрацію до Міністерства юстиції України.</w:t>
      </w:r>
    </w:p>
    <w:p w:rsidR="00D076D4" w:rsidRPr="00D076D4" w:rsidRDefault="00D076D4" w:rsidP="00D07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D076D4">
        <w:rPr>
          <w:rFonts w:ascii="Times New Roman" w:eastAsia="Times New Roman" w:hAnsi="Times New Roman" w:cs="Times New Roman"/>
          <w:sz w:val="24"/>
          <w:szCs w:val="24"/>
          <w:lang w:eastAsia="ru-UA"/>
        </w:rPr>
        <w:t>3. Ця постанова набирає чинності з дня її офіційного опублікування.</w:t>
      </w:r>
    </w:p>
    <w:p w:rsidR="00D076D4" w:rsidRPr="00D076D4" w:rsidRDefault="00D076D4" w:rsidP="00D07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D076D4">
        <w:rPr>
          <w:rFonts w:ascii="Times New Roman" w:eastAsia="Times New Roman" w:hAnsi="Times New Roman" w:cs="Times New Roman"/>
          <w:sz w:val="24"/>
          <w:szCs w:val="24"/>
          <w:lang w:eastAsia="ru-UA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81"/>
        <w:gridCol w:w="4782"/>
      </w:tblGrid>
      <w:tr w:rsidR="00D076D4" w:rsidRPr="00D076D4" w:rsidTr="00D076D4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Голова правління</w:t>
            </w:r>
          </w:p>
        </w:tc>
        <w:tc>
          <w:tcPr>
            <w:tcW w:w="2500" w:type="pct"/>
            <w:vAlign w:val="bottom"/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О. Зарудний</w:t>
            </w:r>
          </w:p>
        </w:tc>
      </w:tr>
      <w:tr w:rsidR="00D076D4" w:rsidRPr="00D076D4" w:rsidTr="00D076D4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ПОГОДЖЕНО:</w:t>
            </w:r>
          </w:p>
        </w:tc>
        <w:tc>
          <w:tcPr>
            <w:tcW w:w="2500" w:type="pct"/>
            <w:vAlign w:val="bottom"/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</w:t>
            </w:r>
          </w:p>
        </w:tc>
      </w:tr>
      <w:tr w:rsidR="00D076D4" w:rsidRPr="00D076D4" w:rsidTr="00D076D4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Міністр соціальної</w:t>
            </w:r>
            <w:r w:rsidRPr="00D0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br/>
              <w:t>політики України</w:t>
            </w:r>
          </w:p>
        </w:tc>
        <w:tc>
          <w:tcPr>
            <w:tcW w:w="2500" w:type="pct"/>
            <w:vAlign w:val="bottom"/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А. Рева</w:t>
            </w:r>
          </w:p>
        </w:tc>
      </w:tr>
      <w:tr w:rsidR="00D076D4" w:rsidRPr="00D076D4" w:rsidTr="00D076D4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Міністр фінансів України</w:t>
            </w:r>
          </w:p>
        </w:tc>
        <w:tc>
          <w:tcPr>
            <w:tcW w:w="2500" w:type="pct"/>
            <w:vAlign w:val="bottom"/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О. Данилюк</w:t>
            </w:r>
          </w:p>
        </w:tc>
      </w:tr>
      <w:tr w:rsidR="00D076D4" w:rsidRPr="00D076D4" w:rsidTr="00D076D4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Перший віце-прем'єр-міністр</w:t>
            </w:r>
            <w:r w:rsidRPr="00D0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br/>
              <w:t>України - Міністр економічного</w:t>
            </w:r>
            <w:r w:rsidRPr="00D0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br/>
              <w:t>розвитку і торгівля України</w:t>
            </w:r>
          </w:p>
        </w:tc>
        <w:tc>
          <w:tcPr>
            <w:tcW w:w="2500" w:type="pct"/>
            <w:vAlign w:val="bottom"/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С. Кубів</w:t>
            </w:r>
          </w:p>
        </w:tc>
      </w:tr>
      <w:tr w:rsidR="00D076D4" w:rsidRPr="00D076D4" w:rsidTr="00D076D4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lastRenderedPageBreak/>
              <w:t>Виконавчий Віце-президент</w:t>
            </w:r>
            <w:r w:rsidRPr="00D0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br/>
              <w:t>Конфедерації роботодавців України</w:t>
            </w:r>
          </w:p>
        </w:tc>
        <w:tc>
          <w:tcPr>
            <w:tcW w:w="2500" w:type="pct"/>
            <w:vAlign w:val="bottom"/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О. Мірошниченко</w:t>
            </w:r>
          </w:p>
        </w:tc>
      </w:tr>
      <w:tr w:rsidR="00D076D4" w:rsidRPr="00D076D4" w:rsidTr="00D076D4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Керівник Секретаріату Спільного</w:t>
            </w:r>
            <w:r w:rsidRPr="00D0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br/>
              <w:t>представницького органу сторони</w:t>
            </w:r>
            <w:r w:rsidRPr="00D0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br/>
              <w:t>роботодавців на національному рівні</w:t>
            </w:r>
          </w:p>
        </w:tc>
        <w:tc>
          <w:tcPr>
            <w:tcW w:w="2500" w:type="pct"/>
            <w:vAlign w:val="bottom"/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Р. Іллічов</w:t>
            </w:r>
          </w:p>
        </w:tc>
      </w:tr>
      <w:tr w:rsidR="00D076D4" w:rsidRPr="00D076D4" w:rsidTr="00D076D4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Перший заступник Голови</w:t>
            </w:r>
            <w:r w:rsidRPr="00D0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br/>
              <w:t>Спільного представницького</w:t>
            </w:r>
            <w:r w:rsidRPr="00D0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br/>
              <w:t>органу об'єднань профспілок</w:t>
            </w:r>
          </w:p>
        </w:tc>
        <w:tc>
          <w:tcPr>
            <w:tcW w:w="2500" w:type="pct"/>
            <w:vAlign w:val="bottom"/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О. О. Шубін</w:t>
            </w:r>
          </w:p>
        </w:tc>
      </w:tr>
    </w:tbl>
    <w:p w:rsidR="00D076D4" w:rsidRPr="00D076D4" w:rsidRDefault="00D076D4" w:rsidP="00D07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D076D4">
        <w:rPr>
          <w:rFonts w:ascii="Times New Roman" w:eastAsia="Times New Roman" w:hAnsi="Times New Roman" w:cs="Times New Roman"/>
          <w:sz w:val="24"/>
          <w:szCs w:val="24"/>
          <w:lang w:eastAsia="ru-UA"/>
        </w:rPr>
        <w:t> </w:t>
      </w:r>
    </w:p>
    <w:p w:rsidR="00D076D4" w:rsidRPr="00D076D4" w:rsidRDefault="00D076D4" w:rsidP="00D076D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D076D4">
        <w:rPr>
          <w:rFonts w:ascii="Times New Roman" w:eastAsia="Times New Roman" w:hAnsi="Times New Roman" w:cs="Times New Roman"/>
          <w:sz w:val="24"/>
          <w:szCs w:val="24"/>
          <w:lang w:eastAsia="ru-UA"/>
        </w:rPr>
        <w:t>ЗАТВЕРДЖЕНО</w:t>
      </w:r>
      <w:r w:rsidRPr="00D076D4">
        <w:rPr>
          <w:rFonts w:ascii="Times New Roman" w:eastAsia="Times New Roman" w:hAnsi="Times New Roman" w:cs="Times New Roman"/>
          <w:sz w:val="24"/>
          <w:szCs w:val="24"/>
          <w:lang w:eastAsia="ru-UA"/>
        </w:rPr>
        <w:br/>
        <w:t>Постанова правління Пенсійного фонду України</w:t>
      </w:r>
      <w:r w:rsidRPr="00D076D4">
        <w:rPr>
          <w:rFonts w:ascii="Times New Roman" w:eastAsia="Times New Roman" w:hAnsi="Times New Roman" w:cs="Times New Roman"/>
          <w:sz w:val="24"/>
          <w:szCs w:val="24"/>
          <w:lang w:eastAsia="ru-UA"/>
        </w:rPr>
        <w:br/>
        <w:t>23 жовтня 2017 року N 23-1</w:t>
      </w:r>
    </w:p>
    <w:p w:rsidR="00D076D4" w:rsidRPr="00D076D4" w:rsidRDefault="00D076D4" w:rsidP="00D076D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D076D4">
        <w:rPr>
          <w:rFonts w:ascii="Times New Roman" w:eastAsia="Times New Roman" w:hAnsi="Times New Roman" w:cs="Times New Roman"/>
          <w:sz w:val="24"/>
          <w:szCs w:val="24"/>
          <w:lang w:eastAsia="ru-UA"/>
        </w:rPr>
        <w:t>Зареєстровано</w:t>
      </w:r>
      <w:r w:rsidRPr="00D076D4">
        <w:rPr>
          <w:rFonts w:ascii="Times New Roman" w:eastAsia="Times New Roman" w:hAnsi="Times New Roman" w:cs="Times New Roman"/>
          <w:sz w:val="24"/>
          <w:szCs w:val="24"/>
          <w:lang w:eastAsia="ru-UA"/>
        </w:rPr>
        <w:br/>
        <w:t>в Міністерстві юстиції України</w:t>
      </w:r>
      <w:r w:rsidRPr="00D076D4">
        <w:rPr>
          <w:rFonts w:ascii="Times New Roman" w:eastAsia="Times New Roman" w:hAnsi="Times New Roman" w:cs="Times New Roman"/>
          <w:sz w:val="24"/>
          <w:szCs w:val="24"/>
          <w:lang w:eastAsia="ru-UA"/>
        </w:rPr>
        <w:br/>
        <w:t>14 листопада 2017 р. за N 1392/31260</w:t>
      </w:r>
    </w:p>
    <w:p w:rsidR="00D076D4" w:rsidRPr="00D076D4" w:rsidRDefault="00D076D4" w:rsidP="00D076D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UA"/>
        </w:rPr>
      </w:pPr>
      <w:r w:rsidRPr="00D076D4">
        <w:rPr>
          <w:rFonts w:ascii="Times New Roman" w:eastAsia="Times New Roman" w:hAnsi="Times New Roman" w:cs="Times New Roman"/>
          <w:b/>
          <w:bCs/>
          <w:sz w:val="27"/>
          <w:szCs w:val="27"/>
          <w:lang w:eastAsia="ru-UA"/>
        </w:rPr>
        <w:t>ЗМІНИ</w:t>
      </w:r>
      <w:r w:rsidRPr="00D076D4">
        <w:rPr>
          <w:rFonts w:ascii="Times New Roman" w:eastAsia="Times New Roman" w:hAnsi="Times New Roman" w:cs="Times New Roman"/>
          <w:b/>
          <w:bCs/>
          <w:sz w:val="27"/>
          <w:szCs w:val="27"/>
          <w:lang w:eastAsia="ru-UA"/>
        </w:rPr>
        <w:br/>
        <w:t xml:space="preserve">до уніфікованої </w:t>
      </w:r>
      <w:hyperlink r:id="rId5" w:tgtFrame="_top" w:history="1">
        <w:r w:rsidRPr="00D076D4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UA"/>
          </w:rPr>
          <w:t>форми акта, який складається за результатами проведення планової (позапланової) перевірки щодо додержання суб'єктом господарювання вимог законодавства у сфері загальнообов'язкового державного пенсійного страхування</w:t>
        </w:r>
      </w:hyperlink>
    </w:p>
    <w:p w:rsidR="00D076D4" w:rsidRPr="00D076D4" w:rsidRDefault="00D076D4" w:rsidP="00D076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D076D4">
        <w:rPr>
          <w:rFonts w:ascii="Times New Roman" w:eastAsia="Times New Roman" w:hAnsi="Times New Roman" w:cs="Times New Roman"/>
          <w:sz w:val="24"/>
          <w:szCs w:val="24"/>
          <w:lang w:eastAsia="ru-UA"/>
        </w:rPr>
        <w:t>1. Перелік питань щодо проведення перевірки викласти у такій редакції:</w:t>
      </w:r>
    </w:p>
    <w:p w:rsidR="00D076D4" w:rsidRPr="00D076D4" w:rsidRDefault="00D076D4" w:rsidP="00D076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D076D4">
        <w:rPr>
          <w:rFonts w:ascii="Times New Roman" w:eastAsia="Times New Roman" w:hAnsi="Times New Roman" w:cs="Times New Roman"/>
          <w:sz w:val="24"/>
          <w:szCs w:val="24"/>
          <w:lang w:eastAsia="ru-UA"/>
        </w:rPr>
        <w:t>"</w:t>
      </w:r>
      <w:r w:rsidRPr="00D076D4"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  <w:t>Вичерпний перелік питань щодо проведення перевірки</w:t>
      </w:r>
    </w:p>
    <w:tbl>
      <w:tblPr>
        <w:tblW w:w="0" w:type="auto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2019"/>
        <w:gridCol w:w="1670"/>
        <w:gridCol w:w="409"/>
        <w:gridCol w:w="286"/>
        <w:gridCol w:w="1670"/>
        <w:gridCol w:w="1355"/>
        <w:gridCol w:w="1523"/>
      </w:tblGrid>
      <w:tr w:rsidR="00D076D4" w:rsidRPr="00D076D4" w:rsidTr="00D076D4">
        <w:trPr>
          <w:tblCellSpacing w:w="22" w:type="dxa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N з/п</w:t>
            </w:r>
          </w:p>
        </w:tc>
        <w:tc>
          <w:tcPr>
            <w:tcW w:w="1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Питання щодо дотримання суб'єктом господарювання вимог законодавства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Ступінь ризику суб'єкта господарювання</w:t>
            </w:r>
          </w:p>
        </w:tc>
        <w:tc>
          <w:tcPr>
            <w:tcW w:w="17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Відповіді на питання</w:t>
            </w:r>
          </w:p>
        </w:tc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Нормативне обґрунтування</w:t>
            </w:r>
          </w:p>
        </w:tc>
      </w:tr>
      <w:tr w:rsidR="00D076D4" w:rsidRPr="00D076D4" w:rsidTr="00D076D4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6D4" w:rsidRPr="00D076D4" w:rsidRDefault="00D076D4" w:rsidP="00D07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6D4" w:rsidRPr="00D076D4" w:rsidRDefault="00D076D4" w:rsidP="00D07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6D4" w:rsidRPr="00D076D4" w:rsidRDefault="00D076D4" w:rsidP="00D07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так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ні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дотримання вимог законодавства не є обов'язковим для суб'єкта господарювання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не розглядалося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</w:tr>
      <w:tr w:rsidR="00D076D4" w:rsidRPr="00D076D4" w:rsidTr="00D076D4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3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4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5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7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8</w:t>
            </w:r>
          </w:p>
        </w:tc>
      </w:tr>
      <w:tr w:rsidR="00D076D4" w:rsidRPr="00D076D4" w:rsidTr="00D076D4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Нарахування та сплата внесків на загальнообов'язкове державне пенсійне страхування здійснюються відповідно до вимог </w:t>
            </w:r>
            <w:hyperlink r:id="rId6" w:tgtFrame="_top" w:history="1">
              <w:r w:rsidRPr="00D076D4">
                <w:rPr>
                  <w:rFonts w:ascii="Times New Roman" w:eastAsia="Times New Roman" w:hAnsi="Times New Roman" w:cs="Times New Roman"/>
                  <w:sz w:val="24"/>
                  <w:szCs w:val="24"/>
                  <w:lang w:eastAsia="ru-UA"/>
                </w:rPr>
                <w:t>ЗУ N 1058-</w:t>
              </w:r>
              <w:r w:rsidRPr="00D076D4">
                <w:rPr>
                  <w:rFonts w:ascii="Times New Roman" w:eastAsia="Times New Roman" w:hAnsi="Times New Roman" w:cs="Times New Roman"/>
                  <w:sz w:val="24"/>
                  <w:szCs w:val="24"/>
                  <w:lang w:eastAsia="ru-UA"/>
                </w:rPr>
                <w:lastRenderedPageBreak/>
                <w:t>IV</w:t>
              </w:r>
            </w:hyperlink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lastRenderedPageBreak/>
              <w:t>Високий</w:t>
            </w: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>Середній</w:t>
            </w: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>Незначний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</w:t>
            </w:r>
          </w:p>
        </w:tc>
      </w:tr>
      <w:tr w:rsidR="00D076D4" w:rsidRPr="00D076D4" w:rsidTr="00D076D4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lastRenderedPageBreak/>
              <w:t>1.1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Суми фактичних витрат на оплату праці (грошового забезпечення) працівників, що включають витрати на виплату основної і додаткової заробітної плати та інших заохочувальних та компенсаційних виплат, у тому числі в натуральній формі, які визначаються згідно з нормативно-правовими актами, прийнятими відповідно до </w:t>
            </w:r>
            <w:hyperlink r:id="rId7" w:tgtFrame="_top" w:history="1">
              <w:r w:rsidRPr="00D076D4">
                <w:rPr>
                  <w:rFonts w:ascii="Times New Roman" w:eastAsia="Times New Roman" w:hAnsi="Times New Roman" w:cs="Times New Roman"/>
                  <w:sz w:val="24"/>
                  <w:szCs w:val="24"/>
                  <w:lang w:eastAsia="ru-UA"/>
                </w:rPr>
                <w:t>Закону України "Про оплату праці"</w:t>
              </w:r>
            </w:hyperlink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, виплату винагород фізичним особам за виконання робіт (послуг) за угодами цивільно-правового характеру, що підлягають обкладенню податком на доходи фізичних осіб, а також суми оплати перших п'яти днів тимчасової непрацездатності, яка здійснюється за рахунок коштів роботодавця, та допомоги по тимчасовій непрацездатності відображаються у </w:t>
            </w: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lastRenderedPageBreak/>
              <w:t>звітності в повному обсязі згідно з даними бухгалтерського обліку платника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lastRenderedPageBreak/>
              <w:t>Високий</w:t>
            </w: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>Середній</w:t>
            </w: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>Незначний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Абзац шостий </w:t>
            </w:r>
            <w:hyperlink r:id="rId8" w:tgtFrame="_top" w:history="1">
              <w:r w:rsidRPr="00D076D4">
                <w:rPr>
                  <w:rFonts w:ascii="Times New Roman" w:eastAsia="Times New Roman" w:hAnsi="Times New Roman" w:cs="Times New Roman"/>
                  <w:sz w:val="24"/>
                  <w:szCs w:val="24"/>
                  <w:lang w:eastAsia="ru-UA"/>
                </w:rPr>
                <w:t>пункту 7 розділу VIII ЗУ N 2464-VI</w:t>
              </w:r>
            </w:hyperlink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;</w:t>
            </w: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</w:r>
            <w:hyperlink r:id="rId9" w:tgtFrame="_top" w:history="1">
              <w:r w:rsidRPr="00D076D4">
                <w:rPr>
                  <w:rFonts w:ascii="Times New Roman" w:eastAsia="Times New Roman" w:hAnsi="Times New Roman" w:cs="Times New Roman"/>
                  <w:sz w:val="24"/>
                  <w:szCs w:val="24"/>
                  <w:lang w:eastAsia="ru-UA"/>
                </w:rPr>
                <w:t>пункт 4 частини другої статті 17</w:t>
              </w:r>
            </w:hyperlink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, абзац другий </w:t>
            </w:r>
            <w:hyperlink r:id="rId10" w:tgtFrame="_top" w:history="1">
              <w:r w:rsidRPr="00D076D4">
                <w:rPr>
                  <w:rFonts w:ascii="Times New Roman" w:eastAsia="Times New Roman" w:hAnsi="Times New Roman" w:cs="Times New Roman"/>
                  <w:sz w:val="24"/>
                  <w:szCs w:val="24"/>
                  <w:lang w:eastAsia="ru-UA"/>
                </w:rPr>
                <w:t>частини першої статті 19 ЗУ N 1058-IV</w:t>
              </w:r>
            </w:hyperlink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(у редакції, що діяла на дату нарахування виплат)</w:t>
            </w:r>
          </w:p>
        </w:tc>
      </w:tr>
      <w:tr w:rsidR="00D076D4" w:rsidRPr="00D076D4" w:rsidTr="00D076D4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lastRenderedPageBreak/>
              <w:t>1.2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Суми сукупного оподатковуваного доходу (прибутку) застрахованих осіб з урахуванням положень </w:t>
            </w:r>
            <w:hyperlink r:id="rId11" w:tgtFrame="_top" w:history="1">
              <w:r w:rsidRPr="00D076D4">
                <w:rPr>
                  <w:rFonts w:ascii="Times New Roman" w:eastAsia="Times New Roman" w:hAnsi="Times New Roman" w:cs="Times New Roman"/>
                  <w:sz w:val="24"/>
                  <w:szCs w:val="24"/>
                  <w:lang w:eastAsia="ru-UA"/>
                </w:rPr>
                <w:t>підпункту 4.2.1 пункту 4.2</w:t>
              </w:r>
            </w:hyperlink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, </w:t>
            </w:r>
            <w:hyperlink r:id="rId12" w:tgtFrame="_top" w:history="1">
              <w:r w:rsidRPr="00D076D4">
                <w:rPr>
                  <w:rFonts w:ascii="Times New Roman" w:eastAsia="Times New Roman" w:hAnsi="Times New Roman" w:cs="Times New Roman"/>
                  <w:sz w:val="24"/>
                  <w:szCs w:val="24"/>
                  <w:lang w:eastAsia="ru-UA"/>
                </w:rPr>
                <w:t>пункту 4.4 статті 4 ЗУ N 889-IV</w:t>
              </w:r>
            </w:hyperlink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(у редакції, що діяла на дату нарахування виплат) відображаються у звітності в повному обсязі згідно з даними бухгалтерського обліку платника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Високий</w:t>
            </w: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>Середній</w:t>
            </w: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>Незначний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Абзац шостий </w:t>
            </w:r>
            <w:hyperlink r:id="rId13" w:tgtFrame="_top" w:history="1">
              <w:r w:rsidRPr="00D076D4">
                <w:rPr>
                  <w:rFonts w:ascii="Times New Roman" w:eastAsia="Times New Roman" w:hAnsi="Times New Roman" w:cs="Times New Roman"/>
                  <w:sz w:val="24"/>
                  <w:szCs w:val="24"/>
                  <w:lang w:eastAsia="ru-UA"/>
                </w:rPr>
                <w:t>пункту 7 розділу VIII ЗУ N 2464-VI</w:t>
              </w:r>
            </w:hyperlink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;</w:t>
            </w: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</w:r>
            <w:hyperlink r:id="rId14" w:tgtFrame="_top" w:history="1">
              <w:r w:rsidRPr="00D076D4">
                <w:rPr>
                  <w:rFonts w:ascii="Times New Roman" w:eastAsia="Times New Roman" w:hAnsi="Times New Roman" w:cs="Times New Roman"/>
                  <w:sz w:val="24"/>
                  <w:szCs w:val="24"/>
                  <w:lang w:eastAsia="ru-UA"/>
                </w:rPr>
                <w:t>пункт 4 частини другої статті 17</w:t>
              </w:r>
            </w:hyperlink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, </w:t>
            </w:r>
            <w:hyperlink r:id="rId15" w:tgtFrame="_top" w:history="1">
              <w:r w:rsidRPr="00D076D4">
                <w:rPr>
                  <w:rFonts w:ascii="Times New Roman" w:eastAsia="Times New Roman" w:hAnsi="Times New Roman" w:cs="Times New Roman"/>
                  <w:sz w:val="24"/>
                  <w:szCs w:val="24"/>
                  <w:lang w:eastAsia="ru-UA"/>
                </w:rPr>
                <w:t>частина друга статті 19 ЗУ N 1058-IV</w:t>
              </w:r>
            </w:hyperlink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(у редакції, що діяла на дату нарахування виплат);</w:t>
            </w: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</w:r>
            <w:hyperlink r:id="rId16" w:tgtFrame="_top" w:history="1">
              <w:r w:rsidRPr="00D076D4">
                <w:rPr>
                  <w:rFonts w:ascii="Times New Roman" w:eastAsia="Times New Roman" w:hAnsi="Times New Roman" w:cs="Times New Roman"/>
                  <w:sz w:val="24"/>
                  <w:szCs w:val="24"/>
                  <w:lang w:eastAsia="ru-UA"/>
                </w:rPr>
                <w:t>підпункт 4.2.1 пункту 4.2</w:t>
              </w:r>
            </w:hyperlink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, </w:t>
            </w:r>
            <w:hyperlink r:id="rId17" w:tgtFrame="_top" w:history="1">
              <w:r w:rsidRPr="00D076D4">
                <w:rPr>
                  <w:rFonts w:ascii="Times New Roman" w:eastAsia="Times New Roman" w:hAnsi="Times New Roman" w:cs="Times New Roman"/>
                  <w:sz w:val="24"/>
                  <w:szCs w:val="24"/>
                  <w:lang w:eastAsia="ru-UA"/>
                </w:rPr>
                <w:t>пункт 4.4 статті 4 ЗУ N 889-IV</w:t>
              </w:r>
            </w:hyperlink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(у редакції, що діяла на дату нарахування виплат)</w:t>
            </w:r>
          </w:p>
        </w:tc>
      </w:tr>
      <w:tr w:rsidR="00D076D4" w:rsidRPr="00D076D4" w:rsidTr="00D076D4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1.3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Страхові внески, що перераховуються до солідарної системи (крім страхових внесків, що перераховуються особами, зазначеними в </w:t>
            </w:r>
            <w:hyperlink r:id="rId18" w:tgtFrame="_top" w:history="1">
              <w:r w:rsidRPr="00D076D4">
                <w:rPr>
                  <w:rFonts w:ascii="Times New Roman" w:eastAsia="Times New Roman" w:hAnsi="Times New Roman" w:cs="Times New Roman"/>
                  <w:sz w:val="24"/>
                  <w:szCs w:val="24"/>
                  <w:lang w:eastAsia="ru-UA"/>
                </w:rPr>
                <w:t>пунктах 3</w:t>
              </w:r>
            </w:hyperlink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, </w:t>
            </w:r>
            <w:hyperlink r:id="rId19" w:tgtFrame="_top" w:history="1">
              <w:r w:rsidRPr="00D076D4">
                <w:rPr>
                  <w:rFonts w:ascii="Times New Roman" w:eastAsia="Times New Roman" w:hAnsi="Times New Roman" w:cs="Times New Roman"/>
                  <w:sz w:val="24"/>
                  <w:szCs w:val="24"/>
                  <w:lang w:eastAsia="ru-UA"/>
                </w:rPr>
                <w:t>4 статті 11</w:t>
              </w:r>
            </w:hyperlink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та у </w:t>
            </w:r>
            <w:hyperlink r:id="rId20" w:tgtFrame="_top" w:history="1">
              <w:r w:rsidRPr="00D076D4">
                <w:rPr>
                  <w:rFonts w:ascii="Times New Roman" w:eastAsia="Times New Roman" w:hAnsi="Times New Roman" w:cs="Times New Roman"/>
                  <w:sz w:val="24"/>
                  <w:szCs w:val="24"/>
                  <w:lang w:eastAsia="ru-UA"/>
                </w:rPr>
                <w:t>статті 12 ЗУ N 1058-IV</w:t>
              </w:r>
            </w:hyperlink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, а також страхових внесків, сплачуваних за осіб, зазначених у </w:t>
            </w:r>
            <w:hyperlink r:id="rId21" w:tgtFrame="_top" w:history="1">
              <w:r w:rsidRPr="00D076D4">
                <w:rPr>
                  <w:rFonts w:ascii="Times New Roman" w:eastAsia="Times New Roman" w:hAnsi="Times New Roman" w:cs="Times New Roman"/>
                  <w:sz w:val="24"/>
                  <w:szCs w:val="24"/>
                  <w:lang w:eastAsia="ru-UA"/>
                </w:rPr>
                <w:t>пунктах 8</w:t>
              </w:r>
            </w:hyperlink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, </w:t>
            </w:r>
            <w:hyperlink r:id="rId22" w:tgtFrame="_top" w:history="1">
              <w:r w:rsidRPr="00D076D4">
                <w:rPr>
                  <w:rFonts w:ascii="Times New Roman" w:eastAsia="Times New Roman" w:hAnsi="Times New Roman" w:cs="Times New Roman"/>
                  <w:sz w:val="24"/>
                  <w:szCs w:val="24"/>
                  <w:lang w:eastAsia="ru-UA"/>
                </w:rPr>
                <w:t>13</w:t>
              </w:r>
            </w:hyperlink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, </w:t>
            </w:r>
            <w:hyperlink r:id="rId23" w:tgtFrame="_top" w:history="1">
              <w:r w:rsidRPr="00D076D4">
                <w:rPr>
                  <w:rFonts w:ascii="Times New Roman" w:eastAsia="Times New Roman" w:hAnsi="Times New Roman" w:cs="Times New Roman"/>
                  <w:sz w:val="24"/>
                  <w:szCs w:val="24"/>
                  <w:lang w:eastAsia="ru-UA"/>
                </w:rPr>
                <w:t>14</w:t>
              </w:r>
            </w:hyperlink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, </w:t>
            </w:r>
            <w:hyperlink r:id="rId24" w:tgtFrame="_top" w:history="1">
              <w:r w:rsidRPr="00D076D4">
                <w:rPr>
                  <w:rFonts w:ascii="Times New Roman" w:eastAsia="Times New Roman" w:hAnsi="Times New Roman" w:cs="Times New Roman"/>
                  <w:sz w:val="24"/>
                  <w:szCs w:val="24"/>
                  <w:lang w:eastAsia="ru-UA"/>
                </w:rPr>
                <w:t>17 статті 11</w:t>
              </w:r>
              <w:r w:rsidRPr="00D076D4">
                <w:rPr>
                  <w:rFonts w:ascii="Times New Roman" w:eastAsia="Times New Roman" w:hAnsi="Times New Roman" w:cs="Times New Roman"/>
                  <w:sz w:val="24"/>
                  <w:szCs w:val="24"/>
                  <w:lang w:eastAsia="ru-UA"/>
                </w:rPr>
                <w:br/>
                <w:t>ЗУ N 1058-IV</w:t>
              </w:r>
            </w:hyperlink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), </w:t>
            </w: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lastRenderedPageBreak/>
              <w:t xml:space="preserve">сплачуються страхувальниками та застрахованими особами на умовах і в порядку, визначених </w:t>
            </w:r>
            <w:hyperlink r:id="rId25" w:tgtFrame="_top" w:history="1">
              <w:r w:rsidRPr="00D076D4">
                <w:rPr>
                  <w:rFonts w:ascii="Times New Roman" w:eastAsia="Times New Roman" w:hAnsi="Times New Roman" w:cs="Times New Roman"/>
                  <w:sz w:val="24"/>
                  <w:szCs w:val="24"/>
                  <w:lang w:eastAsia="ru-UA"/>
                </w:rPr>
                <w:t>ЗУ N 1058-IV</w:t>
              </w:r>
            </w:hyperlink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, та в розмірах, передбачених: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lastRenderedPageBreak/>
              <w:t>Високий</w:t>
            </w: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>Середній</w:t>
            </w: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>Незначний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Абзац шостий </w:t>
            </w:r>
            <w:hyperlink r:id="rId26" w:tgtFrame="_top" w:history="1">
              <w:r w:rsidRPr="00D076D4">
                <w:rPr>
                  <w:rFonts w:ascii="Times New Roman" w:eastAsia="Times New Roman" w:hAnsi="Times New Roman" w:cs="Times New Roman"/>
                  <w:sz w:val="24"/>
                  <w:szCs w:val="24"/>
                  <w:lang w:eastAsia="ru-UA"/>
                </w:rPr>
                <w:t>пункту 7 розділу VIII ЗУ N 2464-VI</w:t>
              </w:r>
            </w:hyperlink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;</w:t>
            </w: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</w:r>
            <w:hyperlink r:id="rId27" w:tgtFrame="_top" w:history="1">
              <w:r w:rsidRPr="00D076D4">
                <w:rPr>
                  <w:rFonts w:ascii="Times New Roman" w:eastAsia="Times New Roman" w:hAnsi="Times New Roman" w:cs="Times New Roman"/>
                  <w:sz w:val="24"/>
                  <w:szCs w:val="24"/>
                  <w:lang w:eastAsia="ru-UA"/>
                </w:rPr>
                <w:t>підпункт 1 пункту 8 розділу XV ЗУ N 1058-IV</w:t>
              </w:r>
            </w:hyperlink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(у редакції, що діяла на дату нарахування виплат);</w:t>
            </w: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</w:r>
            <w:hyperlink r:id="rId28" w:tgtFrame="_top" w:history="1">
              <w:r w:rsidRPr="00D076D4">
                <w:rPr>
                  <w:rFonts w:ascii="Times New Roman" w:eastAsia="Times New Roman" w:hAnsi="Times New Roman" w:cs="Times New Roman"/>
                  <w:sz w:val="24"/>
                  <w:szCs w:val="24"/>
                  <w:lang w:eastAsia="ru-UA"/>
                </w:rPr>
                <w:t>пункти 1</w:t>
              </w:r>
            </w:hyperlink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, </w:t>
            </w:r>
            <w:hyperlink r:id="rId29" w:tgtFrame="_top" w:history="1">
              <w:r w:rsidRPr="00D076D4">
                <w:rPr>
                  <w:rFonts w:ascii="Times New Roman" w:eastAsia="Times New Roman" w:hAnsi="Times New Roman" w:cs="Times New Roman"/>
                  <w:sz w:val="24"/>
                  <w:szCs w:val="24"/>
                  <w:lang w:eastAsia="ru-UA"/>
                </w:rPr>
                <w:t>3 - 5 статті 4 ЗУ N 400/97-ВР</w:t>
              </w:r>
            </w:hyperlink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(у редакції, що діяла на </w:t>
            </w: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lastRenderedPageBreak/>
              <w:t>дату нарахування виплат)</w:t>
            </w:r>
          </w:p>
        </w:tc>
      </w:tr>
      <w:tr w:rsidR="00D076D4" w:rsidRPr="00D076D4" w:rsidTr="00D076D4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lastRenderedPageBreak/>
              <w:t>1.3.1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hyperlink r:id="rId30" w:tgtFrame="_top" w:history="1">
              <w:r w:rsidRPr="00D076D4">
                <w:rPr>
                  <w:rFonts w:ascii="Times New Roman" w:eastAsia="Times New Roman" w:hAnsi="Times New Roman" w:cs="Times New Roman"/>
                  <w:sz w:val="24"/>
                  <w:szCs w:val="24"/>
                  <w:lang w:eastAsia="ru-UA"/>
                </w:rPr>
                <w:t>пунктом 1 статті 4 ЗУ N 400/97-ВР</w:t>
              </w:r>
            </w:hyperlink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Високий</w:t>
            </w: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>Середній</w:t>
            </w: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>Незначний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</w:tr>
      <w:tr w:rsidR="00D076D4" w:rsidRPr="00D076D4" w:rsidTr="00D076D4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1.3.2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hyperlink r:id="rId31" w:tgtFrame="_top" w:history="1">
              <w:r w:rsidRPr="00D076D4">
                <w:rPr>
                  <w:rFonts w:ascii="Times New Roman" w:eastAsia="Times New Roman" w:hAnsi="Times New Roman" w:cs="Times New Roman"/>
                  <w:sz w:val="24"/>
                  <w:szCs w:val="24"/>
                  <w:lang w:eastAsia="ru-UA"/>
                </w:rPr>
                <w:t>пунктом 3 статті 4 ЗУ N 400/97-ВР</w:t>
              </w:r>
            </w:hyperlink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Високий</w:t>
            </w: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>Середній</w:t>
            </w: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>Незначний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</w:tr>
      <w:tr w:rsidR="00D076D4" w:rsidRPr="00D076D4" w:rsidTr="00D076D4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1.3.3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hyperlink r:id="rId32" w:tgtFrame="_top" w:history="1">
              <w:r w:rsidRPr="00D076D4">
                <w:rPr>
                  <w:rFonts w:ascii="Times New Roman" w:eastAsia="Times New Roman" w:hAnsi="Times New Roman" w:cs="Times New Roman"/>
                  <w:sz w:val="24"/>
                  <w:szCs w:val="24"/>
                  <w:lang w:eastAsia="ru-UA"/>
                </w:rPr>
                <w:t>пунктом 4 статті 4 ЗУ N 400/97-ВР</w:t>
              </w:r>
            </w:hyperlink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Високий</w:t>
            </w: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>Середній</w:t>
            </w: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>Незначний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</w:tr>
      <w:tr w:rsidR="00D076D4" w:rsidRPr="00D076D4" w:rsidTr="00D076D4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1.3.4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hyperlink r:id="rId33" w:tgtFrame="_top" w:history="1">
              <w:r w:rsidRPr="00D076D4">
                <w:rPr>
                  <w:rFonts w:ascii="Times New Roman" w:eastAsia="Times New Roman" w:hAnsi="Times New Roman" w:cs="Times New Roman"/>
                  <w:sz w:val="24"/>
                  <w:szCs w:val="24"/>
                  <w:lang w:eastAsia="ru-UA"/>
                </w:rPr>
                <w:t>пунктом 5 статті 4 ЗУ N 400/97-ВР</w:t>
              </w:r>
            </w:hyperlink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Високий</w:t>
            </w: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>Середній</w:t>
            </w: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>Незначний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</w:tr>
      <w:tr w:rsidR="00D076D4" w:rsidRPr="00D076D4" w:rsidTr="00D076D4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1.4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Авансові платежі у вигляді сум страхових внесків, сплачені одночасно з виплатою заробітної плати (доходу)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Високий</w:t>
            </w: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>Середній</w:t>
            </w: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>Незначний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hyperlink r:id="rId34" w:tgtFrame="_top" w:history="1">
              <w:r w:rsidRPr="00D076D4">
                <w:rPr>
                  <w:rFonts w:ascii="Times New Roman" w:eastAsia="Times New Roman" w:hAnsi="Times New Roman" w:cs="Times New Roman"/>
                  <w:sz w:val="24"/>
                  <w:szCs w:val="24"/>
                  <w:lang w:eastAsia="ru-UA"/>
                </w:rPr>
                <w:t>Частина шоста статті 20 ЗУ N 1058-IV</w:t>
              </w:r>
            </w:hyperlink>
          </w:p>
        </w:tc>
      </w:tr>
      <w:tr w:rsidR="00D076D4" w:rsidRPr="00D076D4" w:rsidTr="00D076D4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2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За осіб, зазначених у </w:t>
            </w:r>
            <w:hyperlink r:id="rId35" w:tgtFrame="_top" w:history="1">
              <w:r w:rsidRPr="00D076D4">
                <w:rPr>
                  <w:rFonts w:ascii="Times New Roman" w:eastAsia="Times New Roman" w:hAnsi="Times New Roman" w:cs="Times New Roman"/>
                  <w:sz w:val="24"/>
                  <w:szCs w:val="24"/>
                  <w:lang w:eastAsia="ru-UA"/>
                </w:rPr>
                <w:t>пунктах 8</w:t>
              </w:r>
            </w:hyperlink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, </w:t>
            </w:r>
            <w:hyperlink r:id="rId36" w:tgtFrame="_top" w:history="1">
              <w:r w:rsidRPr="00D076D4">
                <w:rPr>
                  <w:rFonts w:ascii="Times New Roman" w:eastAsia="Times New Roman" w:hAnsi="Times New Roman" w:cs="Times New Roman"/>
                  <w:sz w:val="24"/>
                  <w:szCs w:val="24"/>
                  <w:lang w:eastAsia="ru-UA"/>
                </w:rPr>
                <w:t>11 - 14 статті 11 ЗУ N 1058-IV</w:t>
              </w:r>
            </w:hyperlink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, страхові внески сплачуються в порядку, визначеному ПКМУ N 1092 (у редакції, що діяла на дату нарахування виплат)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Високий</w:t>
            </w: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>Середній</w:t>
            </w: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>Незначний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hyperlink r:id="rId37" w:tgtFrame="_top" w:history="1">
              <w:r w:rsidRPr="00D076D4">
                <w:rPr>
                  <w:rFonts w:ascii="Times New Roman" w:eastAsia="Times New Roman" w:hAnsi="Times New Roman" w:cs="Times New Roman"/>
                  <w:sz w:val="24"/>
                  <w:szCs w:val="24"/>
                  <w:lang w:eastAsia="ru-UA"/>
                </w:rPr>
                <w:t>Частина шоста статті 20 ЗУ N 1058-IV</w:t>
              </w:r>
            </w:hyperlink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;</w:t>
            </w: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>ПКМУ N 1092 (у редакції, що діяла на дату нарахування виплат)</w:t>
            </w:r>
          </w:p>
        </w:tc>
      </w:tr>
      <w:tr w:rsidR="00D076D4" w:rsidRPr="00D076D4" w:rsidTr="00D076D4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3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Платники збору на обов'язкове державне пенсійне страхування, </w:t>
            </w: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lastRenderedPageBreak/>
              <w:t xml:space="preserve">визначені </w:t>
            </w:r>
            <w:hyperlink r:id="rId38" w:tgtFrame="_top" w:history="1">
              <w:r w:rsidRPr="00D076D4">
                <w:rPr>
                  <w:rFonts w:ascii="Times New Roman" w:eastAsia="Times New Roman" w:hAnsi="Times New Roman" w:cs="Times New Roman"/>
                  <w:sz w:val="24"/>
                  <w:szCs w:val="24"/>
                  <w:lang w:eastAsia="ru-UA"/>
                </w:rPr>
                <w:t>пунктами 7</w:t>
              </w:r>
            </w:hyperlink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, </w:t>
            </w:r>
            <w:hyperlink r:id="rId39" w:tgtFrame="_top" w:history="1">
              <w:r w:rsidRPr="00D076D4">
                <w:rPr>
                  <w:rFonts w:ascii="Times New Roman" w:eastAsia="Times New Roman" w:hAnsi="Times New Roman" w:cs="Times New Roman"/>
                  <w:sz w:val="24"/>
                  <w:szCs w:val="24"/>
                  <w:lang w:eastAsia="ru-UA"/>
                </w:rPr>
                <w:t>9</w:t>
              </w:r>
            </w:hyperlink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, </w:t>
            </w:r>
            <w:hyperlink r:id="rId40" w:tgtFrame="_top" w:history="1">
              <w:r w:rsidRPr="00D076D4">
                <w:rPr>
                  <w:rFonts w:ascii="Times New Roman" w:eastAsia="Times New Roman" w:hAnsi="Times New Roman" w:cs="Times New Roman"/>
                  <w:sz w:val="24"/>
                  <w:szCs w:val="24"/>
                  <w:lang w:eastAsia="ru-UA"/>
                </w:rPr>
                <w:t>10 статті 1 ЗУ N 400/97-ВР</w:t>
              </w:r>
            </w:hyperlink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, сплачують збір на обов'язкове державне пенсійне страхування в розмірах, визначених: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lastRenderedPageBreak/>
              <w:t>Високий</w:t>
            </w: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>Середній</w:t>
            </w: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>Незначний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hyperlink r:id="rId41" w:tgtFrame="_top" w:history="1">
              <w:r w:rsidRPr="00D076D4">
                <w:rPr>
                  <w:rFonts w:ascii="Times New Roman" w:eastAsia="Times New Roman" w:hAnsi="Times New Roman" w:cs="Times New Roman"/>
                  <w:sz w:val="24"/>
                  <w:szCs w:val="24"/>
                  <w:lang w:eastAsia="ru-UA"/>
                </w:rPr>
                <w:t>Підпункт 1 пункту 8 розділу XV ЗУ N 1058-IV</w:t>
              </w:r>
            </w:hyperlink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;</w:t>
            </w: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</w:r>
            <w:hyperlink r:id="rId42" w:tgtFrame="_top" w:history="1">
              <w:r w:rsidRPr="00D076D4">
                <w:rPr>
                  <w:rFonts w:ascii="Times New Roman" w:eastAsia="Times New Roman" w:hAnsi="Times New Roman" w:cs="Times New Roman"/>
                  <w:sz w:val="24"/>
                  <w:szCs w:val="24"/>
                  <w:lang w:eastAsia="ru-UA"/>
                </w:rPr>
                <w:t>пункти 8</w:t>
              </w:r>
            </w:hyperlink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, </w:t>
            </w:r>
            <w:hyperlink r:id="rId43" w:tgtFrame="_top" w:history="1">
              <w:r w:rsidRPr="00D076D4">
                <w:rPr>
                  <w:rFonts w:ascii="Times New Roman" w:eastAsia="Times New Roman" w:hAnsi="Times New Roman" w:cs="Times New Roman"/>
                  <w:sz w:val="24"/>
                  <w:szCs w:val="24"/>
                  <w:lang w:eastAsia="ru-UA"/>
                </w:rPr>
                <w:t>10</w:t>
              </w:r>
            </w:hyperlink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, </w:t>
            </w:r>
            <w:hyperlink r:id="rId44" w:tgtFrame="_top" w:history="1">
              <w:r w:rsidRPr="00D076D4">
                <w:rPr>
                  <w:rFonts w:ascii="Times New Roman" w:eastAsia="Times New Roman" w:hAnsi="Times New Roman" w:cs="Times New Roman"/>
                  <w:sz w:val="24"/>
                  <w:szCs w:val="24"/>
                  <w:lang w:eastAsia="ru-UA"/>
                </w:rPr>
                <w:t>11 статті 4 ЗУ N 400/97-ВР</w:t>
              </w:r>
            </w:hyperlink>
          </w:p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</w:t>
            </w:r>
          </w:p>
        </w:tc>
      </w:tr>
      <w:tr w:rsidR="00D076D4" w:rsidRPr="00D076D4" w:rsidTr="00D076D4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lastRenderedPageBreak/>
              <w:t>3.1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hyperlink r:id="rId45" w:tgtFrame="_top" w:history="1">
              <w:r w:rsidRPr="00D076D4">
                <w:rPr>
                  <w:rFonts w:ascii="Times New Roman" w:eastAsia="Times New Roman" w:hAnsi="Times New Roman" w:cs="Times New Roman"/>
                  <w:sz w:val="24"/>
                  <w:szCs w:val="24"/>
                  <w:lang w:eastAsia="ru-UA"/>
                </w:rPr>
                <w:t>пунктом 8 статті 4 ЗУ N 400/97-ВР</w:t>
              </w:r>
            </w:hyperlink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Високий</w:t>
            </w: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>Середній</w:t>
            </w: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>Незначний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</w:tr>
      <w:tr w:rsidR="00D076D4" w:rsidRPr="00D076D4" w:rsidTr="00D076D4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3.2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hyperlink r:id="rId46" w:tgtFrame="_top" w:history="1">
              <w:r w:rsidRPr="00D076D4">
                <w:rPr>
                  <w:rFonts w:ascii="Times New Roman" w:eastAsia="Times New Roman" w:hAnsi="Times New Roman" w:cs="Times New Roman"/>
                  <w:sz w:val="24"/>
                  <w:szCs w:val="24"/>
                  <w:lang w:eastAsia="ru-UA"/>
                </w:rPr>
                <w:t>пунктом 10 статті 4 ЗУ N 400/97-ВР</w:t>
              </w:r>
            </w:hyperlink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Високий</w:t>
            </w: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>Середній</w:t>
            </w: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>Незначний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</w:tr>
      <w:tr w:rsidR="00D076D4" w:rsidRPr="00D076D4" w:rsidTr="00D076D4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3.3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hyperlink r:id="rId47" w:tgtFrame="_top" w:history="1">
              <w:r w:rsidRPr="00D076D4">
                <w:rPr>
                  <w:rFonts w:ascii="Times New Roman" w:eastAsia="Times New Roman" w:hAnsi="Times New Roman" w:cs="Times New Roman"/>
                  <w:sz w:val="24"/>
                  <w:szCs w:val="24"/>
                  <w:lang w:eastAsia="ru-UA"/>
                </w:rPr>
                <w:t>пунктом 11 статті 4 ЗУ N 400/97-ВР</w:t>
              </w:r>
            </w:hyperlink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Високий</w:t>
            </w: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>Середній</w:t>
            </w: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>Незначний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</w:tr>
      <w:tr w:rsidR="00D076D4" w:rsidRPr="00D076D4" w:rsidTr="00D076D4">
        <w:trPr>
          <w:tblCellSpacing w:w="22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4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Персоніфіковані відомості про заробітну плату (дохід, грошове забезпечення, допомогу, компенсацію) застрахованих осіб, на яку нараховано і з якої сплачено страхові внески, та інші відомості, подані роботодавцями, підприємствами, установами, організаціями, військовими частинами та органами, які виплачують грошове забезпечення, допомогу та компенсацію відповідно до законодавства, до реєстру застрахованих </w:t>
            </w: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lastRenderedPageBreak/>
              <w:t>осіб, відповідають даним обліку страхувальника *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lastRenderedPageBreak/>
              <w:t>Високий</w:t>
            </w: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>Середній</w:t>
            </w: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>Незначний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Частини друга, третя </w:t>
            </w:r>
            <w:hyperlink r:id="rId48" w:tgtFrame="_top" w:history="1">
              <w:r w:rsidRPr="00D076D4">
                <w:rPr>
                  <w:rFonts w:ascii="Times New Roman" w:eastAsia="Times New Roman" w:hAnsi="Times New Roman" w:cs="Times New Roman"/>
                  <w:sz w:val="24"/>
                  <w:szCs w:val="24"/>
                  <w:lang w:eastAsia="ru-UA"/>
                </w:rPr>
                <w:t>статті 20 ЗУ N 2464-VI</w:t>
              </w:r>
            </w:hyperlink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;</w:t>
            </w: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br/>
              <w:t xml:space="preserve">частини друга, шоста </w:t>
            </w:r>
            <w:hyperlink r:id="rId49" w:tgtFrame="_top" w:history="1">
              <w:r w:rsidRPr="00D076D4">
                <w:rPr>
                  <w:rFonts w:ascii="Times New Roman" w:eastAsia="Times New Roman" w:hAnsi="Times New Roman" w:cs="Times New Roman"/>
                  <w:sz w:val="24"/>
                  <w:szCs w:val="24"/>
                  <w:lang w:eastAsia="ru-UA"/>
                </w:rPr>
                <w:t>статті 21 ЗУ N 1058-IV</w:t>
              </w:r>
            </w:hyperlink>
          </w:p>
        </w:tc>
      </w:tr>
    </w:tbl>
    <w:p w:rsidR="00D076D4" w:rsidRPr="00D076D4" w:rsidRDefault="00D076D4" w:rsidP="00D07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D076D4">
        <w:rPr>
          <w:rFonts w:ascii="Times New Roman" w:eastAsia="Times New Roman" w:hAnsi="Times New Roman" w:cs="Times New Roman"/>
          <w:sz w:val="24"/>
          <w:szCs w:val="24"/>
          <w:lang w:eastAsia="ru-UA"/>
        </w:rPr>
        <w:lastRenderedPageBreak/>
        <w:t>____________</w:t>
      </w:r>
      <w:r w:rsidRPr="00D076D4">
        <w:rPr>
          <w:rFonts w:ascii="Times New Roman" w:eastAsia="Times New Roman" w:hAnsi="Times New Roman" w:cs="Times New Roman"/>
          <w:sz w:val="24"/>
          <w:szCs w:val="24"/>
          <w:lang w:eastAsia="ru-UA"/>
        </w:rPr>
        <w:br/>
        <w:t>* У разі проведення планової перевірки.".</w:t>
      </w:r>
    </w:p>
    <w:p w:rsidR="00D076D4" w:rsidRPr="00D076D4" w:rsidRDefault="00D076D4" w:rsidP="00D07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D076D4">
        <w:rPr>
          <w:rFonts w:ascii="Times New Roman" w:eastAsia="Times New Roman" w:hAnsi="Times New Roman" w:cs="Times New Roman"/>
          <w:sz w:val="24"/>
          <w:szCs w:val="24"/>
          <w:lang w:eastAsia="ru-UA"/>
        </w:rPr>
        <w:t>2. Перелік питань щодо здійснення контролю за діями (бездіяльністю) посадових осіб, які здійснювали перевірку*, викласти у такій редакції:</w:t>
      </w:r>
    </w:p>
    <w:p w:rsidR="00D076D4" w:rsidRPr="00D076D4" w:rsidRDefault="00D076D4" w:rsidP="00D076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D076D4">
        <w:rPr>
          <w:rFonts w:ascii="Times New Roman" w:eastAsia="Times New Roman" w:hAnsi="Times New Roman" w:cs="Times New Roman"/>
          <w:sz w:val="24"/>
          <w:szCs w:val="24"/>
          <w:lang w:eastAsia="ru-UA"/>
        </w:rPr>
        <w:t>"</w:t>
      </w:r>
      <w:r w:rsidRPr="00D076D4"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  <w:t>Перелік</w:t>
      </w:r>
      <w:r w:rsidRPr="00D076D4">
        <w:rPr>
          <w:rFonts w:ascii="Times New Roman" w:eastAsia="Times New Roman" w:hAnsi="Times New Roman" w:cs="Times New Roman"/>
          <w:b/>
          <w:bCs/>
          <w:sz w:val="24"/>
          <w:szCs w:val="24"/>
          <w:lang w:eastAsia="ru-UA"/>
        </w:rPr>
        <w:br/>
        <w:t>питань щодо здійснення контролю за діями (бездіяльністю) посадових осіб, які здійснювали перевірку *</w:t>
      </w:r>
    </w:p>
    <w:tbl>
      <w:tblPr>
        <w:tblW w:w="0" w:type="auto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"/>
        <w:gridCol w:w="3814"/>
        <w:gridCol w:w="596"/>
        <w:gridCol w:w="504"/>
        <w:gridCol w:w="1699"/>
        <w:gridCol w:w="1997"/>
      </w:tblGrid>
      <w:tr w:rsidR="00D076D4" w:rsidRPr="00D076D4" w:rsidTr="00D076D4">
        <w:trPr>
          <w:tblCellSpacing w:w="22" w:type="dxa"/>
        </w:trPr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N з/п</w:t>
            </w:r>
          </w:p>
        </w:tc>
        <w:tc>
          <w:tcPr>
            <w:tcW w:w="2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Питання щодо здійснення контролю</w:t>
            </w:r>
          </w:p>
        </w:tc>
        <w:tc>
          <w:tcPr>
            <w:tcW w:w="14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Відповіді на питання</w:t>
            </w:r>
          </w:p>
        </w:tc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hyperlink r:id="rId50" w:tgtFrame="_top" w:history="1">
              <w:r w:rsidRPr="00D076D4">
                <w:rPr>
                  <w:rFonts w:ascii="Times New Roman" w:eastAsia="Times New Roman" w:hAnsi="Times New Roman" w:cs="Times New Roman"/>
                  <w:sz w:val="24"/>
                  <w:szCs w:val="24"/>
                  <w:lang w:eastAsia="ru-UA"/>
                </w:rPr>
                <w:t>Закон України "Про основні засади державного нагляду (контролю) у сфері господарської діяльності"</w:t>
              </w:r>
            </w:hyperlink>
          </w:p>
        </w:tc>
      </w:tr>
      <w:tr w:rsidR="00D076D4" w:rsidRPr="00D076D4" w:rsidTr="00D076D4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6D4" w:rsidRPr="00D076D4" w:rsidRDefault="00D076D4" w:rsidP="00D07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76D4" w:rsidRPr="00D076D4" w:rsidRDefault="00D076D4" w:rsidP="00D07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так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ні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дотримання вимог законодавства не є обов'язковим для посадових осіб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</w:tr>
      <w:tr w:rsidR="00D076D4" w:rsidRPr="00D076D4" w:rsidTr="00D076D4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3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4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6</w:t>
            </w:r>
          </w:p>
        </w:tc>
      </w:tr>
      <w:tr w:rsidR="00D076D4" w:rsidRPr="00D076D4" w:rsidTr="00D076D4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Про проведення планової перевірки підприємство письмово попереджено не менше ніж за 10 календарних днів до її початку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hyperlink r:id="rId51" w:tgtFrame="_top" w:history="1">
              <w:r w:rsidRPr="00D076D4">
                <w:rPr>
                  <w:rFonts w:ascii="Times New Roman" w:eastAsia="Times New Roman" w:hAnsi="Times New Roman" w:cs="Times New Roman"/>
                  <w:sz w:val="24"/>
                  <w:szCs w:val="24"/>
                  <w:lang w:eastAsia="ru-UA"/>
                </w:rPr>
                <w:t>Частина четверта статті 5</w:t>
              </w:r>
            </w:hyperlink>
          </w:p>
        </w:tc>
      </w:tr>
      <w:tr w:rsidR="00D076D4" w:rsidRPr="00D076D4" w:rsidTr="00D076D4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2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Направлення на проведення перевірки та службове посвідчення, що посвідчує посадову особу органу Пенсійного фонду України, пред'явлено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hyperlink r:id="rId52" w:tgtFrame="_top" w:history="1">
              <w:r w:rsidRPr="00D076D4">
                <w:rPr>
                  <w:rFonts w:ascii="Times New Roman" w:eastAsia="Times New Roman" w:hAnsi="Times New Roman" w:cs="Times New Roman"/>
                  <w:sz w:val="24"/>
                  <w:szCs w:val="24"/>
                  <w:lang w:eastAsia="ru-UA"/>
                </w:rPr>
                <w:t>Частина п'ята статті 7</w:t>
              </w:r>
            </w:hyperlink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, абзац четвертий </w:t>
            </w:r>
            <w:hyperlink r:id="rId53" w:tgtFrame="_top" w:history="1">
              <w:r w:rsidRPr="00D076D4">
                <w:rPr>
                  <w:rFonts w:ascii="Times New Roman" w:eastAsia="Times New Roman" w:hAnsi="Times New Roman" w:cs="Times New Roman"/>
                  <w:sz w:val="24"/>
                  <w:szCs w:val="24"/>
                  <w:lang w:eastAsia="ru-UA"/>
                </w:rPr>
                <w:t>статті 10</w:t>
              </w:r>
            </w:hyperlink>
          </w:p>
        </w:tc>
      </w:tr>
      <w:tr w:rsidR="00D076D4" w:rsidRPr="00D076D4" w:rsidTr="00D076D4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3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Копію направлення на проведення перевірки надано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hyperlink r:id="rId54" w:tgtFrame="_top" w:history="1">
              <w:r w:rsidRPr="00D076D4">
                <w:rPr>
                  <w:rFonts w:ascii="Times New Roman" w:eastAsia="Times New Roman" w:hAnsi="Times New Roman" w:cs="Times New Roman"/>
                  <w:sz w:val="24"/>
                  <w:szCs w:val="24"/>
                  <w:lang w:eastAsia="ru-UA"/>
                </w:rPr>
                <w:t>Частина п'ята статті 7</w:t>
              </w:r>
            </w:hyperlink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, абзаци четвертий, сьомий </w:t>
            </w:r>
            <w:hyperlink r:id="rId55" w:tgtFrame="_top" w:history="1">
              <w:r w:rsidRPr="00D076D4">
                <w:rPr>
                  <w:rFonts w:ascii="Times New Roman" w:eastAsia="Times New Roman" w:hAnsi="Times New Roman" w:cs="Times New Roman"/>
                  <w:sz w:val="24"/>
                  <w:szCs w:val="24"/>
                  <w:lang w:eastAsia="ru-UA"/>
                </w:rPr>
                <w:t>статті 10</w:t>
              </w:r>
            </w:hyperlink>
          </w:p>
        </w:tc>
      </w:tr>
      <w:tr w:rsidR="00D076D4" w:rsidRPr="00D076D4" w:rsidTr="00D076D4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4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Перед початком проведення перевірки посадовими особами органу Пенсійного фонду України внесено запис про проведення такого заходу до журналу реєстрації заходів державного нагляду (контролю) (за наявності такого журналу у суб'єкта господарювання)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hyperlink r:id="rId56" w:tgtFrame="_top" w:history="1">
              <w:r w:rsidRPr="00D076D4">
                <w:rPr>
                  <w:rFonts w:ascii="Times New Roman" w:eastAsia="Times New Roman" w:hAnsi="Times New Roman" w:cs="Times New Roman"/>
                  <w:sz w:val="24"/>
                  <w:szCs w:val="24"/>
                  <w:lang w:eastAsia="ru-UA"/>
                </w:rPr>
                <w:t>Частина дванадцята статті 4</w:t>
              </w:r>
            </w:hyperlink>
          </w:p>
        </w:tc>
      </w:tr>
      <w:tr w:rsidR="00D076D4" w:rsidRPr="00D076D4" w:rsidTr="00D076D4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5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Під час проведення позапланової перевірки з'ясовувались лише ті питання, які стали підставою для її </w:t>
            </w: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lastRenderedPageBreak/>
              <w:t>проведення і зазначені у направленні на проведення такої перевірки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lastRenderedPageBreak/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Частина перша статті 6</w:t>
            </w:r>
          </w:p>
        </w:tc>
      </w:tr>
    </w:tbl>
    <w:p w:rsidR="00D076D4" w:rsidRPr="00D076D4" w:rsidRDefault="00D076D4" w:rsidP="00D07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D076D4">
        <w:rPr>
          <w:rFonts w:ascii="Times New Roman" w:eastAsia="Times New Roman" w:hAnsi="Times New Roman" w:cs="Times New Roman"/>
          <w:sz w:val="24"/>
          <w:szCs w:val="24"/>
          <w:lang w:eastAsia="ru-UA"/>
        </w:rPr>
        <w:lastRenderedPageBreak/>
        <w:t>____________</w:t>
      </w:r>
      <w:r w:rsidRPr="00D076D4">
        <w:rPr>
          <w:rFonts w:ascii="Times New Roman" w:eastAsia="Times New Roman" w:hAnsi="Times New Roman" w:cs="Times New Roman"/>
          <w:sz w:val="24"/>
          <w:szCs w:val="24"/>
          <w:lang w:eastAsia="ru-UA"/>
        </w:rPr>
        <w:br/>
        <w:t>* Ця частина Акта заповнюється виключно керівником суб'єкта господарювання або уповноваженою ним особою.".</w:t>
      </w:r>
    </w:p>
    <w:p w:rsidR="00D076D4" w:rsidRPr="00D076D4" w:rsidRDefault="00D076D4" w:rsidP="00D076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D076D4">
        <w:rPr>
          <w:rFonts w:ascii="Times New Roman" w:eastAsia="Times New Roman" w:hAnsi="Times New Roman" w:cs="Times New Roman"/>
          <w:sz w:val="24"/>
          <w:szCs w:val="24"/>
          <w:lang w:eastAsia="ru-UA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6"/>
        <w:gridCol w:w="4737"/>
      </w:tblGrid>
      <w:tr w:rsidR="00D076D4" w:rsidRPr="00D076D4" w:rsidTr="00D076D4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Директор департаменту внутрішнього</w:t>
            </w:r>
            <w:r w:rsidRPr="00D0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br/>
              <w:t>аудиту та фінансового контролю</w:t>
            </w:r>
          </w:p>
        </w:tc>
        <w:tc>
          <w:tcPr>
            <w:tcW w:w="2500" w:type="pct"/>
            <w:vAlign w:val="bottom"/>
            <w:hideMark/>
          </w:tcPr>
          <w:p w:rsidR="00D076D4" w:rsidRPr="00D076D4" w:rsidRDefault="00D076D4" w:rsidP="00D076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D0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UA"/>
              </w:rPr>
              <w:t>А. П. Шуляк</w:t>
            </w:r>
          </w:p>
        </w:tc>
      </w:tr>
    </w:tbl>
    <w:p w:rsidR="0043782E" w:rsidRPr="00D076D4" w:rsidRDefault="0043782E"/>
    <w:sectPr w:rsidR="0043782E" w:rsidRPr="00D07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6D4"/>
    <w:rsid w:val="00097AA8"/>
    <w:rsid w:val="000C3352"/>
    <w:rsid w:val="000D56A4"/>
    <w:rsid w:val="000F0C49"/>
    <w:rsid w:val="0019198F"/>
    <w:rsid w:val="001A14F4"/>
    <w:rsid w:val="001B70DE"/>
    <w:rsid w:val="00232015"/>
    <w:rsid w:val="00271EEE"/>
    <w:rsid w:val="00272E75"/>
    <w:rsid w:val="00276F85"/>
    <w:rsid w:val="00422B5C"/>
    <w:rsid w:val="0043782E"/>
    <w:rsid w:val="00475733"/>
    <w:rsid w:val="00496844"/>
    <w:rsid w:val="004E6973"/>
    <w:rsid w:val="00513EBF"/>
    <w:rsid w:val="005A2D0A"/>
    <w:rsid w:val="005C5A4E"/>
    <w:rsid w:val="006235B6"/>
    <w:rsid w:val="006719BA"/>
    <w:rsid w:val="006A29E4"/>
    <w:rsid w:val="00700E80"/>
    <w:rsid w:val="007A1096"/>
    <w:rsid w:val="007A7254"/>
    <w:rsid w:val="009000FF"/>
    <w:rsid w:val="009628A0"/>
    <w:rsid w:val="009C6FB9"/>
    <w:rsid w:val="009E0999"/>
    <w:rsid w:val="00A16206"/>
    <w:rsid w:val="00A4310F"/>
    <w:rsid w:val="00A4618E"/>
    <w:rsid w:val="00A46E41"/>
    <w:rsid w:val="00AD3878"/>
    <w:rsid w:val="00B30629"/>
    <w:rsid w:val="00B54CB5"/>
    <w:rsid w:val="00CC4ACC"/>
    <w:rsid w:val="00D076D4"/>
    <w:rsid w:val="00D46685"/>
    <w:rsid w:val="00D53CF0"/>
    <w:rsid w:val="00D8156E"/>
    <w:rsid w:val="00D82874"/>
    <w:rsid w:val="00DC3706"/>
    <w:rsid w:val="00E33B5C"/>
    <w:rsid w:val="00F1795E"/>
    <w:rsid w:val="00F9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07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UA"/>
    </w:rPr>
  </w:style>
  <w:style w:type="paragraph" w:styleId="3">
    <w:name w:val="heading 3"/>
    <w:basedOn w:val="a"/>
    <w:link w:val="30"/>
    <w:uiPriority w:val="9"/>
    <w:qFormat/>
    <w:rsid w:val="00D076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76D4"/>
    <w:rPr>
      <w:rFonts w:ascii="Times New Roman" w:eastAsia="Times New Roman" w:hAnsi="Times New Roman" w:cs="Times New Roman"/>
      <w:b/>
      <w:bCs/>
      <w:sz w:val="36"/>
      <w:szCs w:val="36"/>
      <w:lang w:eastAsia="ru-UA"/>
    </w:rPr>
  </w:style>
  <w:style w:type="character" w:customStyle="1" w:styleId="30">
    <w:name w:val="Заголовок 3 Знак"/>
    <w:basedOn w:val="a0"/>
    <w:link w:val="3"/>
    <w:uiPriority w:val="9"/>
    <w:rsid w:val="00D076D4"/>
    <w:rPr>
      <w:rFonts w:ascii="Times New Roman" w:eastAsia="Times New Roman" w:hAnsi="Times New Roman" w:cs="Times New Roman"/>
      <w:b/>
      <w:bCs/>
      <w:sz w:val="27"/>
      <w:szCs w:val="27"/>
      <w:lang w:eastAsia="ru-UA"/>
    </w:rPr>
  </w:style>
  <w:style w:type="paragraph" w:customStyle="1" w:styleId="tc">
    <w:name w:val="tc"/>
    <w:basedOn w:val="a"/>
    <w:rsid w:val="00D07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tj">
    <w:name w:val="tj"/>
    <w:basedOn w:val="a"/>
    <w:rsid w:val="00D07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styleId="a3">
    <w:name w:val="Hyperlink"/>
    <w:basedOn w:val="a0"/>
    <w:uiPriority w:val="99"/>
    <w:semiHidden/>
    <w:unhideWhenUsed/>
    <w:rsid w:val="00D076D4"/>
    <w:rPr>
      <w:color w:val="0000FF"/>
      <w:u w:val="single"/>
    </w:rPr>
  </w:style>
  <w:style w:type="paragraph" w:customStyle="1" w:styleId="tl">
    <w:name w:val="tl"/>
    <w:basedOn w:val="a"/>
    <w:rsid w:val="00D07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customStyle="1" w:styleId="fs2">
    <w:name w:val="fs2"/>
    <w:basedOn w:val="a0"/>
    <w:rsid w:val="00D076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07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UA"/>
    </w:rPr>
  </w:style>
  <w:style w:type="paragraph" w:styleId="3">
    <w:name w:val="heading 3"/>
    <w:basedOn w:val="a"/>
    <w:link w:val="30"/>
    <w:uiPriority w:val="9"/>
    <w:qFormat/>
    <w:rsid w:val="00D076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76D4"/>
    <w:rPr>
      <w:rFonts w:ascii="Times New Roman" w:eastAsia="Times New Roman" w:hAnsi="Times New Roman" w:cs="Times New Roman"/>
      <w:b/>
      <w:bCs/>
      <w:sz w:val="36"/>
      <w:szCs w:val="36"/>
      <w:lang w:eastAsia="ru-UA"/>
    </w:rPr>
  </w:style>
  <w:style w:type="character" w:customStyle="1" w:styleId="30">
    <w:name w:val="Заголовок 3 Знак"/>
    <w:basedOn w:val="a0"/>
    <w:link w:val="3"/>
    <w:uiPriority w:val="9"/>
    <w:rsid w:val="00D076D4"/>
    <w:rPr>
      <w:rFonts w:ascii="Times New Roman" w:eastAsia="Times New Roman" w:hAnsi="Times New Roman" w:cs="Times New Roman"/>
      <w:b/>
      <w:bCs/>
      <w:sz w:val="27"/>
      <w:szCs w:val="27"/>
      <w:lang w:eastAsia="ru-UA"/>
    </w:rPr>
  </w:style>
  <w:style w:type="paragraph" w:customStyle="1" w:styleId="tc">
    <w:name w:val="tc"/>
    <w:basedOn w:val="a"/>
    <w:rsid w:val="00D07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tj">
    <w:name w:val="tj"/>
    <w:basedOn w:val="a"/>
    <w:rsid w:val="00D07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styleId="a3">
    <w:name w:val="Hyperlink"/>
    <w:basedOn w:val="a0"/>
    <w:uiPriority w:val="99"/>
    <w:semiHidden/>
    <w:unhideWhenUsed/>
    <w:rsid w:val="00D076D4"/>
    <w:rPr>
      <w:color w:val="0000FF"/>
      <w:u w:val="single"/>
    </w:rPr>
  </w:style>
  <w:style w:type="paragraph" w:customStyle="1" w:styleId="tl">
    <w:name w:val="tl"/>
    <w:basedOn w:val="a"/>
    <w:rsid w:val="00D07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customStyle="1" w:styleId="fs2">
    <w:name w:val="fs2"/>
    <w:basedOn w:val="a0"/>
    <w:rsid w:val="00D07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5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earch.ligazakon.ua/l_doc2.nsf/link1/T102464.html" TargetMode="External"/><Relationship Id="rId18" Type="http://schemas.openxmlformats.org/officeDocument/2006/relationships/hyperlink" Target="http://search.ligazakon.ua/l_doc2.nsf/link1/T031058.html" TargetMode="External"/><Relationship Id="rId26" Type="http://schemas.openxmlformats.org/officeDocument/2006/relationships/hyperlink" Target="http://search.ligazakon.ua/l_doc2.nsf/link1/T102464.html" TargetMode="External"/><Relationship Id="rId39" Type="http://schemas.openxmlformats.org/officeDocument/2006/relationships/hyperlink" Target="http://search.ligazakon.ua/l_doc2.nsf/link1/Z970400.html" TargetMode="External"/><Relationship Id="rId21" Type="http://schemas.openxmlformats.org/officeDocument/2006/relationships/hyperlink" Target="http://search.ligazakon.ua/l_doc2.nsf/link1/T031058.html" TargetMode="External"/><Relationship Id="rId34" Type="http://schemas.openxmlformats.org/officeDocument/2006/relationships/hyperlink" Target="http://search.ligazakon.ua/l_doc2.nsf/link1/T031058.html" TargetMode="External"/><Relationship Id="rId42" Type="http://schemas.openxmlformats.org/officeDocument/2006/relationships/hyperlink" Target="http://search.ligazakon.ua/l_doc2.nsf/link1/Z970400.html" TargetMode="External"/><Relationship Id="rId47" Type="http://schemas.openxmlformats.org/officeDocument/2006/relationships/hyperlink" Target="http://search.ligazakon.ua/l_doc2.nsf/link1/Z970400.html" TargetMode="External"/><Relationship Id="rId50" Type="http://schemas.openxmlformats.org/officeDocument/2006/relationships/hyperlink" Target="http://search.ligazakon.ua/l_doc2.nsf/link1/T070877.html" TargetMode="External"/><Relationship Id="rId55" Type="http://schemas.openxmlformats.org/officeDocument/2006/relationships/hyperlink" Target="http://search.ligazakon.ua/l_doc2.nsf/link1/T070877.html" TargetMode="External"/><Relationship Id="rId7" Type="http://schemas.openxmlformats.org/officeDocument/2006/relationships/hyperlink" Target="http://search.ligazakon.ua/l_doc2.nsf/link1/Z950108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search.ligazakon.ua/l_doc2.nsf/link1/T030889.html" TargetMode="External"/><Relationship Id="rId29" Type="http://schemas.openxmlformats.org/officeDocument/2006/relationships/hyperlink" Target="http://search.ligazakon.ua/l_doc2.nsf/link1/Z970400.html" TargetMode="External"/><Relationship Id="rId11" Type="http://schemas.openxmlformats.org/officeDocument/2006/relationships/hyperlink" Target="http://search.ligazakon.ua/l_doc2.nsf/link1/T030889.html" TargetMode="External"/><Relationship Id="rId24" Type="http://schemas.openxmlformats.org/officeDocument/2006/relationships/hyperlink" Target="http://search.ligazakon.ua/l_doc2.nsf/link1/T031058.html" TargetMode="External"/><Relationship Id="rId32" Type="http://schemas.openxmlformats.org/officeDocument/2006/relationships/hyperlink" Target="http://search.ligazakon.ua/l_doc2.nsf/link1/Z970400.html" TargetMode="External"/><Relationship Id="rId37" Type="http://schemas.openxmlformats.org/officeDocument/2006/relationships/hyperlink" Target="http://search.ligazakon.ua/l_doc2.nsf/link1/T031058.html" TargetMode="External"/><Relationship Id="rId40" Type="http://schemas.openxmlformats.org/officeDocument/2006/relationships/hyperlink" Target="http://search.ligazakon.ua/l_doc2.nsf/link1/Z970400.html" TargetMode="External"/><Relationship Id="rId45" Type="http://schemas.openxmlformats.org/officeDocument/2006/relationships/hyperlink" Target="http://search.ligazakon.ua/l_doc2.nsf/link1/Z970400.html" TargetMode="External"/><Relationship Id="rId53" Type="http://schemas.openxmlformats.org/officeDocument/2006/relationships/hyperlink" Target="http://search.ligazakon.ua/l_doc2.nsf/link1/T070877.html" TargetMode="External"/><Relationship Id="rId58" Type="http://schemas.openxmlformats.org/officeDocument/2006/relationships/theme" Target="theme/theme1.xml"/><Relationship Id="rId5" Type="http://schemas.openxmlformats.org/officeDocument/2006/relationships/hyperlink" Target="http://search.ligazakon.ua/l_doc2.nsf/link1/RE28400.html" TargetMode="External"/><Relationship Id="rId19" Type="http://schemas.openxmlformats.org/officeDocument/2006/relationships/hyperlink" Target="http://search.ligazakon.ua/l_doc2.nsf/link1/T03105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earch.ligazakon.ua/l_doc2.nsf/link1/T031058.html" TargetMode="External"/><Relationship Id="rId14" Type="http://schemas.openxmlformats.org/officeDocument/2006/relationships/hyperlink" Target="http://search.ligazakon.ua/l_doc2.nsf/link1/T031058.html" TargetMode="External"/><Relationship Id="rId22" Type="http://schemas.openxmlformats.org/officeDocument/2006/relationships/hyperlink" Target="http://search.ligazakon.ua/l_doc2.nsf/link1/T031058.html" TargetMode="External"/><Relationship Id="rId27" Type="http://schemas.openxmlformats.org/officeDocument/2006/relationships/hyperlink" Target="http://search.ligazakon.ua/l_doc2.nsf/link1/T031058.html" TargetMode="External"/><Relationship Id="rId30" Type="http://schemas.openxmlformats.org/officeDocument/2006/relationships/hyperlink" Target="http://search.ligazakon.ua/l_doc2.nsf/link1/Z970400.html" TargetMode="External"/><Relationship Id="rId35" Type="http://schemas.openxmlformats.org/officeDocument/2006/relationships/hyperlink" Target="http://search.ligazakon.ua/l_doc2.nsf/link1/T031058.html" TargetMode="External"/><Relationship Id="rId43" Type="http://schemas.openxmlformats.org/officeDocument/2006/relationships/hyperlink" Target="http://search.ligazakon.ua/l_doc2.nsf/link1/Z970400.html" TargetMode="External"/><Relationship Id="rId48" Type="http://schemas.openxmlformats.org/officeDocument/2006/relationships/hyperlink" Target="http://search.ligazakon.ua/l_doc2.nsf/link1/T102464.html" TargetMode="External"/><Relationship Id="rId56" Type="http://schemas.openxmlformats.org/officeDocument/2006/relationships/hyperlink" Target="http://search.ligazakon.ua/l_doc2.nsf/link1/T070877.html" TargetMode="External"/><Relationship Id="rId8" Type="http://schemas.openxmlformats.org/officeDocument/2006/relationships/hyperlink" Target="http://search.ligazakon.ua/l_doc2.nsf/link1/T102464.html" TargetMode="External"/><Relationship Id="rId51" Type="http://schemas.openxmlformats.org/officeDocument/2006/relationships/hyperlink" Target="http://search.ligazakon.ua/l_doc2.nsf/link1/T070877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search.ligazakon.ua/l_doc2.nsf/link1/T030889.html" TargetMode="External"/><Relationship Id="rId17" Type="http://schemas.openxmlformats.org/officeDocument/2006/relationships/hyperlink" Target="http://search.ligazakon.ua/l_doc2.nsf/link1/T030889.html" TargetMode="External"/><Relationship Id="rId25" Type="http://schemas.openxmlformats.org/officeDocument/2006/relationships/hyperlink" Target="http://search.ligazakon.ua/l_doc2.nsf/link1/T031058.html" TargetMode="External"/><Relationship Id="rId33" Type="http://schemas.openxmlformats.org/officeDocument/2006/relationships/hyperlink" Target="http://search.ligazakon.ua/l_doc2.nsf/link1/Z970400.html" TargetMode="External"/><Relationship Id="rId38" Type="http://schemas.openxmlformats.org/officeDocument/2006/relationships/hyperlink" Target="http://search.ligazakon.ua/l_doc2.nsf/link1/Z970400.html" TargetMode="External"/><Relationship Id="rId46" Type="http://schemas.openxmlformats.org/officeDocument/2006/relationships/hyperlink" Target="http://search.ligazakon.ua/l_doc2.nsf/link1/Z970400.html" TargetMode="External"/><Relationship Id="rId20" Type="http://schemas.openxmlformats.org/officeDocument/2006/relationships/hyperlink" Target="http://search.ligazakon.ua/l_doc2.nsf/link1/T031058.html" TargetMode="External"/><Relationship Id="rId41" Type="http://schemas.openxmlformats.org/officeDocument/2006/relationships/hyperlink" Target="http://search.ligazakon.ua/l_doc2.nsf/link1/T031058.html" TargetMode="External"/><Relationship Id="rId54" Type="http://schemas.openxmlformats.org/officeDocument/2006/relationships/hyperlink" Target="http://search.ligazakon.ua/l_doc2.nsf/link1/T070877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search.ligazakon.ua/l_doc2.nsf/link1/T031058.html" TargetMode="External"/><Relationship Id="rId15" Type="http://schemas.openxmlformats.org/officeDocument/2006/relationships/hyperlink" Target="http://search.ligazakon.ua/l_doc2.nsf/link1/T031058.html" TargetMode="External"/><Relationship Id="rId23" Type="http://schemas.openxmlformats.org/officeDocument/2006/relationships/hyperlink" Target="http://search.ligazakon.ua/l_doc2.nsf/link1/T031058.html" TargetMode="External"/><Relationship Id="rId28" Type="http://schemas.openxmlformats.org/officeDocument/2006/relationships/hyperlink" Target="http://search.ligazakon.ua/l_doc2.nsf/link1/Z970400.html" TargetMode="External"/><Relationship Id="rId36" Type="http://schemas.openxmlformats.org/officeDocument/2006/relationships/hyperlink" Target="http://search.ligazakon.ua/l_doc2.nsf/link1/T031058.html" TargetMode="External"/><Relationship Id="rId49" Type="http://schemas.openxmlformats.org/officeDocument/2006/relationships/hyperlink" Target="http://search.ligazakon.ua/l_doc2.nsf/link1/T031058.html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search.ligazakon.ua/l_doc2.nsf/link1/T031058.html" TargetMode="External"/><Relationship Id="rId31" Type="http://schemas.openxmlformats.org/officeDocument/2006/relationships/hyperlink" Target="http://search.ligazakon.ua/l_doc2.nsf/link1/Z970400.html" TargetMode="External"/><Relationship Id="rId44" Type="http://schemas.openxmlformats.org/officeDocument/2006/relationships/hyperlink" Target="http://search.ligazakon.ua/l_doc2.nsf/link1/Z970400.html" TargetMode="External"/><Relationship Id="rId52" Type="http://schemas.openxmlformats.org/officeDocument/2006/relationships/hyperlink" Target="http://search.ligazakon.ua/l_doc2.nsf/link1/T07087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1999</Words>
  <Characters>11396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2017-12-12T13:31:00Z</dcterms:created>
  <dcterms:modified xsi:type="dcterms:W3CDTF">2017-12-12T13:51:00Z</dcterms:modified>
</cp:coreProperties>
</file>