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216" w:rsidRPr="00E41375" w:rsidRDefault="001A0216" w:rsidP="001A02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1"/>
        <w:gridCol w:w="7121"/>
      </w:tblGrid>
      <w:tr w:rsidR="001A0216" w:rsidRPr="00E41375" w:rsidTr="00310562">
        <w:tc>
          <w:tcPr>
            <w:tcW w:w="2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0216" w:rsidRPr="00E41375" w:rsidRDefault="001A0216" w:rsidP="001A0216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 </w:t>
            </w:r>
            <w:r w:rsidRPr="00E413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Вимог до структури та змісту </w:t>
            </w:r>
            <w:r w:rsidRPr="00E413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XML-схеми обкладинок архівних </w:t>
            </w:r>
            <w:r w:rsidRPr="00E413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електронних справ </w:t>
            </w:r>
            <w:r w:rsidRPr="00E413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7 розділу IV)</w:t>
            </w:r>
          </w:p>
        </w:tc>
      </w:tr>
    </w:tbl>
    <w:p w:rsidR="001A0216" w:rsidRPr="00E41375" w:rsidRDefault="001A0216" w:rsidP="001A0216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41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СТРУКТУРА </w:t>
      </w:r>
      <w:bookmarkStart w:id="0" w:name="_GoBack"/>
      <w:bookmarkEnd w:id="0"/>
      <w:r w:rsidRPr="00E4137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E413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та зміст XML-схеми ОАЕС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99"/>
        <w:gridCol w:w="900"/>
        <w:gridCol w:w="757"/>
        <w:gridCol w:w="634"/>
        <w:gridCol w:w="574"/>
        <w:gridCol w:w="511"/>
        <w:gridCol w:w="797"/>
        <w:gridCol w:w="3860"/>
        <w:gridCol w:w="753"/>
        <w:gridCol w:w="718"/>
        <w:gridCol w:w="2374"/>
        <w:gridCol w:w="2361"/>
      </w:tblGrid>
      <w:tr w:rsidR="001A0216" w:rsidRPr="00E41375" w:rsidTr="00310562">
        <w:trPr>
          <w:trHeight w:val="312"/>
          <w:jc w:val="center"/>
        </w:trPr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4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Найменування і рівень вкладеності XML-компонентів</w:t>
            </w:r>
          </w:p>
        </w:tc>
        <w:tc>
          <w:tcPr>
            <w:tcW w:w="5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</w:tr>
      <w:tr w:rsidR="001A0216" w:rsidRPr="00E41375" w:rsidTr="00310562">
        <w:trPr>
          <w:trHeight w:val="312"/>
          <w:jc w:val="center"/>
        </w:trPr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Індекс XML-компонента</w:t>
            </w: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Тип XML-компонента</w:t>
            </w:r>
          </w:p>
        </w:tc>
        <w:tc>
          <w:tcPr>
            <w:tcW w:w="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Нульовий рівень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Перший рівень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Другий рівень</w:t>
            </w:r>
          </w:p>
        </w:tc>
        <w:tc>
          <w:tcPr>
            <w:tcW w:w="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Третій рівень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Четвертий рівень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Назва XML-атрибута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Кратність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Тип даних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Описання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Правила заповнення</w:t>
            </w:r>
          </w:p>
        </w:tc>
      </w:tr>
      <w:tr w:rsidR="001A0216" w:rsidRPr="00E41375" w:rsidTr="00310562">
        <w:trPr>
          <w:trHeight w:val="312"/>
          <w:jc w:val="center"/>
        </w:trPr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</w:t>
            </w:r>
          </w:p>
        </w:tc>
      </w:tr>
      <w:tr w:rsidR="001A0216" w:rsidRPr="00E41375" w:rsidTr="00310562">
        <w:trPr>
          <w:trHeight w:val="612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</w:t>
            </w:r>
          </w:p>
        </w:tc>
        <w:tc>
          <w:tcPr>
            <w:tcW w:w="456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UIO</w:t>
            </w: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Містить службову інформацію, необхідну для правильної обробки та інтерпретації всього ОАЕС в цілому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XML</w:t>
            </w:r>
          </w:p>
        </w:tc>
      </w:tr>
      <w:tr w:rsidR="001A0216" w:rsidRPr="00E41375" w:rsidTr="00310562">
        <w:trPr>
          <w:trHeight w:val="204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formatUIO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Стандарт XML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XML</w:t>
            </w:r>
          </w:p>
        </w:tc>
      </w:tr>
      <w:tr w:rsidR="001A0216" w:rsidRPr="00E41375" w:rsidTr="00310562">
        <w:trPr>
          <w:trHeight w:val="204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versionUIO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Версія XML-схеми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1.0</w:t>
            </w:r>
          </w:p>
        </w:tc>
      </w:tr>
      <w:tr w:rsidR="001A0216" w:rsidRPr="00E41375" w:rsidTr="00310562">
        <w:trPr>
          <w:trHeight w:val="204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codeLanguageUIO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Код мови змісту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ISO 639-1:2002</w:t>
            </w:r>
          </w:p>
        </w:tc>
      </w:tr>
      <w:tr w:rsidR="001A0216" w:rsidRPr="00E41375" w:rsidTr="00310562">
        <w:trPr>
          <w:trHeight w:val="204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encodingUIO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Стандарт кодування символів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Unicode</w:t>
            </w:r>
            <w:proofErr w:type="spellEnd"/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24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Access</w:t>
            </w: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Містить інформацію про обмеження доступу до 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XML</w:t>
            </w:r>
          </w:p>
        </w:tc>
      </w:tr>
      <w:tr w:rsidR="001A0216" w:rsidRPr="00E41375" w:rsidTr="00310562">
        <w:trPr>
          <w:trHeight w:val="1296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lastRenderedPageBreak/>
              <w:t>7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codeAccess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Enum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Код доступу до інформації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Визначається відповідно до вимог </w:t>
            </w:r>
            <w:hyperlink r:id="rId4" w:tgtFrame="_blank" w:history="1">
              <w:r w:rsidRPr="00E41375">
                <w:rPr>
                  <w:rFonts w:ascii="Times New Roman" w:eastAsia="Times New Roman" w:hAnsi="Times New Roman" w:cs="Times New Roman"/>
                  <w:color w:val="000099"/>
                  <w:sz w:val="16"/>
                  <w:szCs w:val="16"/>
                  <w:u w:val="single"/>
                  <w:lang w:eastAsia="uk-UA"/>
                </w:rPr>
                <w:t>Закону України</w:t>
              </w:r>
            </w:hyperlink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«Про доступ до публічної інформації»: 0 - відкрита інформація; 1 - інформація з обмеженим доступом</w:t>
            </w:r>
          </w:p>
        </w:tc>
      </w:tr>
      <w:tr w:rsidR="001A0216" w:rsidRPr="00E41375" w:rsidTr="00310562">
        <w:trPr>
          <w:trHeight w:val="1260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nameRequisitesFileRestrictionAccess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Назва </w:t>
            </w: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грифа</w:t>
            </w:r>
            <w:proofErr w:type="spellEnd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обмеження доступу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Визначається відповідно до вимог </w:t>
            </w:r>
            <w:hyperlink r:id="rId5" w:anchor="n3" w:tgtFrame="_blank" w:history="1">
              <w:r w:rsidRPr="00E41375">
                <w:rPr>
                  <w:rFonts w:ascii="Times New Roman" w:eastAsia="Times New Roman" w:hAnsi="Times New Roman" w:cs="Times New Roman"/>
                  <w:color w:val="000099"/>
                  <w:sz w:val="16"/>
                  <w:szCs w:val="16"/>
                  <w:u w:val="single"/>
                  <w:lang w:eastAsia="uk-UA"/>
                </w:rPr>
                <w:t>Закону України</w:t>
              </w:r>
            </w:hyperlink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«Про доступ до публічної інформації» та ІД: «Для службового користування», «Конфіденційно», «Таємно»</w:t>
            </w:r>
          </w:p>
        </w:tc>
      </w:tr>
      <w:tr w:rsidR="001A0216" w:rsidRPr="00E41375" w:rsidTr="00310562">
        <w:trPr>
          <w:trHeight w:val="2940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groundsActionFileRestrictionAccess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Посилання на нормативний документ, відповідно до вимог якого здійснюється організація роботи з </w:t>
            </w: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документною</w:t>
            </w:r>
            <w:proofErr w:type="spellEnd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інформацією з обмеженим доступом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Відповідно до державної реєстрації нормативних документів України. Наприклад, для опрацювання службової інформації в установі: посилання на Інструкцію установи про порядок обліку, зберігання і використання документів, справ, видань та інших матеріальних носіїв інформації, які містять службову інформацію. Для фізичної особи - лист, договір, угода тощо про співробітництво з установою</w:t>
            </w:r>
          </w:p>
        </w:tc>
      </w:tr>
      <w:tr w:rsidR="001A0216" w:rsidRPr="00E41375" w:rsidTr="00310562">
        <w:trPr>
          <w:trHeight w:val="2856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groundsPeriodFileRestrictionAccess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Посилання на норму у нормативному документі, що визначає строки обмеження доступу до </w:t>
            </w: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документної</w:t>
            </w:r>
            <w:proofErr w:type="spellEnd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інформації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Згідно з нормативним документом, що визначає строки обмеження доступу до </w:t>
            </w: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документної</w:t>
            </w:r>
            <w:proofErr w:type="spellEnd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інформації. Наприклад, для службової інформації, що міститься в ЕД установи: посилання на пункт із Переліку відомостей, що становлять службову інформацію, що створюється в установі відповідно до вимог </w:t>
            </w:r>
            <w:hyperlink r:id="rId6" w:tgtFrame="_blank" w:history="1">
              <w:r w:rsidRPr="00E41375">
                <w:rPr>
                  <w:rFonts w:ascii="Times New Roman" w:eastAsia="Times New Roman" w:hAnsi="Times New Roman" w:cs="Times New Roman"/>
                  <w:color w:val="000099"/>
                  <w:sz w:val="16"/>
                  <w:szCs w:val="16"/>
                  <w:u w:val="single"/>
                  <w:lang w:eastAsia="uk-UA"/>
                </w:rPr>
                <w:t>Закону України</w:t>
              </w:r>
            </w:hyperlink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«Про доступ до публічної інформації». Для фізичної особи відповідно до вимог документа про співробітництво з установою</w:t>
            </w:r>
          </w:p>
        </w:tc>
      </w:tr>
      <w:tr w:rsidR="001A0216" w:rsidRPr="00E41375" w:rsidTr="00310562">
        <w:trPr>
          <w:trHeight w:val="2856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lastRenderedPageBreak/>
              <w:t>11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periodRestrictionAccess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Строк обмеження доступу до </w:t>
            </w: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документної</w:t>
            </w:r>
            <w:proofErr w:type="spellEnd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інформації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Відповідно до вимог нормативних актів, що визначають строки обмеження доступу до </w:t>
            </w: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документної</w:t>
            </w:r>
            <w:proofErr w:type="spellEnd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інформації. Наприклад, для службової інформації, що міститься в ЕД установи, строк визначається відповідно до затвердженого Переліку відомостей, що становлять службову інформацію, що створюється в установі. Для фізичної особи відповідно до вимог документа про співробітництво з установою</w:t>
            </w:r>
          </w:p>
        </w:tc>
      </w:tr>
      <w:tr w:rsidR="001A0216" w:rsidRPr="00E41375" w:rsidTr="00310562">
        <w:trPr>
          <w:trHeight w:val="612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E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2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PersFileRestrictionAccess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Метадані особи, яка обмежила доступ до інформації, що міститься в </w:t>
            </w: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інкапсульованих</w:t>
            </w:r>
            <w:proofErr w:type="spellEnd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в ОАЕС ЕД або його додатках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XML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namePersFileRestrictionAcces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П.І.Б. особи, що обмежила доступ до інформації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612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rankOffPersFileRestrictionAcces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Посада особи, що обмежила доступ до інформації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Відповідно до штатного розкладу установи. Не зазначається для фізичної особи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E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2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RemovalFileRestrictionAccess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Метадані зняття обмеження доступу до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XML</w:t>
            </w:r>
          </w:p>
        </w:tc>
      </w:tr>
      <w:tr w:rsidR="001A0216" w:rsidRPr="00E41375" w:rsidTr="00310562">
        <w:trPr>
          <w:trHeight w:val="346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lastRenderedPageBreak/>
              <w:t>16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dateRecordRemovalFileRestrictionAccess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Дата протоколу з рішенням ЕК установи, що відміняє обмеження доступу до </w:t>
            </w: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документної</w:t>
            </w:r>
            <w:proofErr w:type="spellEnd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інформації по завершенні визначеного строку обмеження доступу до цієї інформації. Передчасне зняття обмеження доступу до </w:t>
            </w: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документної</w:t>
            </w:r>
            <w:proofErr w:type="spellEnd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інформації можливо на підставі документа, що фіксує виявлення порушення щодо неправомірного обмеження доступу до цієї інформації. У разі якщо установа, яка створила документ, що містить інформацію з обмеженим доступом, ліквідована без правонаступника, рішення про зняття обмеження доступу до цієї інформації здійснюється на підставі експертного висновку державного експерта в галузі, до якої відноситься установа, що створила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2040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17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numberRecordRemovalFileRestrictionAccess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Номер протоколу з рішенням ЕК установи або ЕПК державного архіву, що відміняє обмеження доступу до </w:t>
            </w: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документної</w:t>
            </w:r>
            <w:proofErr w:type="spellEnd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інформації по завершенні визначеного строку обмеження доступу до цієї інформації, або документа, що знімає обмеження доступу до </w:t>
            </w: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документної</w:t>
            </w:r>
            <w:proofErr w:type="spellEnd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інформації, якщо було встановлено, що обмеження доступу до цієї інформації було встановлено неправомірно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18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24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AgentAuthor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1-n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Метадані установи, яка створила або змінила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XML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19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fullNameAgentAuthor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Найменування установи, що створила або змінила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shortNameAgentAuthor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Скорочене найменування установи, що створила або змінила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612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lastRenderedPageBreak/>
              <w:t>21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ownershipAgentAuthor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Абревіатура, що відображає організаційно-правову форму установи, що створила або змінила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stateCodeAgentAuthor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Num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Код за ЄДРПОУ установи, що створила або змінила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612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23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mandateAgentAuthor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Метадані про правові повноваження та функції установи, що створила або змінила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Відповідно до статуту установи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24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E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7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AddrAgentAuthor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Метадані адреси установи, яка створила або змінила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XML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25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postAddrAgent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Поштова адреса установи, що створила або змінила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26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cityAddrAgent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Назва населеного пункту установи, що створила або змінила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27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areaAddrAgent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Назва району установи, що створила або змінила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28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regionAddrAgent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Назва області установи, що створила або змінила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29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postCodeAddrAgent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Поштовий індекс установи, що створила або змінила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eContactAddrAgent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Адреса електронного засобу комунікації установи, що створила або змінила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7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DepartmentAgentAuthor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Метадані підрозділу установи, в якому було створено або змінено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XML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lastRenderedPageBreak/>
              <w:t>32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nameDepartmentAgentAuthor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Назва підрозділу установи, що створила або змінила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Відповідно до штатного розкладу установи</w:t>
            </w:r>
          </w:p>
        </w:tc>
      </w:tr>
      <w:tr w:rsidR="001A0216" w:rsidRPr="00E41375" w:rsidTr="00310562">
        <w:trPr>
          <w:trHeight w:val="612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33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nameProgDepartmentAgentAuthor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Назва програмного засобу створення та користування ОАЕС підрозділу установи, що створила або змінила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Відповідно до технічної документації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34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E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2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AddrDepartmentAgentAuthor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Метадані підрозділу установи, в якому було створено або змінено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XML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35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postAddrDepartmentAgent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Поштова адреса підрозділу установи, що створила або змінила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36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cityAddrDepartmentAgent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Назва населеного пункту підрозділу установи, що створила або змінила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37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areaAddrDepartmentAgent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Назва району підрозділу установи, що створила або змінила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38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regionAddrDepartmentAgent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Назва області підрозділу установи, що створила або змінила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39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postCodeAddrDepartmentAgent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Поштовий індекс підрозділу установи, що створила або змінила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612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40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eContactAddrDepartmentAgent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Адреса електронного засобу комунікації підрозділу установи, що створила або змінила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41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2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OffPersDepartmentAgentAuthor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Метадані посадової особи установи, яка створила або змінила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XML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42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nameOffPersDepartmentAgentAutho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П.І.Б. офіційної особи, що створила або змінила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lastRenderedPageBreak/>
              <w:t>43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rankOffPersDepartmentAgentAutho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Посада особи, що створила або змінила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Відповідно до штатного розкладу установи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44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E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1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SignOffPersDepartmentAgentAuthor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Метадані ЕЦП посадової особи установи, яка підписала новий або змінений АЕД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XML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45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algorithmSignOffPersDepartmentAgentAuthor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Стандарт ЕЦП посадової особи-</w:t>
            </w: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підписувача</w:t>
            </w:r>
            <w:proofErr w:type="spellEnd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ДСТУ 4145:2002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46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formatSignOffPersDepartmentAgentAuthor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Формат даних ЕЦП посадової особи-</w:t>
            </w: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підписувача</w:t>
            </w:r>
            <w:proofErr w:type="spellEnd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Наказ від 20 серпня 2012 року</w:t>
            </w:r>
            <w:hyperlink r:id="rId7" w:tgtFrame="_blank" w:history="1">
              <w:r w:rsidRPr="00E41375">
                <w:rPr>
                  <w:rFonts w:ascii="Times New Roman" w:eastAsia="Times New Roman" w:hAnsi="Times New Roman" w:cs="Times New Roman"/>
                  <w:color w:val="000099"/>
                  <w:sz w:val="16"/>
                  <w:szCs w:val="16"/>
                  <w:u w:val="single"/>
                  <w:lang w:eastAsia="uk-UA"/>
                </w:rPr>
                <w:t>№ 1236/5/453</w:t>
              </w:r>
            </w:hyperlink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47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encodingSignOffPersDepartmentAgentAuthor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Кодування даних ЕЦП посадової особи-</w:t>
            </w: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підписувача</w:t>
            </w:r>
            <w:proofErr w:type="spellEnd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Наказ від 20 серпня 2012 року</w:t>
            </w:r>
            <w:hyperlink r:id="rId8" w:tgtFrame="_blank" w:history="1">
              <w:r w:rsidRPr="00E41375">
                <w:rPr>
                  <w:rFonts w:ascii="Times New Roman" w:eastAsia="Times New Roman" w:hAnsi="Times New Roman" w:cs="Times New Roman"/>
                  <w:color w:val="000099"/>
                  <w:sz w:val="16"/>
                  <w:szCs w:val="16"/>
                  <w:u w:val="single"/>
                  <w:lang w:eastAsia="uk-UA"/>
                </w:rPr>
                <w:t>№ 1236/5/453</w:t>
              </w:r>
            </w:hyperlink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48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nameProgSignOffPersDepartmentAgentAuthor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Назва програмного засобу ЕЦП посадової особи-</w:t>
            </w: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підписувача</w:t>
            </w:r>
            <w:proofErr w:type="spellEnd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Відповідно до технічної документації</w:t>
            </w:r>
          </w:p>
        </w:tc>
      </w:tr>
      <w:tr w:rsidR="001A0216" w:rsidRPr="00E41375" w:rsidTr="00310562">
        <w:trPr>
          <w:trHeight w:val="612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49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nameFileSignOffPersDepartmentAgentAuthor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Найменування </w:t>
            </w: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файла</w:t>
            </w:r>
            <w:proofErr w:type="spellEnd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для інкапсуляції підписаних даних та даних ЕЦП посадової особи-</w:t>
            </w: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підписувача</w:t>
            </w:r>
            <w:proofErr w:type="spellEnd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Збігається з ім’ям </w:t>
            </w: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файла</w:t>
            </w:r>
            <w:proofErr w:type="spellEnd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АЕД, але має інше розширення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50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fileSignOffPersDepartmentAgentAuthor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Base64</w:t>
            </w:r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Файл зовнішнього ЕЦП посадової особи-</w:t>
            </w: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підписувача</w:t>
            </w:r>
            <w:proofErr w:type="spellEnd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Base64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51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E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7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GroundsAgentAuthor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Метадані підстави для зміни ОАЕС установою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XML</w:t>
            </w:r>
          </w:p>
        </w:tc>
      </w:tr>
      <w:tr w:rsidR="001A0216" w:rsidRPr="00E41375" w:rsidTr="00310562">
        <w:trPr>
          <w:trHeight w:val="204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52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dateRecordGroundsAgentAuthor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Дата документа про внесення змін до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53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numberRecordGroundsAgentAuthor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Номер документа про внесення змін до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54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descriptionGroundsAgentAuthor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Описання змін, що було </w:t>
            </w: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внесено</w:t>
            </w:r>
            <w:proofErr w:type="spellEnd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до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Перелік доданих ідентифікаторів або тих, дані яких було змінено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lastRenderedPageBreak/>
              <w:t>55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24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AccessHistory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1-n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Містить інформацію про історію користування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XML</w:t>
            </w:r>
          </w:p>
        </w:tc>
      </w:tr>
      <w:tr w:rsidR="001A0216" w:rsidRPr="00E41375" w:rsidTr="00310562">
        <w:trPr>
          <w:trHeight w:val="204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56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dateAccessHistory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DateTime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Дата і час транзакції з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ISO 8601:2004</w:t>
            </w:r>
          </w:p>
        </w:tc>
      </w:tr>
      <w:tr w:rsidR="001A0216" w:rsidRPr="00E41375" w:rsidTr="00310562">
        <w:trPr>
          <w:trHeight w:val="204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57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loginAccessHistory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Логін користувача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Відповідно до призначеного ІАС</w:t>
            </w:r>
          </w:p>
        </w:tc>
      </w:tr>
      <w:tr w:rsidR="001A0216" w:rsidRPr="00E41375" w:rsidTr="00310562">
        <w:trPr>
          <w:trHeight w:val="204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58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nameOffPersAccessHistory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П.І.Б. користувача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59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codeRightsActionAccessHistory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Код прав щодо модифікації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Згідно з Інструкцією установи із захисту інформації</w:t>
            </w:r>
          </w:p>
        </w:tc>
      </w:tr>
      <w:tr w:rsidR="001A0216" w:rsidRPr="00E41375" w:rsidTr="00310562">
        <w:trPr>
          <w:trHeight w:val="612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60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24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AgentAddresseRecord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1-n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Метадані архіву (державної архівної установи, архівного відділу міських рад), до якого передаються архівні електронні справи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XML</w:t>
            </w:r>
          </w:p>
        </w:tc>
      </w:tr>
      <w:tr w:rsidR="001A0216" w:rsidRPr="00E41375" w:rsidTr="00310562">
        <w:trPr>
          <w:trHeight w:val="204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61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fullNameAgentAddresseRecord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Найменування архіву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Відповідно до Положення про архів</w:t>
            </w:r>
          </w:p>
        </w:tc>
      </w:tr>
      <w:tr w:rsidR="001A0216" w:rsidRPr="00E41375" w:rsidTr="00310562">
        <w:trPr>
          <w:trHeight w:val="204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62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shortNameAgentAuthor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Скорочене найменування архіву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Відповідно до Положення про архів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63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ownershipAgentAuthor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Абревіатура, що відображає організаційно-правову форму архіву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Відповідно до Положення про архів</w:t>
            </w:r>
          </w:p>
        </w:tc>
      </w:tr>
      <w:tr w:rsidR="001A0216" w:rsidRPr="00E41375" w:rsidTr="00310562">
        <w:trPr>
          <w:trHeight w:val="204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64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stateCodeAgentAuthor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Num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Код за ЄДРПОУ архіву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65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mandateAgentAuthor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Метадані про правові повноваження та функції архіву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Відповідно до Положення про архів</w:t>
            </w:r>
          </w:p>
        </w:tc>
      </w:tr>
      <w:tr w:rsidR="001A0216" w:rsidRPr="00E41375" w:rsidTr="00310562">
        <w:trPr>
          <w:trHeight w:val="204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66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E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7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AddrAgentAddresseeRecord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Метадані архіву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XML</w:t>
            </w:r>
          </w:p>
        </w:tc>
      </w:tr>
      <w:tr w:rsidR="001A0216" w:rsidRPr="00E41375" w:rsidTr="00310562">
        <w:trPr>
          <w:trHeight w:val="204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67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postAddrAgentAddresseRecord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Поштова адреса архіву в населеному пункті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204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68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cityAddrAgentAddresseRecord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Назва населеного пункту архіву ЕПОС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204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lastRenderedPageBreak/>
              <w:t>69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areaAddrAgentAddresseRecord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Назва району архіву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204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70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regionAddrAgentAddresseRecord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Назва області архіву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204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71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postCodeAddrAgentAddresseRecord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Поштовий індекс архіву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72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eContactAddrAgentAddresseRecord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Адреса електронного засобу комунікації архіву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612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73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24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Record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Містить інформацію про АЕД та ЕД, що в них знаходяться, з яких сформовано архівну електронну справу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XML</w:t>
            </w:r>
          </w:p>
        </w:tc>
      </w:tr>
      <w:tr w:rsidR="001A0216" w:rsidRPr="00E41375" w:rsidTr="00310562">
        <w:trPr>
          <w:trHeight w:val="204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74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nameFileRecord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Назва </w:t>
            </w: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файла</w:t>
            </w:r>
            <w:proofErr w:type="spellEnd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АЕД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Відповідно до назви </w:t>
            </w: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файла</w:t>
            </w:r>
            <w:proofErr w:type="spellEnd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в ІАС</w:t>
            </w:r>
          </w:p>
        </w:tc>
      </w:tr>
      <w:tr w:rsidR="001A0216" w:rsidRPr="00E41375" w:rsidTr="00310562">
        <w:trPr>
          <w:trHeight w:val="204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75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registrationIndexRecord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Реєстраційний індекс ЕД, що міститься в АЕД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192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76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dateRecord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Date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Дата створення ЕД, що міститься в АЕД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ISO 8601:2004</w:t>
            </w:r>
          </w:p>
        </w:tc>
      </w:tr>
      <w:tr w:rsidR="001A0216" w:rsidRPr="00E41375" w:rsidTr="00310562">
        <w:trPr>
          <w:trHeight w:val="240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77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А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titleRecord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Заголовок ЕД, що міститься в АЕД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78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24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ArchivalPreserv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Містить інформацію про метадані архівної електронної справи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XML</w:t>
            </w:r>
          </w:p>
        </w:tc>
      </w:tr>
      <w:tr w:rsidR="001A0216" w:rsidRPr="00E41375" w:rsidTr="00310562">
        <w:trPr>
          <w:trHeight w:val="204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79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7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MetadataArchival</w:t>
            </w:r>
            <w:proofErr w:type="spellEnd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Preserv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1-n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Метадані архівного описування ЕД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XML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80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numberFundMetadataArchivalPreserv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Номер фонду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Правила роботи архівних установ України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81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numberInventoryMetadataArchivalPreserv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Номер опису справ постійного зберігання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Правила роботи архівних установ України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82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numberFolderMetadataArchivalPreserv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Номер справи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Правила роботи архівних установ України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lastRenderedPageBreak/>
              <w:t>83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titleFolderMetadataArchivalPreserv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Заголовок справи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Правила роботи архівних установ України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84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dateFolderMetadataArchivalPreserv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Крайні дати створення ЕД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Правила роботи архівних установ України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85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periodFolderMetadataArchivalPreserv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Num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Строк зберігання АЕД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Правила роботи архівних установ України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86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E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7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LocateHistoryArchivalPreserv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1-n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Метадані історії зберігання ОАЕС в державному архіві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XML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87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dateLocateHistoryArchivalPreserv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Date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Дата надходження ОАЕС до державного архіву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ISO 8601:2004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88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idenifierMediaLocateHistoryArchivalPreserv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Ідентифікатор носія та сховища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Відповідно до технічної документації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89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typeMediaLocateHistoryArchivalPreserv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Тип носія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Відповідно до специфікації вибраного формату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90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linkFileLocateHistoryArchivalPreserv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Посилання на файл ОАЕС в ІАС державного архіву, де він постійно зберігається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Відповідно до організації ІАС архіву</w:t>
            </w:r>
          </w:p>
        </w:tc>
      </w:tr>
      <w:tr w:rsidR="001A0216" w:rsidRPr="00E41375" w:rsidTr="00310562">
        <w:trPr>
          <w:trHeight w:val="612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91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linkFileReservLocateHistoryArchivalPreserv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Посилання на резервну копію </w:t>
            </w: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файла</w:t>
            </w:r>
            <w:proofErr w:type="spellEnd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ОАЕС в ІАС державного архіву, де він постійно зберігається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Відповідно до організації ІАС архіву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92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387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VerificHistoryArchivalPreserv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1-n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Метадані перевіряння ЕЦП ОАЕС та справжності ОАЕС за її ЕЦП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XML</w:t>
            </w:r>
          </w:p>
        </w:tc>
      </w:tr>
      <w:tr w:rsidR="001A0216" w:rsidRPr="00E41375" w:rsidTr="00310562">
        <w:trPr>
          <w:trHeight w:val="204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93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dateVerificHistoryArchivalPreser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Date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Дата перевіряння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ISO 8601:2004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94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352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AgentVerificHistoryArchivalPreserv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Метадані установи, що здійснила перевіряння ЕЦП ОАЕС та справжності ОАЕС за її ЕЦП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XML</w:t>
            </w:r>
          </w:p>
        </w:tc>
      </w:tr>
      <w:tr w:rsidR="001A0216" w:rsidRPr="00E41375" w:rsidTr="00310562">
        <w:trPr>
          <w:trHeight w:val="204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lastRenderedPageBreak/>
              <w:t>95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fullNameAgentVerificHistoryArchivalPreserv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Date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Найменування установи, що здійснила перевіряння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96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shortNameAgentVerificHistoryArchivalPreserv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Скорочене найменування установи, що здійснила перевіряння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612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97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ownershipAgentVerificHistoryArchivalPreserv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Абревіатура, що відображає організаційно-правову форму установи, що здійснила перевіряння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98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stateCodeAgentVerificHistoryArchivalPreserv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Num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Код за ЄДРПОУ установи, що здійснила перевіряння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99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mandateAgentVerificHistoryArchivalPreserv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Дані про правові повноваження та функції установи, що здійснила перевіряння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Відповідно до статуту установи</w:t>
            </w:r>
          </w:p>
        </w:tc>
      </w:tr>
      <w:tr w:rsidR="001A0216" w:rsidRPr="00E41375" w:rsidTr="00310562">
        <w:trPr>
          <w:trHeight w:val="612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100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E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321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AddrAgentVerificHistoryArchivalPreserv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Метадані адреси установи, що здійснила перевіряння ЕЦП ОАЕС та справжності ОАЕС за її ЕЦП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XML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101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postAddrAgentVerificHistoryArchivalPreserv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Поштова адреса установи, що здійснила перевіряння, в населеному пункті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102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cityAddrAgentVerificHistoryArchivalPreserv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Назва населеного пункту установи, що здійснила перевіряння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103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areaAddrAgentVerificHistoryArchivalPreserv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Назва району установи, що здійснила перевіряння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104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regionAddrAgentVerificHistoryArchivalPreserv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Назва області установи, що здійснила перевіряння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105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postCodeAddrAgentVerificHistoryArchivalPreserv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Поштовий індекс установи, що здійснила перевіряння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lastRenderedPageBreak/>
              <w:t>106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eContactAddrAgentVerificHistoryArchivalPreserv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Адреса електронного засобу комунікації установи, що здійснила перевіряння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612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107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E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321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OffPersAgentVerificHistoryArchivalPreserv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Метадані посадової особи, що здійснила перевіряння ЕЦП ОАЕС та справжності ОАЕС за її ЕЦП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XML</w:t>
            </w:r>
          </w:p>
        </w:tc>
      </w:tr>
      <w:tr w:rsidR="001A0216" w:rsidRPr="00E41375" w:rsidTr="00310562">
        <w:trPr>
          <w:trHeight w:val="204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108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nameOffPersAgentVerificHistoryArchivalPreserv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П.І.Б. особи, яка здійснила перевіряння ЕЦП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109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rankOffPersAgentVerificHistoryArchivalPreserv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Посада особи, яка здійснила перевіряння ЕЦП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</w:t>
            </w:r>
          </w:p>
        </w:tc>
      </w:tr>
      <w:tr w:rsidR="001A0216" w:rsidRPr="00E41375" w:rsidTr="00310562">
        <w:trPr>
          <w:trHeight w:val="204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110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loginOffPersAgentVerificHistoryArchivalPreser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Логін особи, яка здійснила перевіряння ЕЦП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Відповідно до призначеного ІАС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111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352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ResultUIOVerificHistoryArchivalPreserv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Метадані результатів перевірки справжності ОАЕС за її ЕЦП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XML</w:t>
            </w:r>
          </w:p>
        </w:tc>
      </w:tr>
      <w:tr w:rsidR="001A0216" w:rsidRPr="00E41375" w:rsidTr="00310562">
        <w:trPr>
          <w:trHeight w:val="204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112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identifierResultUIOVerificHistoryArchivalPreserv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Ідентифікатор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Відповідно до визначеного в ІАС</w:t>
            </w:r>
          </w:p>
        </w:tc>
      </w:tr>
      <w:tr w:rsidR="001A0216" w:rsidRPr="00E41375" w:rsidTr="00310562">
        <w:trPr>
          <w:trHeight w:val="408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113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validResultUIOVerificHistoryArchivalPreserv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Enum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Результат перевіряння справжності ОАЕС за його ЕЦП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1 - позитивний; 0 -негативний</w:t>
            </w:r>
          </w:p>
        </w:tc>
      </w:tr>
      <w:tr w:rsidR="001A0216" w:rsidRPr="00E41375" w:rsidTr="00310562">
        <w:trPr>
          <w:trHeight w:val="204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114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E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br/>
            </w:r>
          </w:p>
        </w:tc>
        <w:tc>
          <w:tcPr>
            <w:tcW w:w="321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ResultSignUIOVerificHistoryArchivalPreserv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Метадані результатів перевіряння ЕЦП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XML</w:t>
            </w:r>
          </w:p>
        </w:tc>
      </w:tr>
      <w:tr w:rsidR="001A0216" w:rsidRPr="00E41375" w:rsidTr="00310562">
        <w:trPr>
          <w:trHeight w:val="204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115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identifierResultSignUIOVerificHistoryArchivalPreserv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Ідентифікатор ЕЦП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Відповідно до визначеного в ІАС</w:t>
            </w:r>
          </w:p>
        </w:tc>
      </w:tr>
      <w:tr w:rsidR="001A0216" w:rsidRPr="00E41375" w:rsidTr="00310562">
        <w:trPr>
          <w:trHeight w:val="204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116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A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validResultSignUIOVerificHistoryArchivalPreserv</w:t>
            </w:r>
            <w:proofErr w:type="spellEnd"/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Enum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Результат перевіряння ЕЦП ОАЕС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1 - позитивний; 0 -негативний</w:t>
            </w:r>
          </w:p>
        </w:tc>
      </w:tr>
      <w:tr w:rsidR="001A0216" w:rsidRPr="00E41375" w:rsidTr="00310562">
        <w:trPr>
          <w:trHeight w:val="1224"/>
          <w:jc w:val="center"/>
        </w:trPr>
        <w:tc>
          <w:tcPr>
            <w:tcW w:w="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117</w:t>
            </w:r>
          </w:p>
        </w:tc>
        <w:tc>
          <w:tcPr>
            <w:tcW w:w="1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</w:t>
            </w:r>
          </w:p>
        </w:tc>
        <w:tc>
          <w:tcPr>
            <w:tcW w:w="2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24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EXT</w:t>
            </w:r>
          </w:p>
        </w:tc>
        <w:tc>
          <w:tcPr>
            <w:tcW w:w="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String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Призначений для включення інформації, що не передбачена структурою та змістом ОАЕС, але необхідна для здійснення діяльності, для забезпечення якої використовується ОАЕС, </w:t>
            </w: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lastRenderedPageBreak/>
              <w:t>виходячи з особливостей організації цієї діяльності</w:t>
            </w:r>
          </w:p>
        </w:tc>
        <w:tc>
          <w:tcPr>
            <w:tcW w:w="2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A0216" w:rsidRPr="00E41375" w:rsidRDefault="001A0216" w:rsidP="003105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lastRenderedPageBreak/>
              <w:t>XML</w:t>
            </w:r>
          </w:p>
        </w:tc>
      </w:tr>
    </w:tbl>
    <w:p w:rsidR="001A0216" w:rsidRDefault="001A0216" w:rsidP="001A0216"/>
    <w:p w:rsidR="007725AF" w:rsidRDefault="007725AF"/>
    <w:sectPr w:rsidR="007725AF" w:rsidSect="001A021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16"/>
    <w:rsid w:val="001A0216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773FF-8C76-4235-9DB5-478DFBA6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1A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1A0216"/>
    <w:rPr>
      <w:color w:val="0000FF"/>
      <w:u w:val="single"/>
    </w:rPr>
  </w:style>
  <w:style w:type="paragraph" w:customStyle="1" w:styleId="rvps7">
    <w:name w:val="rvps7"/>
    <w:basedOn w:val="a"/>
    <w:rsid w:val="001A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1A0216"/>
  </w:style>
  <w:style w:type="numbering" w:customStyle="1" w:styleId="1">
    <w:name w:val="Немає списку1"/>
    <w:next w:val="a2"/>
    <w:uiPriority w:val="99"/>
    <w:semiHidden/>
    <w:unhideWhenUsed/>
    <w:rsid w:val="001A0216"/>
  </w:style>
  <w:style w:type="paragraph" w:customStyle="1" w:styleId="msonormal0">
    <w:name w:val="msonormal"/>
    <w:basedOn w:val="a"/>
    <w:rsid w:val="001A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1A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1A0216"/>
  </w:style>
  <w:style w:type="character" w:styleId="a4">
    <w:name w:val="FollowedHyperlink"/>
    <w:basedOn w:val="a0"/>
    <w:uiPriority w:val="99"/>
    <w:semiHidden/>
    <w:unhideWhenUsed/>
    <w:rsid w:val="001A0216"/>
    <w:rPr>
      <w:color w:val="800080"/>
      <w:u w:val="single"/>
    </w:rPr>
  </w:style>
  <w:style w:type="paragraph" w:customStyle="1" w:styleId="rvps6">
    <w:name w:val="rvps6"/>
    <w:basedOn w:val="a"/>
    <w:rsid w:val="001A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1A0216"/>
  </w:style>
  <w:style w:type="paragraph" w:customStyle="1" w:styleId="rvps12">
    <w:name w:val="rvps12"/>
    <w:basedOn w:val="a"/>
    <w:rsid w:val="001A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1A0216"/>
  </w:style>
  <w:style w:type="paragraph" w:customStyle="1" w:styleId="rvps4">
    <w:name w:val="rvps4"/>
    <w:basedOn w:val="a"/>
    <w:rsid w:val="001A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1A0216"/>
  </w:style>
  <w:style w:type="paragraph" w:customStyle="1" w:styleId="rvps15">
    <w:name w:val="rvps15"/>
    <w:basedOn w:val="a"/>
    <w:rsid w:val="001A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numbering" w:customStyle="1" w:styleId="2">
    <w:name w:val="Немає списку2"/>
    <w:next w:val="a2"/>
    <w:uiPriority w:val="99"/>
    <w:semiHidden/>
    <w:unhideWhenUsed/>
    <w:rsid w:val="001A0216"/>
  </w:style>
  <w:style w:type="paragraph" w:customStyle="1" w:styleId="rvps8">
    <w:name w:val="rvps8"/>
    <w:basedOn w:val="a"/>
    <w:rsid w:val="001A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semiHidden/>
    <w:unhideWhenUsed/>
    <w:rsid w:val="001A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8">
    <w:name w:val="rvts58"/>
    <w:basedOn w:val="a0"/>
    <w:rsid w:val="001A0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z1398-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2.rada.gov.ua/laws/show/z1398-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2.rada.gov.ua/laws/show/2939-17" TargetMode="External"/><Relationship Id="rId5" Type="http://schemas.openxmlformats.org/officeDocument/2006/relationships/hyperlink" Target="http://zakon2.rada.gov.ua/laws/show/2939-17/paran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zakon2.rada.gov.ua/laws/show/2939-1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10673</Words>
  <Characters>6084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2017-11-29T10:53:00Z</dcterms:created>
  <dcterms:modified xsi:type="dcterms:W3CDTF">2017-11-29T10:54:00Z</dcterms:modified>
</cp:coreProperties>
</file>