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ЧЕКЛИСТ</w:t>
        <w:br/>
        <w:t>Підготовка до застосування змін до облікової політики держсектору</w:t>
        <w:br/>
        <w:t>(наказ Мінфіну № 644, чинний з 01.01.2026)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</w:t>
            </w:r>
          </w:p>
        </w:tc>
        <w:tc>
          <w:tcPr>
            <w:tcW w:type="dxa" w:w="2160"/>
          </w:tcPr>
          <w:p>
            <w:r>
              <w:t>Етап</w:t>
            </w:r>
          </w:p>
        </w:tc>
        <w:tc>
          <w:tcPr>
            <w:tcW w:type="dxa" w:w="2160"/>
          </w:tcPr>
          <w:p>
            <w:r>
              <w:t>Дія бухгалтера</w:t>
            </w:r>
          </w:p>
        </w:tc>
        <w:tc>
          <w:tcPr>
            <w:tcW w:type="dxa" w:w="2160"/>
          </w:tcPr>
          <w:p>
            <w:r>
              <w:t>Відмітка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Аналіз облікової політики</w:t>
            </w:r>
          </w:p>
        </w:tc>
        <w:tc>
          <w:tcPr>
            <w:tcW w:type="dxa" w:w="2160"/>
          </w:tcPr>
          <w:p>
            <w:r>
              <w:t>Перевірити чинну облікову політику на наявність положень щодо аналітичного обліку активів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Визначити розділи, які потребують доповнення або коригування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Облік активів, постраждалих через війну</w:t>
            </w:r>
          </w:p>
        </w:tc>
        <w:tc>
          <w:tcPr>
            <w:tcW w:type="dxa" w:w="2160"/>
          </w:tcPr>
          <w:p>
            <w:r>
              <w:t>Визначити перелік активів, пошкоджених, знищених, викрадених або щодо яких втрачено контроль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Запровадити окремий аналітичний облік таких активів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Закріпити порядок ідентифікації та обліку в обліковій політиці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Консолідована фінзвітність</w:t>
            </w:r>
          </w:p>
        </w:tc>
        <w:tc>
          <w:tcPr>
            <w:tcW w:type="dxa" w:w="2160"/>
          </w:tcPr>
          <w:p>
            <w:r>
              <w:t>Визначити групи суб’єктів для складання консолідованої фінансової звітності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Установити критерії включення суб’єктів до групи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Урахувати специфіку діяльності установи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Взаємовиключення показників</w:t>
            </w:r>
          </w:p>
        </w:tc>
        <w:tc>
          <w:tcPr>
            <w:tcW w:type="dxa" w:w="2160"/>
          </w:tcPr>
          <w:p>
            <w:r>
              <w:t>Сформувати перелік показників фінзвітності, що підлягають взаємовиключенню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Закріпити перелік в обліковій політиці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Оформлення змін</w:t>
            </w:r>
          </w:p>
        </w:tc>
        <w:tc>
          <w:tcPr>
            <w:tcW w:type="dxa" w:w="2160"/>
          </w:tcPr>
          <w:p>
            <w:r>
              <w:t>Підготувати проєкт змін до облікової політики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Перевірити відповідність змін Методрекомендаціям Мінфіну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Впровадження</w:t>
            </w:r>
          </w:p>
        </w:tc>
        <w:tc>
          <w:tcPr>
            <w:tcW w:type="dxa" w:w="2160"/>
          </w:tcPr>
          <w:p>
            <w:r>
              <w:t>Довести зміни до відома відповідальних працівників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Забезпечити застосування нових правил з 01.01.2026</w:t>
            </w:r>
          </w:p>
        </w:tc>
        <w:tc>
          <w:tcPr>
            <w:tcW w:type="dxa" w:w="2160"/>
          </w:tcPr>
          <w:p>
            <w:r>
              <w:t>☐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