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A34C" w14:textId="77777777" w:rsidR="000E30C7" w:rsidRPr="000E30C7" w:rsidRDefault="000E30C7" w:rsidP="000E30C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30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МІНІСТЕРСТВО ОСВІТИ І НАУКИ УКРАЇНИ</w:t>
      </w:r>
    </w:p>
    <w:p w14:paraId="3B617C17" w14:textId="77777777" w:rsidR="000E30C7" w:rsidRPr="000E30C7" w:rsidRDefault="000E30C7" w:rsidP="000E30C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30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ЛИСТ</w:t>
      </w:r>
    </w:p>
    <w:p w14:paraId="25E26456" w14:textId="77777777" w:rsidR="000E30C7" w:rsidRPr="000E30C7" w:rsidRDefault="000E30C7" w:rsidP="000E30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0C7">
        <w:rPr>
          <w:rFonts w:ascii="Times New Roman" w:hAnsi="Times New Roman" w:cs="Times New Roman"/>
          <w:b/>
          <w:bCs/>
          <w:sz w:val="24"/>
          <w:szCs w:val="24"/>
        </w:rPr>
        <w:t>від 10.01.2025 р. № 1/583-25</w:t>
      </w:r>
    </w:p>
    <w:p w14:paraId="792FF2E2" w14:textId="77777777" w:rsidR="000E30C7" w:rsidRPr="000E30C7" w:rsidRDefault="000E30C7" w:rsidP="000E30C7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Обласним, Київській міській військовим адміністраціям (за списком)</w:t>
      </w:r>
    </w:p>
    <w:p w14:paraId="3F85B86B" w14:textId="77777777" w:rsidR="000E30C7" w:rsidRPr="000E30C7" w:rsidRDefault="000E30C7" w:rsidP="000E30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0C7">
        <w:rPr>
          <w:rFonts w:ascii="Times New Roman" w:hAnsi="Times New Roman" w:cs="Times New Roman"/>
          <w:b/>
          <w:bCs/>
          <w:sz w:val="24"/>
          <w:szCs w:val="24"/>
        </w:rPr>
        <w:t>Про субвенцію на Нову українську школу на 2025 рік (обладнання класів)</w:t>
      </w:r>
    </w:p>
    <w:p w14:paraId="0800C581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 xml:space="preserve">Міністерство освіти і науки України повідомляє, що в Законі України "Про Державний бюджет України на 2025 рік" (додаток 3) передбачено бюджетну програму 2211850 "Субвенція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"Нова українська школа" із загальним обсягом видатків 2 млрд грн, що передбачає реалізацію публічного інвестиційного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 xml:space="preserve"> "Забезпечення якісної, сучасної та доступної загальної середньої освіти "Нова українська школа" (Ідентифікаційний номер в Єдиній цифровій інтегрованій інформаційно-аналітичній системі управління процесом відбудови об'єктів нерухомого майна, будівництва та інфраструктури - 160824-B0FB6F39).</w:t>
      </w:r>
    </w:p>
    <w:p w14:paraId="20A5972B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Постановою Кабінету Міністрів України від 31 грудня 2024 р. № 1554 "Деякі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"Нова українська школа" у 2025 році" здійснено розподіл даної субвенції на 2025 рік та затверджено Порядку та умов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"Нова українська школа" (далі - Порядок та умови).</w:t>
      </w:r>
    </w:p>
    <w:p w14:paraId="0BA51408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Порядок та умови передбачають, що субвенція спрямовується на закупівлю:</w:t>
      </w:r>
    </w:p>
    <w:p w14:paraId="56FE2E5A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 xml:space="preserve">- засобів навчання та обладнання, комп'ютерного та мультимедійного обладнання для навчальних кабінетів закладів загальної середньої освіти комунальної форми власності, які здійснюють освітній процес відповідно до Державного стандарту базової середньої освіти в другому циклі середньої освіти (базове предметне навчання) за очною формою, з поєднанням очної та дистанційної форми здобуття освіти. Розподіл здійснено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пропорційно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 xml:space="preserve"> кількості у 2024/25 навчальному році 7-х класів на основі інформації, що міститься в програмно-апаратному комплексі "Автоматизований інформаційний комплекс освітнього менеджменту";</w:t>
      </w:r>
    </w:p>
    <w:p w14:paraId="70451C6B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 xml:space="preserve">- засобів навчання та обладнання, мультимедійного та комп'ютерного обладнання, меблів для навчальних кабінетів закладів загальної середньої освіти комунальної форми власності, які реалізують інноваційний освітній проект всеукраїнського рівня за темою "Розроблення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освіти" (далі - пілотні заклади базової освіти). Розподіл здійснено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пропорційно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 xml:space="preserve"> кількості пілотних закладів базової освіти, перелік яких визначено наказом МОН від 02.04.2021 № 406.</w:t>
      </w:r>
    </w:p>
    <w:p w14:paraId="26601A07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 xml:space="preserve">- обладнання навчальних кабінетів природничої, математичної та технологічної освітніх галузей для закладів загальної середньої освіти комунальної форми власності, які беруть участь у реалізації Державного стандарту профільної середньої освіти (далі - пілотні заклади профільної освіти). Розподіл здійснено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пропорційно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 xml:space="preserve"> кількості пілотних закладів профільної освіти, перелік яких визначено наказом МОН від 10.10.2024 № 1451.</w:t>
      </w:r>
    </w:p>
    <w:p w14:paraId="4FD33A69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 xml:space="preserve">Забезпечення необхідним обладнанням навчальних кабінетів закладів освіти здійснюється відповідно до Типового переліку засобів навчання та обладнання для навчальних кабінетів і STEM-лабораторій, затвердженого наказом Міністерства освіти і науки України від 29 квітня </w:t>
      </w:r>
      <w:r w:rsidRPr="000E30C7">
        <w:rPr>
          <w:rFonts w:ascii="Times New Roman" w:hAnsi="Times New Roman" w:cs="Times New Roman"/>
          <w:sz w:val="24"/>
          <w:szCs w:val="24"/>
        </w:rPr>
        <w:lastRenderedPageBreak/>
        <w:t>2020 року № 574, зареєстрованим в Міністерстві юстиції України 07 травня 2020 р. за № 410/34693.</w:t>
      </w:r>
    </w:p>
    <w:p w14:paraId="7574AD00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Заклади загальної середньої освіти комунальної форми власності, які здійснюють освітній процес відповідно до Державного стандарту базової середньої освіти в другому циклі середньої освіти, забезпечуються необхідним обладнанням для навчальних кабінетів у такій черговості:</w:t>
      </w:r>
    </w:p>
    <w:p w14:paraId="181DD78F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навчальні кабінети природничої освітньої галузі;</w:t>
      </w:r>
    </w:p>
    <w:p w14:paraId="4BE3347B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навчальні кабінети математичної освітньої галузі;</w:t>
      </w:r>
    </w:p>
    <w:p w14:paraId="666140FA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навчальні кабінети для міжгалузевих та інтегрованих курсів.</w:t>
      </w:r>
    </w:p>
    <w:p w14:paraId="3C069F0C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У разі укомплектування необхідним обладнанням навчальних кабінетів більш як на 80 відсотків орган місцевого самоврядування може розпочати закупівлю необхідного обладнання для інших навчальних кабінетів у довільному порядку залежно від потреби закладу загальної середньої освіти.</w:t>
      </w:r>
    </w:p>
    <w:p w14:paraId="65105C3C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Пріоритетне право у забезпеченні необхідним обладнанням навчальних кабінетів мають заклади загальної середньої освіти, в яких навчальні кабінети укомплектовані необхідним обладнанням більш як на 60 відсотків.</w:t>
      </w:r>
    </w:p>
    <w:p w14:paraId="3FAF5193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Пілотні заклади профільної освіти забезпечуються необхідним обладнанням для навчальних кабінетів у такій черговості:</w:t>
      </w:r>
    </w:p>
    <w:p w14:paraId="43D93DD5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навчальні кабінети природничої освітньої галузі;</w:t>
      </w:r>
    </w:p>
    <w:p w14:paraId="0025EE86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навчальні кабінети математичної освітньої галузі;</w:t>
      </w:r>
    </w:p>
    <w:p w14:paraId="4A3C2B7F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навчальні кабінети технологічної освітньої галузі.</w:t>
      </w:r>
    </w:p>
    <w:p w14:paraId="015D9669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Закупівля необхідного обладнання здійснюється замовником з використанням електронного каталогу в установленому законодавством порядку. У разі коли закупівля з використанням електронного каталогу не відбулася, замовник здійснює закупівлю в установленому законодавством порядку.</w:t>
      </w:r>
    </w:p>
    <w:p w14:paraId="7E5FF1E3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Також визначено, що закупівлі за рахунок субвенції можуть здійснюватися централізованою закупівельною організацією. При цьому оплата винагороди централізованій закупівельній організацій здійснюється за рахунок коштів місцевих бюджетів понад обсяг співфінансування в розмірі, визначеному пунктом 17 додатка до постанови Кабінету Міністрів України від 27 грудня 2018 р. № 1216 "Про особливості створення та діяльності централізованих закупівельних організацій".</w:t>
      </w:r>
    </w:p>
    <w:p w14:paraId="41CF9710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 xml:space="preserve">Інформуємо, що виділення у Державному бюджеті України на 2025 рік видатків, зокрема на закупівлю обладнання для навчальних кабінетів Нової української школи, стало можливим завдяки фінансовій співпраці між Європейським Союзом та Україною в рамках реалізації інструменту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 xml:space="preserve"> (постанова Кабінету Міністрів України від 15.11.2024 № 1318 "Деякі питання реалізації інструменту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>").</w:t>
      </w:r>
    </w:p>
    <w:p w14:paraId="53E32118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 xml:space="preserve">Тому перш ніж укласти відповідні договори на закупівлю обладнання, необхідно провести перевірку кожного реципієнта (будь-яка особа, суб'єкт, що отримує фінансування, включно з підрядниками та субпідрядникам,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бенефіціарними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 xml:space="preserve"> власниками) щодо даних, що містяться в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санкційних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 xml:space="preserve"> списках ЄС для визначення, чи такий реципієнт є особою, що підпадає під дію обмежувальних заходів (www.sanctionsmap.eu). У разі, коли прямий або непрямий реципієнт є або став особою, що підпадає під дію обмежувальних заходів, договір із ним не укладається.</w:t>
      </w:r>
    </w:p>
    <w:p w14:paraId="4B797F38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lastRenderedPageBreak/>
        <w:t xml:space="preserve">Крім того, при укладанні договорів на закупівлю обладнання для навчальних кабінетів необхідно додавати інформацію про джерело фінансування з використанням таких формулювань: "Цей крок фінансується Європейським Союзом -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 xml:space="preserve">" або "Цей крок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співфінансується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 xml:space="preserve"> Європейським Союзом -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0C7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0E30C7">
        <w:rPr>
          <w:rFonts w:ascii="Times New Roman" w:hAnsi="Times New Roman" w:cs="Times New Roman"/>
          <w:sz w:val="24"/>
          <w:szCs w:val="24"/>
        </w:rPr>
        <w:t>", а при отриманні шкільних автобусів забезпечити розміщення на них емблеми Європейського Союзу та інформації про джерело фінансування (згідно з Інструкцією).</w:t>
      </w:r>
    </w:p>
    <w:p w14:paraId="0F125798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Також наголошуємо на необхідності своєчасного подання звітної інформації за формами, визначеними у додатках до Порядку та умов. Заповнені форми в форматі Excel просимо щомісячно до 10 числа місяця наступного за звітним подавати на електронну адресу: mykhailo.koval@mon.gov.ua з обов'язковим підтвердженням через систему електронної взаємодії.</w:t>
      </w:r>
    </w:p>
    <w:p w14:paraId="4DB72A4D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Просимо обласні військові адміністрації сприяти в поширенні цього листа серед територіальних громад області.</w:t>
      </w:r>
    </w:p>
    <w:p w14:paraId="06DE9BC6" w14:textId="77777777" w:rsidR="000E30C7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E346A" w14:textId="7A0082AC" w:rsidR="005B04E5" w:rsidRPr="000E30C7" w:rsidRDefault="000E30C7" w:rsidP="000E30C7">
      <w:pPr>
        <w:rPr>
          <w:rFonts w:ascii="Times New Roman" w:hAnsi="Times New Roman" w:cs="Times New Roman"/>
          <w:sz w:val="24"/>
          <w:szCs w:val="24"/>
        </w:rPr>
      </w:pPr>
      <w:r w:rsidRPr="000E30C7">
        <w:rPr>
          <w:rFonts w:ascii="Times New Roman" w:hAnsi="Times New Roman" w:cs="Times New Roman"/>
          <w:sz w:val="24"/>
          <w:szCs w:val="24"/>
        </w:rPr>
        <w:t>Заступник Міністра</w:t>
      </w:r>
      <w:r w:rsidRPr="000E30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E30C7">
        <w:rPr>
          <w:rFonts w:ascii="Times New Roman" w:hAnsi="Times New Roman" w:cs="Times New Roman"/>
          <w:sz w:val="24"/>
          <w:szCs w:val="24"/>
        </w:rPr>
        <w:t>Надія КУЗЬМИЧОВА</w:t>
      </w:r>
    </w:p>
    <w:sectPr w:rsidR="005B04E5" w:rsidRPr="000E30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EB"/>
    <w:rsid w:val="000E30C7"/>
    <w:rsid w:val="002C3EEC"/>
    <w:rsid w:val="004B41D7"/>
    <w:rsid w:val="005B04E5"/>
    <w:rsid w:val="00933774"/>
    <w:rsid w:val="00CD00EB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0405"/>
  <w15:chartTrackingRefBased/>
  <w15:docId w15:val="{884DFBDC-E941-425B-AC73-51A03F5A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0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0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0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D0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D0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D0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0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D00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0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4785</Words>
  <Characters>2728</Characters>
  <Application>Microsoft Office Word</Application>
  <DocSecurity>0</DocSecurity>
  <Lines>22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2025-01-21T07:13:00Z</dcterms:created>
  <dcterms:modified xsi:type="dcterms:W3CDTF">2025-01-21T07:17:00Z</dcterms:modified>
</cp:coreProperties>
</file>