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4861"/>
        <w:tblW w:w="10140" w:type="dxa"/>
        <w:tblLayout w:type="fixed"/>
        <w:tblLook w:val="01E0" w:firstRow="1" w:lastRow="1" w:firstColumn="1" w:lastColumn="1" w:noHBand="0" w:noVBand="0"/>
      </w:tblPr>
      <w:tblGrid>
        <w:gridCol w:w="5497"/>
        <w:gridCol w:w="4643"/>
      </w:tblGrid>
      <w:tr w:rsidR="004E7696" w:rsidRPr="007E6F1E" w14:paraId="1D1934C3" w14:textId="77777777" w:rsidTr="005804E5">
        <w:tc>
          <w:tcPr>
            <w:tcW w:w="5497" w:type="dxa"/>
          </w:tcPr>
          <w:p w14:paraId="4A614A87" w14:textId="702ACF0F" w:rsidR="004E7696" w:rsidRPr="007E6F1E" w:rsidRDefault="004E7696" w:rsidP="005804E5">
            <w:pPr>
              <w:spacing w:line="256" w:lineRule="auto"/>
              <w:ind w:right="28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7E6F1E">
              <w:rPr>
                <w:rStyle w:val="HTML1"/>
                <w:rFonts w:ascii="Times New Roman" w:hAnsi="Times New Roman" w:cs="Times New Roman"/>
                <w:sz w:val="28"/>
                <w:lang w:val="uk-UA"/>
              </w:rPr>
              <w:t xml:space="preserve">Щодо особливостей подання до  </w:t>
            </w:r>
            <w:r w:rsidRPr="007E6F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Національної комісії з цінних паперів та фондового ринку </w:t>
            </w:r>
            <w:r w:rsidRPr="007E6F1E">
              <w:rPr>
                <w:rStyle w:val="HTML1"/>
                <w:rFonts w:ascii="Times New Roman" w:hAnsi="Times New Roman" w:cs="Times New Roman"/>
                <w:sz w:val="28"/>
                <w:lang w:val="uk-UA"/>
              </w:rPr>
              <w:t xml:space="preserve">фінансової звітності </w:t>
            </w:r>
            <w:r w:rsidRPr="007E6F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складі документів </w:t>
            </w:r>
            <w:r w:rsidRPr="007E6F1E">
              <w:rPr>
                <w:rStyle w:val="HTML1"/>
                <w:rFonts w:ascii="Times New Roman" w:hAnsi="Times New Roman" w:cs="Times New Roman"/>
                <w:sz w:val="28"/>
                <w:lang w:val="uk-UA"/>
              </w:rPr>
              <w:t>при здійсненні емісії цінних паперів (крім емісії цінних паперів інститутів спільного інвестування</w:t>
            </w:r>
            <w:r w:rsidR="00316433" w:rsidRPr="007E6F1E">
              <w:rPr>
                <w:rStyle w:val="HTML1"/>
                <w:rFonts w:ascii="Times New Roman" w:hAnsi="Times New Roman" w:cs="Times New Roman"/>
                <w:sz w:val="28"/>
                <w:lang w:val="uk-UA"/>
              </w:rPr>
              <w:t xml:space="preserve"> та </w:t>
            </w:r>
            <w:r w:rsidR="00A11628" w:rsidRPr="007E6F1E">
              <w:rPr>
                <w:rStyle w:val="HTML1"/>
                <w:rFonts w:ascii="Times New Roman" w:hAnsi="Times New Roman" w:cs="Times New Roman"/>
                <w:sz w:val="28"/>
                <w:lang w:val="uk-UA"/>
              </w:rPr>
              <w:t xml:space="preserve">емісії </w:t>
            </w:r>
            <w:r w:rsidR="00316433" w:rsidRPr="007E6F1E">
              <w:rPr>
                <w:rStyle w:val="HTML1"/>
                <w:rFonts w:ascii="Times New Roman" w:hAnsi="Times New Roman" w:cs="Times New Roman"/>
                <w:sz w:val="28"/>
                <w:lang w:val="uk-UA"/>
              </w:rPr>
              <w:t>акцій акціонерних товариств</w:t>
            </w:r>
            <w:r w:rsidRPr="007E6F1E">
              <w:rPr>
                <w:rStyle w:val="HTML1"/>
                <w:rFonts w:ascii="Times New Roman" w:hAnsi="Times New Roman" w:cs="Times New Roman"/>
                <w:sz w:val="28"/>
                <w:lang w:val="uk-UA"/>
              </w:rPr>
              <w:t xml:space="preserve">) </w:t>
            </w:r>
            <w:r w:rsidRPr="007E6F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Pr="007E6F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ІІ кварталі 202</w:t>
            </w:r>
            <w:r w:rsidR="00316433" w:rsidRPr="007E6F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7E6F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  <w:p w14:paraId="11750B1E" w14:textId="77777777" w:rsidR="004E7696" w:rsidRPr="007E6F1E" w:rsidRDefault="004E7696" w:rsidP="005804E5">
            <w:pPr>
              <w:spacing w:line="256" w:lineRule="auto"/>
              <w:ind w:right="289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643" w:type="dxa"/>
          </w:tcPr>
          <w:p w14:paraId="52382ADB" w14:textId="77777777" w:rsidR="004E7696" w:rsidRPr="007E6F1E" w:rsidRDefault="004E7696" w:rsidP="005804E5">
            <w:pPr>
              <w:spacing w:line="256" w:lineRule="auto"/>
              <w:ind w:left="9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4FD0ECCC" w14:textId="77777777" w:rsidR="004E7696" w:rsidRPr="007E6F1E" w:rsidRDefault="004E7696" w:rsidP="005804E5">
            <w:pPr>
              <w:spacing w:line="256" w:lineRule="auto"/>
              <w:ind w:left="452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14:paraId="6B09F0D5" w14:textId="77777777" w:rsidR="004E7696" w:rsidRPr="007E6F1E" w:rsidRDefault="004E7696" w:rsidP="004E7696">
      <w:pPr>
        <w:keepNext/>
        <w:spacing w:before="120" w:after="120"/>
        <w:jc w:val="center"/>
        <w:rPr>
          <w:i/>
          <w:lang w:val="uk-UA"/>
        </w:rPr>
      </w:pPr>
      <w:r w:rsidRPr="007E6F1E">
        <w:rPr>
          <w:noProof/>
          <w:lang w:val="uk-UA" w:eastAsia="uk-UA"/>
        </w:rPr>
        <w:drawing>
          <wp:inline distT="0" distB="0" distL="0" distR="0" wp14:anchorId="30CE5572" wp14:editId="76B0BD5E">
            <wp:extent cx="497840" cy="665480"/>
            <wp:effectExtent l="0" t="0" r="0" b="0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90CF8" w14:textId="77777777" w:rsidR="004E7696" w:rsidRPr="007E6F1E" w:rsidRDefault="004E7696" w:rsidP="004E7696">
      <w:pPr>
        <w:keepNext/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E6F1E">
        <w:rPr>
          <w:rFonts w:ascii="Times New Roman" w:hAnsi="Times New Roman" w:cs="Times New Roman"/>
          <w:b/>
          <w:sz w:val="26"/>
          <w:szCs w:val="26"/>
          <w:lang w:val="uk-UA"/>
        </w:rPr>
        <w:t>НАЦІОНАЛЬНА КОМІСІЯ З ЦІННИХ ПАПЕРІВ ТА ФОНДОВОГО РИНКУ</w:t>
      </w:r>
    </w:p>
    <w:p w14:paraId="14236E06" w14:textId="77777777" w:rsidR="004E7696" w:rsidRPr="007E6F1E" w:rsidRDefault="004E7696" w:rsidP="004E7696">
      <w:pPr>
        <w:keepNext/>
        <w:spacing w:before="120" w:after="120"/>
        <w:jc w:val="center"/>
        <w:rPr>
          <w:rFonts w:ascii="Times New Roman" w:hAnsi="Times New Roman" w:cs="Times New Roman"/>
          <w:b/>
          <w:caps/>
          <w:spacing w:val="100"/>
          <w:sz w:val="28"/>
          <w:szCs w:val="28"/>
          <w:lang w:val="uk-UA"/>
        </w:rPr>
      </w:pPr>
      <w:r w:rsidRPr="007E6F1E">
        <w:rPr>
          <w:rFonts w:ascii="Times New Roman" w:hAnsi="Times New Roman" w:cs="Times New Roman"/>
          <w:b/>
          <w:caps/>
          <w:spacing w:val="100"/>
          <w:sz w:val="28"/>
          <w:szCs w:val="28"/>
          <w:lang w:val="uk-UA"/>
        </w:rPr>
        <w:t>РІШЕННЯ</w:t>
      </w:r>
    </w:p>
    <w:p w14:paraId="2E408D42" w14:textId="77777777" w:rsidR="004E7696" w:rsidRPr="007E6F1E" w:rsidRDefault="004E7696" w:rsidP="004E7696">
      <w:pPr>
        <w:keepNext/>
        <w:tabs>
          <w:tab w:val="left" w:pos="993"/>
        </w:tabs>
        <w:spacing w:before="120" w:after="120"/>
        <w:ind w:left="567"/>
        <w:jc w:val="center"/>
        <w:rPr>
          <w:rFonts w:ascii="Times New Roman" w:hAnsi="Times New Roman" w:cs="Times New Roman"/>
          <w:lang w:val="uk-UA"/>
        </w:rPr>
      </w:pPr>
    </w:p>
    <w:tbl>
      <w:tblPr>
        <w:tblpPr w:leftFromText="180" w:rightFromText="180" w:vertAnchor="text" w:horzAnchor="margin" w:tblpY="305"/>
        <w:tblW w:w="10028" w:type="dxa"/>
        <w:tblLayout w:type="fixed"/>
        <w:tblLook w:val="04A0" w:firstRow="1" w:lastRow="0" w:firstColumn="1" w:lastColumn="0" w:noHBand="0" w:noVBand="1"/>
      </w:tblPr>
      <w:tblGrid>
        <w:gridCol w:w="3837"/>
        <w:gridCol w:w="2812"/>
        <w:gridCol w:w="3379"/>
      </w:tblGrid>
      <w:tr w:rsidR="004E7696" w:rsidRPr="007E6F1E" w14:paraId="11BE22FF" w14:textId="77777777" w:rsidTr="005804E5">
        <w:trPr>
          <w:trHeight w:val="620"/>
        </w:trPr>
        <w:tc>
          <w:tcPr>
            <w:tcW w:w="3837" w:type="dxa"/>
            <w:hideMark/>
          </w:tcPr>
          <w:p w14:paraId="7D77F5D7" w14:textId="561D5FE9" w:rsidR="004E7696" w:rsidRPr="007E6F1E" w:rsidRDefault="00351409" w:rsidP="005804E5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03</w:t>
            </w:r>
            <w:r w:rsidR="004E7696" w:rsidRPr="007E6F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</w:t>
            </w:r>
            <w:r w:rsidR="004E7696" w:rsidRPr="007E6F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52DFE" w:rsidRPr="007E6F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="004E7696" w:rsidRPr="007E6F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812" w:type="dxa"/>
            <w:hideMark/>
          </w:tcPr>
          <w:p w14:paraId="7E1F2347" w14:textId="77777777" w:rsidR="004E7696" w:rsidRPr="007E6F1E" w:rsidRDefault="004E7696" w:rsidP="005804E5">
            <w:pPr>
              <w:spacing w:before="120"/>
              <w:ind w:left="-18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E6F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Київ</w:t>
            </w:r>
          </w:p>
        </w:tc>
        <w:tc>
          <w:tcPr>
            <w:tcW w:w="3379" w:type="dxa"/>
            <w:hideMark/>
          </w:tcPr>
          <w:p w14:paraId="0B994379" w14:textId="0D6EB485" w:rsidR="004E7696" w:rsidRPr="007E6F1E" w:rsidRDefault="00351409" w:rsidP="005804E5">
            <w:pPr>
              <w:spacing w:before="12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 w:rsidR="004E7696" w:rsidRPr="007E6F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386</w:t>
            </w:r>
          </w:p>
        </w:tc>
      </w:tr>
    </w:tbl>
    <w:p w14:paraId="4651404B" w14:textId="77777777" w:rsidR="004E7696" w:rsidRPr="007E6F1E" w:rsidRDefault="004E7696" w:rsidP="004E769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E6F1E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7E6F1E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E6F1E">
        <w:rPr>
          <w:rFonts w:ascii="Times New Roman" w:hAnsi="Times New Roman"/>
          <w:sz w:val="28"/>
          <w:szCs w:val="28"/>
        </w:rPr>
        <w:t>статті</w:t>
      </w:r>
      <w:proofErr w:type="spellEnd"/>
      <w:r w:rsidRPr="007E6F1E">
        <w:rPr>
          <w:rFonts w:ascii="Times New Roman" w:hAnsi="Times New Roman"/>
          <w:sz w:val="28"/>
          <w:szCs w:val="28"/>
        </w:rPr>
        <w:t xml:space="preserve"> 6, </w:t>
      </w:r>
      <w:r w:rsidRPr="007E6F1E">
        <w:rPr>
          <w:rStyle w:val="fontstyle01"/>
          <w:rFonts w:ascii="Times New Roman" w:hAnsi="Times New Roman"/>
          <w:color w:val="auto"/>
        </w:rPr>
        <w:t>пункт</w:t>
      </w:r>
      <w:r w:rsidRPr="007E6F1E">
        <w:rPr>
          <w:rStyle w:val="fontstyle01"/>
          <w:rFonts w:ascii="Times New Roman" w:hAnsi="Times New Roman"/>
          <w:color w:val="auto"/>
          <w:lang w:val="uk-UA"/>
        </w:rPr>
        <w:t>у</w:t>
      </w:r>
      <w:r w:rsidRPr="007E6F1E">
        <w:rPr>
          <w:rStyle w:val="fontstyle01"/>
          <w:rFonts w:ascii="Times New Roman" w:hAnsi="Times New Roman"/>
          <w:color w:val="auto"/>
        </w:rPr>
        <w:t xml:space="preserve"> 37</w:t>
      </w:r>
      <w:r w:rsidRPr="007E6F1E">
        <w:rPr>
          <w:rStyle w:val="fontstyle01"/>
          <w:rFonts w:ascii="Times New Roman" w:hAnsi="Times New Roman"/>
          <w:color w:val="auto"/>
          <w:vertAlign w:val="superscript"/>
        </w:rPr>
        <w:t>26</w:t>
      </w:r>
      <w:r w:rsidRPr="007E6F1E">
        <w:rPr>
          <w:rStyle w:val="fontstyle01"/>
          <w:rFonts w:ascii="Times New Roman" w:hAnsi="Times New Roman"/>
          <w:color w:val="auto"/>
        </w:rPr>
        <w:t xml:space="preserve"> </w:t>
      </w:r>
      <w:r w:rsidRPr="007E6F1E">
        <w:rPr>
          <w:rStyle w:val="fontstyle01"/>
          <w:rFonts w:ascii="Times New Roman" w:hAnsi="Times New Roman" w:cs="Times New Roman"/>
          <w:color w:val="auto"/>
          <w:lang w:val="uk-UA"/>
        </w:rPr>
        <w:t xml:space="preserve">частини другої статті 7, </w:t>
      </w:r>
      <w:r w:rsidRPr="007E6F1E">
        <w:rPr>
          <w:rFonts w:ascii="Times New Roman" w:hAnsi="Times New Roman" w:cs="Times New Roman"/>
          <w:sz w:val="28"/>
          <w:szCs w:val="28"/>
          <w:lang w:val="uk-UA"/>
        </w:rPr>
        <w:t>пункту 13 статті 8 Закону України «Про державне регулювання ринків капіталу та організованих товарних ринків», у зв’язку з введенням воєнного стану відповідно до Указу Президента України від 24 лютого 2022 року № 64/2022, з метою мінімізації негативного впливу наслідків військової агресії Російської Федерації проти України та сприяння стабільності ринків капіталу,</w:t>
      </w:r>
    </w:p>
    <w:p w14:paraId="361C44CE" w14:textId="77777777" w:rsidR="004E7696" w:rsidRPr="007E6F1E" w:rsidRDefault="004E7696" w:rsidP="004E7696">
      <w:pPr>
        <w:pStyle w:val="a3"/>
        <w:ind w:firstLine="0"/>
      </w:pPr>
      <w:r w:rsidRPr="007E6F1E">
        <w:t xml:space="preserve">Національна комісія з цінних паперів та фондового ринку </w:t>
      </w:r>
    </w:p>
    <w:p w14:paraId="75885837" w14:textId="77777777" w:rsidR="004E7696" w:rsidRPr="007E6F1E" w:rsidRDefault="004E7696" w:rsidP="004E7696">
      <w:pPr>
        <w:spacing w:after="0"/>
        <w:jc w:val="center"/>
        <w:rPr>
          <w:sz w:val="28"/>
          <w:szCs w:val="28"/>
          <w:lang w:val="uk-UA"/>
        </w:rPr>
      </w:pPr>
    </w:p>
    <w:p w14:paraId="0AAD3DD4" w14:textId="77777777" w:rsidR="004E7696" w:rsidRPr="007E6F1E" w:rsidRDefault="004E7696" w:rsidP="004E7696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7E6F1E">
        <w:rPr>
          <w:rFonts w:ascii="Times New Roman" w:hAnsi="Times New Roman" w:cs="Times New Roman"/>
          <w:b/>
          <w:sz w:val="28"/>
          <w:lang w:val="uk-UA"/>
        </w:rPr>
        <w:t>В И Р І Ш И Л А:</w:t>
      </w:r>
    </w:p>
    <w:p w14:paraId="3329ADA1" w14:textId="3FAE3178" w:rsidR="004E7696" w:rsidRPr="007E6F1E" w:rsidRDefault="004E7696" w:rsidP="004E7696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6F1E">
        <w:rPr>
          <w:rFonts w:ascii="Times New Roman" w:hAnsi="Times New Roman" w:cs="Times New Roman"/>
          <w:sz w:val="28"/>
          <w:szCs w:val="28"/>
          <w:lang w:val="uk-UA"/>
        </w:rPr>
        <w:t>1. Встановити, що юридичні особи, державна реєстрація яких відбулася до 202</w:t>
      </w:r>
      <w:r w:rsidR="00316433" w:rsidRPr="007E6F1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E6F1E">
        <w:rPr>
          <w:rFonts w:ascii="Times New Roman" w:hAnsi="Times New Roman" w:cs="Times New Roman"/>
          <w:sz w:val="28"/>
          <w:szCs w:val="28"/>
          <w:lang w:val="uk-UA"/>
        </w:rPr>
        <w:t xml:space="preserve"> року, при здійсненні емісії цінних паперів (крім емісії цінних паперів інститутів спільного інвестування</w:t>
      </w:r>
      <w:r w:rsidR="00316433" w:rsidRPr="007E6F1E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11628" w:rsidRPr="007E6F1E">
        <w:rPr>
          <w:rFonts w:ascii="Times New Roman" w:hAnsi="Times New Roman" w:cs="Times New Roman"/>
          <w:sz w:val="28"/>
          <w:szCs w:val="28"/>
          <w:lang w:val="uk-UA"/>
        </w:rPr>
        <w:t xml:space="preserve"> емісії</w:t>
      </w:r>
      <w:r w:rsidR="00316433" w:rsidRPr="007E6F1E">
        <w:rPr>
          <w:rFonts w:ascii="Times New Roman" w:hAnsi="Times New Roman" w:cs="Times New Roman"/>
          <w:sz w:val="28"/>
          <w:szCs w:val="28"/>
          <w:lang w:val="uk-UA"/>
        </w:rPr>
        <w:t xml:space="preserve"> акцій акціонерних товариств</w:t>
      </w:r>
      <w:r w:rsidRPr="007E6F1E">
        <w:rPr>
          <w:rFonts w:ascii="Times New Roman" w:hAnsi="Times New Roman" w:cs="Times New Roman"/>
          <w:sz w:val="28"/>
          <w:szCs w:val="28"/>
          <w:lang w:val="uk-UA"/>
        </w:rPr>
        <w:t>) до складу документів, які подаються до Національної комісії з цінних паперів та фондового ринку для реєстрації випуску цінних паперів, випуску цінних паперів та затвердження проспекту цінних паперів,  у ІІ кварталі 202</w:t>
      </w:r>
      <w:r w:rsidR="00316433" w:rsidRPr="007E6F1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E6F1E">
        <w:rPr>
          <w:rFonts w:ascii="Times New Roman" w:hAnsi="Times New Roman" w:cs="Times New Roman"/>
          <w:sz w:val="28"/>
          <w:szCs w:val="28"/>
          <w:lang w:val="uk-UA"/>
        </w:rPr>
        <w:t xml:space="preserve"> року включають річну фінансову звітність разом із аудиторським звітом щодо річної фінансової звітності за 202</w:t>
      </w:r>
      <w:r w:rsidR="00316433" w:rsidRPr="007E6F1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E6F1E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14:paraId="60F6DB7E" w14:textId="592F3B38" w:rsidR="004E7696" w:rsidRPr="007E6F1E" w:rsidRDefault="004E7696" w:rsidP="004E7696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6F1E">
        <w:rPr>
          <w:rFonts w:ascii="Times New Roman" w:hAnsi="Times New Roman" w:cs="Times New Roman"/>
          <w:sz w:val="28"/>
          <w:szCs w:val="28"/>
          <w:lang w:val="uk-UA"/>
        </w:rPr>
        <w:t>Додатково до складу документів може включатись проміжна фінансова звітність разом із звітом щодо огляду проміжної фінансової звітності за І квартал 202</w:t>
      </w:r>
      <w:r w:rsidR="00316433" w:rsidRPr="007E6F1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E6F1E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14:paraId="794F6116" w14:textId="65AD56EA" w:rsidR="004E7696" w:rsidRPr="007E6F1E" w:rsidRDefault="004E7696" w:rsidP="004E7696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6F1E">
        <w:rPr>
          <w:rFonts w:ascii="Times New Roman" w:hAnsi="Times New Roman" w:cs="Times New Roman"/>
          <w:sz w:val="28"/>
          <w:szCs w:val="28"/>
          <w:lang w:val="uk-UA"/>
        </w:rPr>
        <w:lastRenderedPageBreak/>
        <w:t>У разі реєстрації випуску цінних паперів та затвердженні проспекту цінних паперів до складу документів додатково включається фінансова звітність разом із аудиторським звітом щодо річної фінансової звітності за 202</w:t>
      </w:r>
      <w:r w:rsidR="00525C90" w:rsidRPr="007E6F1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E6F1E">
        <w:rPr>
          <w:rFonts w:ascii="Times New Roman" w:hAnsi="Times New Roman" w:cs="Times New Roman"/>
          <w:sz w:val="28"/>
          <w:szCs w:val="28"/>
          <w:lang w:val="uk-UA"/>
        </w:rPr>
        <w:t xml:space="preserve"> рік. </w:t>
      </w:r>
    </w:p>
    <w:p w14:paraId="754C93E8" w14:textId="1F0EC73A" w:rsidR="004E7696" w:rsidRPr="007E6F1E" w:rsidRDefault="004E7696" w:rsidP="004E7696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6F1E">
        <w:rPr>
          <w:rFonts w:ascii="Times New Roman" w:hAnsi="Times New Roman" w:cs="Times New Roman"/>
          <w:sz w:val="28"/>
          <w:szCs w:val="28"/>
          <w:lang w:val="uk-UA"/>
        </w:rPr>
        <w:t>2. Встановити, що юридичні особи, державна реєстрація яких відбулася у 202</w:t>
      </w:r>
      <w:r w:rsidR="00525C90" w:rsidRPr="007E6F1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E6F1E">
        <w:rPr>
          <w:rFonts w:ascii="Times New Roman" w:hAnsi="Times New Roman" w:cs="Times New Roman"/>
          <w:sz w:val="28"/>
          <w:szCs w:val="28"/>
          <w:lang w:val="uk-UA"/>
        </w:rPr>
        <w:t xml:space="preserve"> році, при здійсненні емісії цінних паперів (крім емісії цінних паперів інститутів спільного інвестування</w:t>
      </w:r>
      <w:r w:rsidR="00525C90" w:rsidRPr="007E6F1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11628" w:rsidRPr="007E6F1E">
        <w:rPr>
          <w:rFonts w:ascii="Times New Roman" w:hAnsi="Times New Roman" w:cs="Times New Roman"/>
          <w:sz w:val="28"/>
          <w:szCs w:val="28"/>
          <w:lang w:val="uk-UA"/>
        </w:rPr>
        <w:t xml:space="preserve">емісії </w:t>
      </w:r>
      <w:r w:rsidR="00525C90" w:rsidRPr="007E6F1E">
        <w:rPr>
          <w:rFonts w:ascii="Times New Roman" w:hAnsi="Times New Roman" w:cs="Times New Roman"/>
          <w:sz w:val="28"/>
          <w:szCs w:val="28"/>
          <w:lang w:val="uk-UA"/>
        </w:rPr>
        <w:t>акцій акціонерних товариств</w:t>
      </w:r>
      <w:r w:rsidRPr="007E6F1E">
        <w:rPr>
          <w:rFonts w:ascii="Times New Roman" w:hAnsi="Times New Roman" w:cs="Times New Roman"/>
          <w:sz w:val="28"/>
          <w:szCs w:val="28"/>
          <w:lang w:val="uk-UA"/>
        </w:rPr>
        <w:t>) до складу документів, які подаються до Національної комісії з цінних паперів та фондового ринку для реєстрації випуску цінних паперів</w:t>
      </w:r>
      <w:r w:rsidR="006619FC" w:rsidRPr="007E6F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69B9" w:rsidRPr="007E6F1E">
        <w:rPr>
          <w:rFonts w:ascii="Times New Roman" w:hAnsi="Times New Roman" w:cs="Times New Roman"/>
          <w:sz w:val="28"/>
          <w:szCs w:val="28"/>
          <w:lang w:val="uk-UA"/>
        </w:rPr>
        <w:t xml:space="preserve"> випуску цінних паперів та затвердження проспекту цінних паперів</w:t>
      </w:r>
      <w:r w:rsidRPr="007E6F1E">
        <w:rPr>
          <w:rFonts w:ascii="Times New Roman" w:hAnsi="Times New Roman" w:cs="Times New Roman"/>
          <w:sz w:val="28"/>
          <w:szCs w:val="28"/>
          <w:lang w:val="uk-UA"/>
        </w:rPr>
        <w:t xml:space="preserve"> у ІІ кварталі 202</w:t>
      </w:r>
      <w:r w:rsidR="00525C90" w:rsidRPr="007E6F1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E6F1E">
        <w:rPr>
          <w:rFonts w:ascii="Times New Roman" w:hAnsi="Times New Roman" w:cs="Times New Roman"/>
          <w:sz w:val="28"/>
          <w:szCs w:val="28"/>
          <w:lang w:val="uk-UA"/>
        </w:rPr>
        <w:t xml:space="preserve"> року включають:</w:t>
      </w:r>
    </w:p>
    <w:p w14:paraId="15D3227F" w14:textId="4F311EC1" w:rsidR="004E7696" w:rsidRPr="007E6F1E" w:rsidRDefault="004E7696" w:rsidP="004E7696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6F1E">
        <w:rPr>
          <w:rFonts w:ascii="Times New Roman" w:hAnsi="Times New Roman" w:cs="Times New Roman"/>
          <w:sz w:val="28"/>
          <w:szCs w:val="28"/>
          <w:lang w:val="uk-UA"/>
        </w:rPr>
        <w:t xml:space="preserve">1) звіт про фінансовий стан товариства, складений на дату державної реєстрації товариства (у разі якщо реєстрація відбулась у ІІ кварталі </w:t>
      </w:r>
      <w:r w:rsidRPr="007E6F1E">
        <w:rPr>
          <w:rFonts w:ascii="Times New Roman" w:hAnsi="Times New Roman" w:cs="Times New Roman"/>
          <w:sz w:val="28"/>
          <w:szCs w:val="28"/>
          <w:lang w:val="uk-UA"/>
        </w:rPr>
        <w:br/>
        <w:t>202</w:t>
      </w:r>
      <w:r w:rsidR="00525C90" w:rsidRPr="007E6F1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E6F1E">
        <w:rPr>
          <w:rFonts w:ascii="Times New Roman" w:hAnsi="Times New Roman" w:cs="Times New Roman"/>
          <w:sz w:val="28"/>
          <w:szCs w:val="28"/>
          <w:lang w:val="uk-UA"/>
        </w:rPr>
        <w:t xml:space="preserve"> року) та звіт суб’єкта аудиторської діяльності щодо формування  та сплати статутного капіталу товариства станом на дату державної реєстрації товариства;</w:t>
      </w:r>
    </w:p>
    <w:p w14:paraId="5FDF1550" w14:textId="77777777" w:rsidR="004E7696" w:rsidRPr="007E6F1E" w:rsidRDefault="004E7696" w:rsidP="004E7696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6F1E">
        <w:rPr>
          <w:rFonts w:ascii="Times New Roman" w:hAnsi="Times New Roman" w:cs="Times New Roman"/>
          <w:sz w:val="28"/>
          <w:szCs w:val="28"/>
          <w:lang w:val="uk-UA"/>
        </w:rPr>
        <w:t>або</w:t>
      </w:r>
    </w:p>
    <w:p w14:paraId="0C417A3A" w14:textId="6BDE4B4B" w:rsidR="004E7696" w:rsidRPr="007E6F1E" w:rsidRDefault="004E7696" w:rsidP="004E7696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6F1E">
        <w:rPr>
          <w:rFonts w:ascii="Times New Roman" w:hAnsi="Times New Roman" w:cs="Times New Roman"/>
          <w:sz w:val="28"/>
          <w:szCs w:val="28"/>
          <w:lang w:val="uk-UA"/>
        </w:rPr>
        <w:t>2) проміжну фінансову звітність разом із звітом щодо огляду проміжної фінансової звітності за I квартал 202</w:t>
      </w:r>
      <w:r w:rsidR="00525C90" w:rsidRPr="007E6F1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E6F1E">
        <w:rPr>
          <w:rFonts w:ascii="Times New Roman" w:hAnsi="Times New Roman" w:cs="Times New Roman"/>
          <w:sz w:val="28"/>
          <w:szCs w:val="28"/>
          <w:lang w:val="uk-UA"/>
        </w:rPr>
        <w:t xml:space="preserve"> року (у разі якщо реєстрація відбулась у</w:t>
      </w:r>
      <w:r w:rsidRPr="007E6F1E">
        <w:rPr>
          <w:rFonts w:ascii="Times New Roman" w:hAnsi="Times New Roman" w:cs="Times New Roman"/>
          <w:sz w:val="28"/>
          <w:szCs w:val="28"/>
          <w:lang w:val="uk-UA"/>
        </w:rPr>
        <w:br/>
        <w:t>І кварталі 202</w:t>
      </w:r>
      <w:r w:rsidR="00525C90" w:rsidRPr="007E6F1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E6F1E">
        <w:rPr>
          <w:rFonts w:ascii="Times New Roman" w:hAnsi="Times New Roman" w:cs="Times New Roman"/>
          <w:sz w:val="28"/>
          <w:szCs w:val="28"/>
          <w:lang w:val="uk-UA"/>
        </w:rPr>
        <w:t xml:space="preserve"> року).</w:t>
      </w:r>
    </w:p>
    <w:p w14:paraId="46FAC695" w14:textId="0FB874B5" w:rsidR="004E7696" w:rsidRPr="007E6F1E" w:rsidRDefault="00F14AF7" w:rsidP="004E7696">
      <w:pPr>
        <w:tabs>
          <w:tab w:val="left" w:pos="466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6F1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E7696" w:rsidRPr="007E6F1E">
        <w:rPr>
          <w:rFonts w:ascii="Times New Roman" w:hAnsi="Times New Roman" w:cs="Times New Roman"/>
          <w:sz w:val="28"/>
          <w:szCs w:val="28"/>
          <w:lang w:val="uk-UA"/>
        </w:rPr>
        <w:t xml:space="preserve">. Це рішення розповсюджується на емітентів (крім </w:t>
      </w:r>
      <w:r w:rsidRPr="007E6F1E">
        <w:rPr>
          <w:rFonts w:ascii="Times New Roman" w:hAnsi="Times New Roman" w:cs="Times New Roman"/>
          <w:sz w:val="28"/>
          <w:szCs w:val="28"/>
          <w:lang w:val="uk-UA"/>
        </w:rPr>
        <w:t>емітентів</w:t>
      </w:r>
      <w:r w:rsidR="00146E29" w:rsidRPr="007E6F1E">
        <w:rPr>
          <w:rFonts w:ascii="Times New Roman" w:hAnsi="Times New Roman" w:cs="Times New Roman"/>
          <w:sz w:val="28"/>
          <w:szCs w:val="28"/>
          <w:lang w:val="uk-UA"/>
        </w:rPr>
        <w:t xml:space="preserve"> акцій</w:t>
      </w:r>
      <w:r w:rsidR="00175B52" w:rsidRPr="007E6F1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46E29" w:rsidRPr="007E6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5712" w:rsidRPr="007E6F1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4E7696" w:rsidRPr="007E6F1E">
        <w:rPr>
          <w:rFonts w:ascii="Times New Roman" w:hAnsi="Times New Roman" w:cs="Times New Roman"/>
          <w:sz w:val="28"/>
          <w:szCs w:val="28"/>
          <w:lang w:val="uk-UA"/>
        </w:rPr>
        <w:t xml:space="preserve"> осіб, які надають забезпечення за відповідним випуском цінних паперів.</w:t>
      </w:r>
    </w:p>
    <w:p w14:paraId="1DA10EDC" w14:textId="0D83FDDF" w:rsidR="004E7696" w:rsidRPr="007E6F1E" w:rsidRDefault="00F14AF7" w:rsidP="004E7696">
      <w:pPr>
        <w:tabs>
          <w:tab w:val="left" w:pos="466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6F1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E7696" w:rsidRPr="007E6F1E">
        <w:rPr>
          <w:rFonts w:ascii="Times New Roman" w:hAnsi="Times New Roman" w:cs="Times New Roman"/>
          <w:sz w:val="28"/>
          <w:szCs w:val="28"/>
          <w:lang w:val="uk-UA"/>
        </w:rPr>
        <w:t>. Це рішення набирає чинності з дня, наступного за днем його опублікування на офіційному вебсайті Національної комісії з цінних паперів та фондового ринку.</w:t>
      </w:r>
    </w:p>
    <w:p w14:paraId="46C3C166" w14:textId="38593955" w:rsidR="004E7696" w:rsidRPr="007E6F1E" w:rsidRDefault="00F14AF7" w:rsidP="004E7696">
      <w:pPr>
        <w:tabs>
          <w:tab w:val="left" w:pos="466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6F1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E7696" w:rsidRPr="007E6F1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рішення покласти на члена Національної комісії з цінних паперів та фондового ринку Лібанова М.</w:t>
      </w:r>
    </w:p>
    <w:p w14:paraId="5EDF37BA" w14:textId="77777777" w:rsidR="004E7696" w:rsidRPr="007E6F1E" w:rsidRDefault="004E7696" w:rsidP="004E7696">
      <w:pPr>
        <w:pStyle w:val="3"/>
        <w:keepNext w:val="0"/>
        <w:ind w:firstLine="567"/>
        <w:jc w:val="both"/>
      </w:pPr>
    </w:p>
    <w:p w14:paraId="3469B3F6" w14:textId="77777777" w:rsidR="004E7696" w:rsidRPr="007E6F1E" w:rsidRDefault="004E7696" w:rsidP="004E7696">
      <w:pPr>
        <w:pStyle w:val="3"/>
        <w:keepNext w:val="0"/>
        <w:ind w:firstLine="567"/>
        <w:jc w:val="both"/>
      </w:pPr>
    </w:p>
    <w:p w14:paraId="5629B297" w14:textId="77777777" w:rsidR="004E7696" w:rsidRPr="007E6F1E" w:rsidRDefault="004E7696" w:rsidP="004E7696">
      <w:pPr>
        <w:pStyle w:val="3"/>
        <w:keepNext w:val="0"/>
        <w:ind w:firstLine="567"/>
        <w:jc w:val="both"/>
      </w:pPr>
      <w:r w:rsidRPr="007E6F1E">
        <w:t>Голова Комісії</w:t>
      </w:r>
      <w:r w:rsidRPr="007E6F1E">
        <w:tab/>
      </w:r>
      <w:r w:rsidRPr="007E6F1E">
        <w:tab/>
      </w:r>
      <w:r w:rsidRPr="007E6F1E">
        <w:tab/>
      </w:r>
      <w:r w:rsidRPr="007E6F1E">
        <w:tab/>
        <w:t xml:space="preserve">            Руслан МАГОМЕДОВ</w:t>
      </w:r>
    </w:p>
    <w:p w14:paraId="18B53CF9" w14:textId="77777777" w:rsidR="004E7696" w:rsidRPr="007E6F1E" w:rsidRDefault="004E7696" w:rsidP="004E7696">
      <w:pPr>
        <w:rPr>
          <w:lang w:val="uk-UA" w:eastAsia="uk-UA"/>
        </w:rPr>
      </w:pPr>
    </w:p>
    <w:p w14:paraId="6411CB34" w14:textId="3605391C" w:rsidR="004E7696" w:rsidRPr="007E6F1E" w:rsidRDefault="004E7696" w:rsidP="004E7696">
      <w:pPr>
        <w:pStyle w:val="5"/>
        <w:ind w:left="5652"/>
        <w:rPr>
          <w:b w:val="0"/>
          <w:i w:val="0"/>
          <w:sz w:val="22"/>
          <w:szCs w:val="22"/>
        </w:rPr>
      </w:pPr>
      <w:r w:rsidRPr="007E6F1E">
        <w:rPr>
          <w:b w:val="0"/>
          <w:i w:val="0"/>
          <w:sz w:val="22"/>
          <w:szCs w:val="22"/>
        </w:rPr>
        <w:t>Протокол засідання Комісії</w:t>
      </w:r>
    </w:p>
    <w:p w14:paraId="19AD84DA" w14:textId="2A796337" w:rsidR="004E7696" w:rsidRPr="00C126D9" w:rsidRDefault="00351409" w:rsidP="004E7696">
      <w:pPr>
        <w:ind w:left="5653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  <w:t>від  03.04.2024р. № 61</w:t>
      </w:r>
    </w:p>
    <w:p w14:paraId="30C9C087" w14:textId="77777777" w:rsidR="00FC11E1" w:rsidRDefault="00FC11E1"/>
    <w:sectPr w:rsidR="00FC11E1" w:rsidSect="00512BB7">
      <w:pgSz w:w="11906" w:h="16838"/>
      <w:pgMar w:top="993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96"/>
    <w:rsid w:val="00146E29"/>
    <w:rsid w:val="00175B52"/>
    <w:rsid w:val="00316433"/>
    <w:rsid w:val="00351409"/>
    <w:rsid w:val="003C0260"/>
    <w:rsid w:val="00445712"/>
    <w:rsid w:val="004E7696"/>
    <w:rsid w:val="00512BB7"/>
    <w:rsid w:val="00525C90"/>
    <w:rsid w:val="006619FC"/>
    <w:rsid w:val="007E6F1E"/>
    <w:rsid w:val="00852DFE"/>
    <w:rsid w:val="009969B9"/>
    <w:rsid w:val="00A11628"/>
    <w:rsid w:val="00A31A9C"/>
    <w:rsid w:val="00C27673"/>
    <w:rsid w:val="00C42E2A"/>
    <w:rsid w:val="00C44317"/>
    <w:rsid w:val="00F14AF7"/>
    <w:rsid w:val="00F22AB6"/>
    <w:rsid w:val="00FC11E1"/>
    <w:rsid w:val="00FD5546"/>
    <w:rsid w:val="00F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0561"/>
  <w15:chartTrackingRefBased/>
  <w15:docId w15:val="{2CE2F164-6497-460F-B79B-ED75A765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69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3">
    <w:name w:val="heading 3"/>
    <w:basedOn w:val="a"/>
    <w:next w:val="a"/>
    <w:link w:val="30"/>
    <w:semiHidden/>
    <w:unhideWhenUsed/>
    <w:qFormat/>
    <w:rsid w:val="004E769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noProof/>
      <w:sz w:val="28"/>
      <w:szCs w:val="20"/>
      <w:lang w:val="uk-UA" w:eastAsia="uk-UA"/>
    </w:rPr>
  </w:style>
  <w:style w:type="paragraph" w:styleId="5">
    <w:name w:val="heading 5"/>
    <w:basedOn w:val="a"/>
    <w:next w:val="a"/>
    <w:link w:val="50"/>
    <w:unhideWhenUsed/>
    <w:qFormat/>
    <w:rsid w:val="004E769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noProof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E7696"/>
    <w:rPr>
      <w:rFonts w:ascii="Times New Roman" w:eastAsia="Times New Roman" w:hAnsi="Times New Roman" w:cs="Times New Roman"/>
      <w:b/>
      <w:noProof/>
      <w:kern w:val="0"/>
      <w:sz w:val="28"/>
      <w:szCs w:val="20"/>
      <w:lang w:eastAsia="uk-UA"/>
      <w14:ligatures w14:val="none"/>
    </w:rPr>
  </w:style>
  <w:style w:type="character" w:customStyle="1" w:styleId="50">
    <w:name w:val="Заголовок 5 Знак"/>
    <w:basedOn w:val="a0"/>
    <w:link w:val="5"/>
    <w:rsid w:val="004E7696"/>
    <w:rPr>
      <w:rFonts w:ascii="Times New Roman" w:eastAsia="Times New Roman" w:hAnsi="Times New Roman" w:cs="Times New Roman"/>
      <w:b/>
      <w:bCs/>
      <w:i/>
      <w:iCs/>
      <w:noProof/>
      <w:kern w:val="0"/>
      <w:sz w:val="26"/>
      <w:szCs w:val="26"/>
      <w:lang w:eastAsia="uk-UA"/>
      <w14:ligatures w14:val="none"/>
    </w:rPr>
  </w:style>
  <w:style w:type="paragraph" w:styleId="a3">
    <w:name w:val="Body Text Indent"/>
    <w:basedOn w:val="a"/>
    <w:link w:val="a4"/>
    <w:semiHidden/>
    <w:unhideWhenUsed/>
    <w:rsid w:val="004E7696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noProof/>
      <w:sz w:val="28"/>
      <w:szCs w:val="20"/>
      <w:lang w:val="uk-UA" w:eastAsia="uk-UA"/>
    </w:rPr>
  </w:style>
  <w:style w:type="character" w:customStyle="1" w:styleId="a4">
    <w:name w:val="Основний текст з відступом Знак"/>
    <w:basedOn w:val="a0"/>
    <w:link w:val="a3"/>
    <w:semiHidden/>
    <w:rsid w:val="004E7696"/>
    <w:rPr>
      <w:rFonts w:ascii="Times New Roman" w:eastAsia="Times New Roman" w:hAnsi="Times New Roman" w:cs="Times New Roman"/>
      <w:noProof/>
      <w:kern w:val="0"/>
      <w:sz w:val="28"/>
      <w:szCs w:val="20"/>
      <w:lang w:eastAsia="uk-UA"/>
      <w14:ligatures w14:val="none"/>
    </w:rPr>
  </w:style>
  <w:style w:type="character" w:customStyle="1" w:styleId="HTML1">
    <w:name w:val="Друкарська машинка HTML1"/>
    <w:rsid w:val="004E7696"/>
    <w:rPr>
      <w:sz w:val="20"/>
    </w:rPr>
  </w:style>
  <w:style w:type="character" w:customStyle="1" w:styleId="fontstyle01">
    <w:name w:val="fontstyle01"/>
    <w:basedOn w:val="a0"/>
    <w:rsid w:val="004E769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Revision"/>
    <w:hidden/>
    <w:uiPriority w:val="99"/>
    <w:semiHidden/>
    <w:rsid w:val="00146E29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2103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Пересунько</dc:creator>
  <cp:keywords/>
  <dc:description/>
  <cp:lastModifiedBy>Admin</cp:lastModifiedBy>
  <cp:revision>2</cp:revision>
  <dcterms:created xsi:type="dcterms:W3CDTF">2024-04-03T07:47:00Z</dcterms:created>
  <dcterms:modified xsi:type="dcterms:W3CDTF">2024-04-03T07:47:00Z</dcterms:modified>
</cp:coreProperties>
</file>