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CF10" w14:textId="77777777" w:rsidR="00A14280" w:rsidRPr="00A14280" w:rsidRDefault="00A14280" w:rsidP="00A14280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333333"/>
        </w:rPr>
      </w:pPr>
      <w:r w:rsidRPr="00A14280">
        <w:rPr>
          <w:rStyle w:val="a3"/>
          <w:color w:val="333333"/>
          <w:bdr w:val="none" w:sz="0" w:space="0" w:color="auto" w:frame="1"/>
        </w:rPr>
        <w:t>ПЕНСІЙНИЙ ФОНД УКРАЇНИ</w:t>
      </w:r>
      <w:r w:rsidRPr="00A14280">
        <w:rPr>
          <w:b/>
          <w:bCs/>
          <w:color w:val="333333"/>
          <w:bdr w:val="none" w:sz="0" w:space="0" w:color="auto" w:frame="1"/>
        </w:rPr>
        <w:br/>
      </w:r>
      <w:r w:rsidRPr="00A14280">
        <w:rPr>
          <w:color w:val="333333"/>
        </w:rPr>
        <w:t>ДЕПАРТАМЕНТ ПЕНСІЙНОГО ЗАБЕЗПЕЧЕННЯ, СТРАХОВИХ ВИПЛАТ, СОЦІАЛЬНИХ ПОСЛУГ, ЖИТЛОВИХ СУБСИДІЙ ТА ПІЛЬГ</w:t>
      </w:r>
    </w:p>
    <w:p w14:paraId="12749CFD" w14:textId="77777777" w:rsidR="00A14280" w:rsidRPr="00A14280" w:rsidRDefault="00A14280" w:rsidP="00A14280">
      <w:pPr>
        <w:pStyle w:val="has-text-align-center"/>
        <w:shd w:val="clear" w:color="auto" w:fill="FFFFFF"/>
        <w:spacing w:before="0" w:beforeAutospacing="0" w:after="300" w:afterAutospacing="0" w:line="360" w:lineRule="auto"/>
        <w:jc w:val="center"/>
        <w:textAlignment w:val="baseline"/>
        <w:rPr>
          <w:color w:val="333333"/>
        </w:rPr>
      </w:pPr>
      <w:r w:rsidRPr="00A14280">
        <w:rPr>
          <w:color w:val="333333"/>
        </w:rPr>
        <w:t>ЛИСТ</w:t>
      </w:r>
    </w:p>
    <w:p w14:paraId="1EB75946" w14:textId="231C08BD" w:rsidR="00A14280" w:rsidRDefault="00A14280" w:rsidP="00A14280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color w:val="333333"/>
          <w:bdr w:val="none" w:sz="0" w:space="0" w:color="auto" w:frame="1"/>
        </w:rPr>
      </w:pPr>
      <w:r w:rsidRPr="00A14280">
        <w:rPr>
          <w:rStyle w:val="a3"/>
          <w:color w:val="333333"/>
          <w:bdr w:val="none" w:sz="0" w:space="0" w:color="auto" w:frame="1"/>
        </w:rPr>
        <w:t>від 01.02.2024 р. № 2800-030401-8/6443</w:t>
      </w:r>
    </w:p>
    <w:p w14:paraId="0587F63B" w14:textId="77777777" w:rsidR="00A14280" w:rsidRPr="00A14280" w:rsidRDefault="00A14280" w:rsidP="00A14280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</w:p>
    <w:p w14:paraId="7AE89137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Розглянувши Ваш інформаційний запит […], Пенсійний фонд України повідомляє.</w:t>
      </w:r>
    </w:p>
    <w:p w14:paraId="4717F36D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&lt;…&gt;</w:t>
      </w:r>
    </w:p>
    <w:p w14:paraId="7CE26D97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Відповідно до частини першої статті 23 Закону України від 23.09.99 № 1105-XIV “Про загальнообов’язкове державне соціальне страхування” (далі – Закон № 1105) підставою для призначення застрахованій особі допомоги по тимчасовій непрацездатності, допомоги по вагітності та пологах є сформований на основі медичного висновку про тимчасову непрацездатність листок непрацездатності.</w:t>
      </w:r>
    </w:p>
    <w:p w14:paraId="1593479F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Порядок формування медичних висновків в Реєстрі медичних висновків в електронній системі охорони здоров’я (далі – Порядок формування МВТН) затверджено наказом Міністерства охорони здоров’я України від 01.06.2021 № 1066, зареєстрованим в Міністерстві юстиції України 02.06.2021 за № 728/36350 (далі – Наказ № 1066). Порядок видачі (формування) листків непрацездатності в Електронному реєстрі листків непрацездатності затверджений наказом Міністерства охорони здоров’я України від 17.06.2021 № 1234, зареєстрованим в Міністерстві юстиції України 07.07.2021 за № 890/36512 (далі – Порядок № 1234).</w:t>
      </w:r>
    </w:p>
    <w:p w14:paraId="4E2F6BB6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Згідно із пунктами 2 та 3 розділу II Порядку № 1234 листок непрацездатності формується в Електронному реєстрі листків непрацездатності на підставі інформації про медичний висновок (медичні висновки) у разі ідентифікації пацієнта як застрахованої особи в реєстрі застрахованих осіб Державного реєстру загальнообов’язкового державного соціального страхування.</w:t>
      </w:r>
    </w:p>
    <w:p w14:paraId="0C4413DD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Дати відкриття та закриття листка непрацездатності відповідають датам початку строку дії та закінчення строку дії медичного висновку, на підставі якого сформований цей листок непрацездатності.</w:t>
      </w:r>
    </w:p>
    <w:p w14:paraId="2ABACA98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Пунктом 3 розділу I Порядку формування МВТН визначено, що випадок тимчасової непрацездатності відповідно до медичних висновків (далі – випадок тимчасової непрацездатності) – тимчасова непрацездатність, що підтверджується формуванням одного або сукупністю декількох медичних висновків, пов’язаних між собою через посилання на запис в Реєстрі про попередній медичний висновок в межах однієї категорії медичних висновків, та триває безперервно від початку визначеного захворювання, травми або інших причин з можливим продовженням в одного або послідовно в декількох суб’єктів господарювання до завершення дії останнього медичного висновку або до початку нового медичного висновку з відміткою про початок нового випадку тимчасової непрацездатності в межах такої ж категорії, що формується з приводу нового захворювання, травми або інших причин, які не пов’язані та не є наслідками попереднього.</w:t>
      </w:r>
    </w:p>
    <w:p w14:paraId="5AFB03BB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 xml:space="preserve">У пункті 8 Наказу № 1066 зазначено вичерпний перелік умов, за яких передбачена можливість видачі листка непрацездатності відповідно до вимог Інструкції про порядок видачі документів, що засвідчують тимчасову непрацездатність громадян, затвердженої </w:t>
      </w:r>
      <w:r w:rsidRPr="00A14280">
        <w:rPr>
          <w:color w:val="333333"/>
        </w:rPr>
        <w:lastRenderedPageBreak/>
        <w:t>наказом Міністерства охорони здоров’я України від 13.11.2001 № 455, та Інструкції про порядок заповнення листка непрацездатності, затвердженої наказом Міністерства охорони здоров’я України, Міністерства праці та соціальної політики України, Фонду соціального страхування з тимчасової втрати працездатності, Фонду соціального страхування від нещасних випадків на виробництві та професійних захворювань України від 03.11.2004 № 532/274/136-ос/1406.</w:t>
      </w:r>
    </w:p>
    <w:p w14:paraId="6ACB06F4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Частиною другою статті 15 Закону № 1105 встановлено, що допомога по тимчасовій непрацездатності у випадках, зазначених у пунктах 1 і 7 частини першої цієї статті, виплачується Пенсійним фондом України застрахованим особам починаючи з шостого дня непрацездатності за весь період до відновлення працездатності або до встановлення медико-соціальною експертною комісією інвалідності (встановлення іншої групи, підтвердження раніше встановленої групи інвалідності) незалежно від звільнення застрахованої особи в період втрати працездатності, у порядку та розмірах, встановлених законодавством.</w:t>
      </w:r>
    </w:p>
    <w:p w14:paraId="09D6BFAC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Оплата перших п’яти днів тимчасової непрацездатності у випадках, зазначених у пунктах 1 і 7 частини першої цієї статті, здійснюється за рахунок коштів роботодавця у порядку, встановленому Кабінетом Міністрів України.</w:t>
      </w:r>
    </w:p>
    <w:p w14:paraId="0E83D4DF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Згідно інформації, зазначеної у Вашому зверненні, працівнику був сформований електронний листок непрацездатності […] та паперовий листок непрацездатності […]. Зазначені листки непрацездатності є первинними. При цьому нарахована сума допомоги по тимчасовій непрацездатності за дні тимчасової непрацездатності (починаючи з шостого дня непрацездатності), які зазначалися в електронному листку непрацездатності, була включена до заяви-розрахунку, яка профінансована Пенсійним фондом України.</w:t>
      </w:r>
    </w:p>
    <w:p w14:paraId="728A2901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Отже, якщо електронний листок непрацездатності ([…]) та паперовий листок непрацездатності ([…]) створені як нові випадки непрацездатності, тобто є первинними, то допомога по тимчасовій непрацездатності повинна надаватися починаючи з початку страхового випадку та за перші п’ять днів непрацездатності здійснюватися за рахунок коштів роботодавця.</w:t>
      </w:r>
    </w:p>
    <w:p w14:paraId="3953FBD5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 xml:space="preserve">Враховуючи те, що у виданому паперовому листку непрацездатності дні тимчасової непрацездатності ([…]) співпадають з днями тимчасової непрацездатності, зазначеними в електронному листку непрацездатності, який вже був профінансований на підставі заяви-розрахунку, поданої страхувальником, то страхувальнику для надання допомоги по тимчасовій непрацездатності в порядку визначеному законодавством необхідно сформувати </w:t>
      </w:r>
      <w:proofErr w:type="spellStart"/>
      <w:r w:rsidRPr="00A14280">
        <w:rPr>
          <w:color w:val="333333"/>
        </w:rPr>
        <w:t>корегуючу</w:t>
      </w:r>
      <w:proofErr w:type="spellEnd"/>
      <w:r w:rsidRPr="00A14280">
        <w:rPr>
          <w:color w:val="333333"/>
        </w:rPr>
        <w:t xml:space="preserve"> заяву-розрахунок за типом “</w:t>
      </w:r>
      <w:proofErr w:type="spellStart"/>
      <w:r w:rsidRPr="00A14280">
        <w:rPr>
          <w:color w:val="333333"/>
        </w:rPr>
        <w:t>Корегуюча</w:t>
      </w:r>
      <w:proofErr w:type="spellEnd"/>
      <w:r w:rsidRPr="00A14280">
        <w:rPr>
          <w:color w:val="333333"/>
        </w:rPr>
        <w:t xml:space="preserve"> зменшення” до заяви, яка була профінансована, для електронного листка непрацездатності ([…]) та повернути зайво замовлені кошти, нараховані за дні тимчасової непрацездатності ([…]) на рахунок Пенсійного фонду України.</w:t>
      </w:r>
    </w:p>
    <w:p w14:paraId="65F0E694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A14280">
        <w:rPr>
          <w:color w:val="333333"/>
        </w:rPr>
        <w:t>Нарахування допомоги по тимчасовій непрацездатності на підставі паперового листка непрацездатності […] здійснюється на загальних підставах (оплата перших п’яти днів непрацездатності за рахунок коштів роботодавця, починаючи з шостого дня непрацездатності за рахунок коштів Пенсійного фонду України).</w:t>
      </w:r>
    </w:p>
    <w:p w14:paraId="65CAB18D" w14:textId="77777777" w:rsidR="00A14280" w:rsidRPr="00A14280" w:rsidRDefault="00A14280" w:rsidP="00A1428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A14280">
        <w:rPr>
          <w:rStyle w:val="a3"/>
          <w:color w:val="333333"/>
          <w:bdr w:val="none" w:sz="0" w:space="0" w:color="auto" w:frame="1"/>
        </w:rPr>
        <w:t>З повагою</w:t>
      </w:r>
    </w:p>
    <w:p w14:paraId="2C0A5CBE" w14:textId="77777777" w:rsidR="00A14280" w:rsidRPr="00A14280" w:rsidRDefault="00A14280" w:rsidP="00A14280">
      <w:pPr>
        <w:pStyle w:val="has-text-align-right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</w:rPr>
      </w:pPr>
      <w:r w:rsidRPr="00A14280">
        <w:rPr>
          <w:rStyle w:val="a5"/>
          <w:b/>
          <w:bCs/>
          <w:color w:val="333333"/>
          <w:bdr w:val="none" w:sz="0" w:space="0" w:color="auto" w:frame="1"/>
        </w:rPr>
        <w:t>Начальник управління</w:t>
      </w:r>
      <w:r w:rsidRPr="00A14280">
        <w:rPr>
          <w:b/>
          <w:bCs/>
          <w:i/>
          <w:iCs/>
          <w:color w:val="333333"/>
          <w:bdr w:val="none" w:sz="0" w:space="0" w:color="auto" w:frame="1"/>
        </w:rPr>
        <w:br/>
      </w:r>
      <w:r w:rsidRPr="00A14280">
        <w:rPr>
          <w:rStyle w:val="a5"/>
          <w:b/>
          <w:bCs/>
          <w:color w:val="333333"/>
          <w:bdr w:val="none" w:sz="0" w:space="0" w:color="auto" w:frame="1"/>
        </w:rPr>
        <w:t>страхових виплат</w:t>
      </w:r>
      <w:r w:rsidRPr="00A14280">
        <w:rPr>
          <w:b/>
          <w:bCs/>
          <w:i/>
          <w:iCs/>
          <w:color w:val="333333"/>
          <w:bdr w:val="none" w:sz="0" w:space="0" w:color="auto" w:frame="1"/>
        </w:rPr>
        <w:br/>
      </w:r>
      <w:r w:rsidRPr="00A14280">
        <w:rPr>
          <w:rStyle w:val="a5"/>
          <w:b/>
          <w:bCs/>
          <w:color w:val="333333"/>
          <w:bdr w:val="none" w:sz="0" w:space="0" w:color="auto" w:frame="1"/>
        </w:rPr>
        <w:t>та соціальних послуг</w:t>
      </w:r>
      <w:r w:rsidRPr="00A14280">
        <w:rPr>
          <w:b/>
          <w:bCs/>
          <w:i/>
          <w:iCs/>
          <w:color w:val="333333"/>
          <w:bdr w:val="none" w:sz="0" w:space="0" w:color="auto" w:frame="1"/>
        </w:rPr>
        <w:br/>
      </w:r>
      <w:r w:rsidRPr="00A14280">
        <w:rPr>
          <w:rStyle w:val="a5"/>
          <w:b/>
          <w:bCs/>
          <w:color w:val="333333"/>
          <w:bdr w:val="none" w:sz="0" w:space="0" w:color="auto" w:frame="1"/>
        </w:rPr>
        <w:t>Світлана ЗАРУБІНА</w:t>
      </w:r>
    </w:p>
    <w:p w14:paraId="7C7B3ECB" w14:textId="77777777" w:rsidR="00AD0A2D" w:rsidRDefault="00AD0A2D"/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0"/>
    <w:rsid w:val="00246870"/>
    <w:rsid w:val="00A14280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DBCC"/>
  <w15:chartTrackingRefBased/>
  <w15:docId w15:val="{3218AE97-AB64-462D-8BBA-6E023429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A1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14280"/>
    <w:rPr>
      <w:b/>
      <w:bCs/>
    </w:rPr>
  </w:style>
  <w:style w:type="paragraph" w:styleId="a4">
    <w:name w:val="Normal (Web)"/>
    <w:basedOn w:val="a"/>
    <w:uiPriority w:val="99"/>
    <w:semiHidden/>
    <w:unhideWhenUsed/>
    <w:rsid w:val="00A1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has-text-align-right">
    <w:name w:val="has-text-align-right"/>
    <w:basedOn w:val="a"/>
    <w:rsid w:val="00A1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A142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3862</Words>
  <Characters>2202</Characters>
  <Application>Microsoft Office Word</Application>
  <DocSecurity>0</DocSecurity>
  <Lines>18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2024-02-09T08:50:00Z</dcterms:created>
  <dcterms:modified xsi:type="dcterms:W3CDTF">2024-02-09T08:50:00Z</dcterms:modified>
</cp:coreProperties>
</file>