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bookmarkStart w:id="0" w:name="_page_2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ДЕРЖАВНА СЛУЖБА СТАТИСТИКИ УКРАЇНИ</w:t>
      </w:r>
    </w:p>
    <w:p w:rsidR="00E13309" w:rsidRDefault="00E1330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РОЗ’ЯСНЕННЯ</w:t>
      </w:r>
    </w:p>
    <w:p w:rsidR="00E13309" w:rsidRDefault="00E13309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від 07.09.2023 р. № 19.1.2-12/24-23</w:t>
      </w:r>
    </w:p>
    <w:p w:rsidR="00E13309" w:rsidRDefault="00E1330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ЗАТВЕРДЖУЮ</w:t>
      </w:r>
    </w:p>
    <w:p w:rsidR="00E13309" w:rsidRDefault="007539FD">
      <w:pPr>
        <w:widowControl w:val="0"/>
        <w:spacing w:before="54" w:line="299" w:lineRule="auto"/>
        <w:ind w:right="60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Голова Державної служби статистики ____________ Ігор ВЕРНЕР</w:t>
      </w: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07 вересня 2023 ро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E13309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:rsidR="00E13309" w:rsidRDefault="007539FD">
      <w:pPr>
        <w:widowControl w:val="0"/>
        <w:spacing w:line="250" w:lineRule="auto"/>
        <w:ind w:right="590"/>
        <w:rPr>
          <w:rFonts w:ascii="Arial" w:eastAsia="Arial" w:hAnsi="Arial" w:cs="Arial"/>
          <w:b/>
          <w:bCs/>
          <w:color w:val="212121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</w:rPr>
        <w:t>Роз’яснення щодо показників форми державного статистичного спостереження № 31-авто (квартальна) “Звіт про перевезення вантажів автомобільним транспортом за видами вантажів”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E13309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I. Загальні положення</w:t>
      </w:r>
    </w:p>
    <w:p w:rsidR="00E13309" w:rsidRDefault="00E13309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3" w:lineRule="auto"/>
        <w:ind w:right="59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Ці Роз’яснення містять інформацію щодо показників </w:t>
      </w:r>
      <w:r>
        <w:rPr>
          <w:rFonts w:ascii="Arial" w:eastAsia="Arial" w:hAnsi="Arial" w:cs="Arial"/>
          <w:color w:val="000000"/>
          <w:sz w:val="24"/>
          <w:szCs w:val="24"/>
        </w:rPr>
        <w:t>форми державного статистичного спостереження № 31-авто (квартальна) “Звіт про перевезення вантажів автомобільним транспортом за видами вантажів” (далі – форма).</w:t>
      </w:r>
    </w:p>
    <w:p w:rsidR="00E13309" w:rsidRDefault="00E13309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Показники форми характеризують:</w:t>
      </w:r>
    </w:p>
    <w:p w:rsidR="00E13309" w:rsidRDefault="00E1330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95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обсяг перевезених вантажів автомобільним транспортом, зокр</w:t>
      </w:r>
      <w:r>
        <w:rPr>
          <w:rFonts w:ascii="Arial" w:eastAsia="Arial" w:hAnsi="Arial" w:cs="Arial"/>
          <w:color w:val="000000"/>
          <w:sz w:val="24"/>
          <w:szCs w:val="24"/>
        </w:rPr>
        <w:t>ема в міжнародному сполученні та за класифікацією видів вантажів;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вантажообіг автомобільного транспорту, зокрема в міжнародному сполученні.</w:t>
      </w:r>
    </w:p>
    <w:p w:rsidR="00E13309" w:rsidRDefault="00E1330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1" w:lineRule="auto"/>
        <w:ind w:right="39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Показники форми не містять даних про роботу рухомого складу для власних потреб юридичних осіб та їх відокремлен</w:t>
      </w:r>
      <w:r>
        <w:rPr>
          <w:rFonts w:ascii="Arial" w:eastAsia="Arial" w:hAnsi="Arial" w:cs="Arial"/>
          <w:color w:val="000000"/>
          <w:sz w:val="24"/>
          <w:szCs w:val="24"/>
        </w:rPr>
        <w:t>их підрозділів і роботу власного рухомого складу, який передано в оренду (без водія) іншим юридичним та фізичним особам і документальний облік роботи яких вони виконують.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1008"/>
        <w:rPr>
          <w:rFonts w:ascii="Arial" w:eastAsia="Arial" w:hAnsi="Arial" w:cs="Arial"/>
          <w:color w:val="212121"/>
          <w:sz w:val="24"/>
          <w:szCs w:val="24"/>
        </w:rPr>
      </w:pPr>
      <w:bookmarkStart w:id="1" w:name="_page_10_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4. Показники форми містять дані за квартал звітного року </w:t>
      </w:r>
      <w:r>
        <w:rPr>
          <w:rFonts w:ascii="Arial" w:eastAsia="Arial" w:hAnsi="Arial" w:cs="Arial"/>
          <w:color w:val="000000"/>
          <w:sz w:val="24"/>
          <w:szCs w:val="24"/>
        </w:rPr>
        <w:t>окремо та не включають величину коригування за попередні квартали.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132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Форма відображає показники, сформовані з використанням даних первинних документів, зокрема: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(типова форма № 1-ТН);</w:t>
      </w:r>
    </w:p>
    <w:p w:rsidR="00E13309" w:rsidRDefault="00E1330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89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пер</w:t>
      </w:r>
      <w:r>
        <w:rPr>
          <w:rFonts w:ascii="Arial" w:eastAsia="Arial" w:hAnsi="Arial" w:cs="Arial"/>
          <w:color w:val="000000"/>
          <w:sz w:val="24"/>
          <w:szCs w:val="24"/>
        </w:rPr>
        <w:t>еміщення спирту етилового (форма № 1-ТН (спирт));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123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товарно-транспортної накладної на переміщення високооктанових кисневмісних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домішок (форма № 1-ТН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вкд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));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66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переміщення алкогольних напоїв (форма № 1-ТН (алкогольні напої));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300" w:lineRule="auto"/>
        <w:ind w:right="42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спеціалізованої товарної накладної на перевезення молочної сировини (форма № 1-ТН (МС));</w:t>
      </w:r>
    </w:p>
    <w:p w:rsidR="00E13309" w:rsidRDefault="00E13309">
      <w:pPr>
        <w:spacing w:after="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86" w:lineRule="auto"/>
        <w:ind w:right="83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відпуск хлібобулочних виробів (форма № 1-ТТН (хліб));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68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товарно-транспортної накладної на відпуск нафтопродуктів (нафти) (форма № </w:t>
      </w:r>
      <w:r>
        <w:rPr>
          <w:rFonts w:ascii="Arial" w:eastAsia="Arial" w:hAnsi="Arial" w:cs="Arial"/>
          <w:color w:val="000000"/>
          <w:sz w:val="24"/>
          <w:szCs w:val="24"/>
        </w:rPr>
        <w:t>1-ТТН (нафтопродукт));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3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при перевезенні деревини автомобільним транспортом (форма № 1-ТТН-ліс);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міжнародної автомобільної накладної CMR;</w:t>
      </w:r>
    </w:p>
    <w:p w:rsidR="00E13309" w:rsidRDefault="00E13309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58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примірного договору на перевезення вантажів автомобільним транспортом у міському та мі</w:t>
      </w:r>
      <w:r>
        <w:rPr>
          <w:rFonts w:ascii="Arial" w:eastAsia="Arial" w:hAnsi="Arial" w:cs="Arial"/>
          <w:color w:val="000000"/>
          <w:sz w:val="24"/>
          <w:szCs w:val="24"/>
        </w:rPr>
        <w:t>жміському сполученні;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плану перевезень вантажів автомобільним транспортом;</w:t>
      </w:r>
    </w:p>
    <w:p w:rsidR="00E13309" w:rsidRDefault="00E1330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43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плану роботи з перевезення вантажів автомобільним транспортом на умовах оплати за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автомобілегодини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62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Значення показників щодо перевезення вантажів і перевезення вантажів за вид</w:t>
      </w:r>
      <w:r>
        <w:rPr>
          <w:rFonts w:ascii="Arial" w:eastAsia="Arial" w:hAnsi="Arial" w:cs="Arial"/>
          <w:color w:val="000000"/>
          <w:sz w:val="24"/>
          <w:szCs w:val="24"/>
        </w:rPr>
        <w:t>ами мають формат представлення в числах із двома десятковими знаками після коми.</w:t>
      </w:r>
    </w:p>
    <w:p w:rsidR="00E13309" w:rsidRDefault="00E13309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II. Інформація щодо відсутності даних</w:t>
      </w:r>
    </w:p>
    <w:p w:rsidR="00E13309" w:rsidRDefault="00E13309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 випадку відсутності даних у формі може зазначатися одна з нижченаведених причин: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441"/>
        <w:rPr>
          <w:rFonts w:ascii="Arial" w:eastAsia="Arial" w:hAnsi="Arial" w:cs="Arial"/>
          <w:color w:val="212121"/>
          <w:sz w:val="24"/>
          <w:szCs w:val="24"/>
        </w:rPr>
      </w:pPr>
      <w:bookmarkStart w:id="2" w:name="_page_12_0"/>
      <w:bookmarkEnd w:id="1"/>
      <w:r>
        <w:rPr>
          <w:rFonts w:ascii="Arial" w:eastAsia="Arial" w:hAnsi="Arial" w:cs="Arial"/>
          <w:color w:val="000000"/>
          <w:sz w:val="24"/>
          <w:szCs w:val="24"/>
        </w:rPr>
        <w:t>не здійснюється вид економіч</w:t>
      </w:r>
      <w:r>
        <w:rPr>
          <w:rFonts w:ascii="Arial" w:eastAsia="Arial" w:hAnsi="Arial" w:cs="Arial"/>
          <w:color w:val="000000"/>
          <w:sz w:val="24"/>
          <w:szCs w:val="24"/>
        </w:rPr>
        <w:t>ної діяльності, який спостерігається (може бути у випадках відсутності діяльності за видом економічної діяльності, який спостерігається);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1" w:lineRule="auto"/>
        <w:ind w:right="44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одиниця припинена або перебуває в стадії припинення (може бути у разі здійснення процедури припинення юридичної особи</w:t>
      </w:r>
      <w:r>
        <w:rPr>
          <w:rFonts w:ascii="Arial" w:eastAsia="Arial" w:hAnsi="Arial" w:cs="Arial"/>
          <w:color w:val="000000"/>
          <w:sz w:val="24"/>
          <w:szCs w:val="24"/>
        </w:rPr>
        <w:t>, що не пов’язано з реорганізацією (приєднання, злиття, поділ, перетворення), а саме: рішення засновників (учасників) юридичної особи або уповноваженого ними органу щодо припинення юридичної особи; судове рішення щодо припинення юридичної особи, що не пов’</w:t>
      </w:r>
      <w:r>
        <w:rPr>
          <w:rFonts w:ascii="Arial" w:eastAsia="Arial" w:hAnsi="Arial" w:cs="Arial"/>
          <w:color w:val="000000"/>
          <w:sz w:val="24"/>
          <w:szCs w:val="24"/>
        </w:rPr>
        <w:t>язане з її банкрутством; початок процесу проведення спрощеної процедури припинення юридичної особи шляхом її ліквідації; рішення державного органу про припинення юридичної особи в результаті ліквідації; унесення судового рішення про порушення провадження 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справі про банкрутство юридичної особи або визнання юридичної особи банкрутом і відкриття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ліквідаційної процедури; державна реєстрація припинення юридичної особи, що не пов’язана з реорганізацією);</w:t>
      </w:r>
    </w:p>
    <w:p w:rsidR="00E13309" w:rsidRDefault="00E13309">
      <w:pPr>
        <w:spacing w:after="1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86" w:lineRule="auto"/>
        <w:ind w:right="108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здійснюється сезонна діяльність або економічна діяльніст</w:t>
      </w:r>
      <w:r>
        <w:rPr>
          <w:rFonts w:ascii="Arial" w:eastAsia="Arial" w:hAnsi="Arial" w:cs="Arial"/>
          <w:color w:val="000000"/>
          <w:sz w:val="24"/>
          <w:szCs w:val="24"/>
        </w:rPr>
        <w:t>ь, пов’язана з тривалим циклом виробництва (може бути в разі здійснення сезонної діяльності);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3" w:lineRule="auto"/>
        <w:ind w:right="89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тимчасово призупинено економічну діяльність через економічні чинники/карантинні обмеження (може бути в разі тимчасового призупинення економічної діяльності в ціл</w:t>
      </w:r>
      <w:r>
        <w:rPr>
          <w:rFonts w:ascii="Arial" w:eastAsia="Arial" w:hAnsi="Arial" w:cs="Arial"/>
          <w:color w:val="000000"/>
          <w:sz w:val="24"/>
          <w:szCs w:val="24"/>
        </w:rPr>
        <w:t>ому по одиниці через економічні чинники, карантинні обмеження);</w:t>
      </w:r>
    </w:p>
    <w:p w:rsidR="00E13309" w:rsidRDefault="00E13309">
      <w:pPr>
        <w:spacing w:after="12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91" w:lineRule="auto"/>
        <w:ind w:right="70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проведено чи проводиться реорганізація або передано виробничі фактори іншій одиниці (може бути у випадках здійснення процедури припинення юридичної особи у зв’язку з реорганізацією (приєднанн</w:t>
      </w:r>
      <w:r>
        <w:rPr>
          <w:rFonts w:ascii="Arial" w:eastAsia="Arial" w:hAnsi="Arial" w:cs="Arial"/>
          <w:color w:val="000000"/>
          <w:sz w:val="24"/>
          <w:szCs w:val="24"/>
        </w:rPr>
        <w:t>я, злиття, поділ, перетворення) за наявності рішення засновників (учасників) юридичної особи або уповноваженого ними органу щодо припинення юридичної особи в результаті реорганізації; державна реєстрація припинення юридичної особи у зв’язку з реорганізаціє</w:t>
      </w:r>
      <w:r>
        <w:rPr>
          <w:rFonts w:ascii="Arial" w:eastAsia="Arial" w:hAnsi="Arial" w:cs="Arial"/>
          <w:color w:val="000000"/>
          <w:sz w:val="24"/>
          <w:szCs w:val="24"/>
        </w:rPr>
        <w:t>ю; продаж/надання в оренду (повністю або частково виробничих факторів або передачі права управління виробничими факторами іншій одиниці);</w:t>
      </w:r>
    </w:p>
    <w:p w:rsidR="00E13309" w:rsidRDefault="00E13309">
      <w:pPr>
        <w:spacing w:after="1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93" w:lineRule="auto"/>
        <w:ind w:right="46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відсутнє явище, яке спостерігається (може бути в разі відсутності явища, яке спостерігається; відсутності специфічног</w:t>
      </w:r>
      <w:r>
        <w:rPr>
          <w:rFonts w:ascii="Arial" w:eastAsia="Arial" w:hAnsi="Arial" w:cs="Arial"/>
          <w:color w:val="000000"/>
          <w:sz w:val="24"/>
          <w:szCs w:val="24"/>
        </w:rPr>
        <w:t>о об’єкта спостереження (певних матеріально-технічних ресурсів)).</w:t>
      </w:r>
    </w:p>
    <w:p w:rsidR="00E13309" w:rsidRDefault="00E13309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43" w:lineRule="auto"/>
        <w:ind w:right="831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III. Показники щодо перевезення вантажів та перевезення вантажів за видами</w:t>
      </w:r>
    </w:p>
    <w:p w:rsidR="00E13309" w:rsidRDefault="00E13309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 w:rsidP="007539FD">
      <w:pPr>
        <w:widowControl w:val="0"/>
        <w:spacing w:line="291" w:lineRule="auto"/>
        <w:ind w:right="64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Показник “Обсяг перевезених вантажів” містить інформацію про обсяг перевезених вантажів (тис. т) вантажними ав</w:t>
      </w:r>
      <w:r>
        <w:rPr>
          <w:rFonts w:ascii="Arial" w:eastAsia="Arial" w:hAnsi="Arial" w:cs="Arial"/>
          <w:color w:val="000000"/>
          <w:sz w:val="24"/>
          <w:szCs w:val="24"/>
        </w:rPr>
        <w:t>томобілями, а також пікапами та фургонами на шасі легкових автомобілів і на автопричепах, у тому числі в міжнародному сполученні (вивезення із країни, ввезення в країну, перевезення вантажів за кордоном), на власному й орендованому транспортному засобі, на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комерційній основі (тобто за плату), за договорами й разовими замовленнями, які сплачені через філії та</w:t>
      </w:r>
      <w:bookmarkStart w:id="3" w:name="_page_14_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представництва банку, при цьому інформація щодо підпорядкування підприємства та його клієнта не має значення. Показник обсягу пере</w:t>
      </w:r>
      <w:r>
        <w:rPr>
          <w:rFonts w:ascii="Arial" w:eastAsia="Arial" w:hAnsi="Arial" w:cs="Arial"/>
          <w:color w:val="000000"/>
          <w:sz w:val="24"/>
          <w:szCs w:val="24"/>
        </w:rPr>
        <w:t>везених вантажів містить інформацію про перевезені вантажі за фактичною вагою вантажу (брутто) за кожну поїздку з урахуванням роботи автопричепів за підтвердженням первинних документів на списання та оприбуткування вантажу, товарно-транспортної накладної а</w:t>
      </w:r>
      <w:r>
        <w:rPr>
          <w:rFonts w:ascii="Arial" w:eastAsia="Arial" w:hAnsi="Arial" w:cs="Arial"/>
          <w:color w:val="000000"/>
          <w:sz w:val="24"/>
          <w:szCs w:val="24"/>
        </w:rPr>
        <w:t>бо розрахунково (як виняток) за класом вантажу та вантажністю.</w:t>
      </w:r>
    </w:p>
    <w:p w:rsidR="00E13309" w:rsidRDefault="00E13309">
      <w:pPr>
        <w:spacing w:after="1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93" w:lineRule="auto"/>
        <w:ind w:right="42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Дані за показником щодо обсягу перевезених вантажів у міжнародному сполученні можуть бути меншими або дорівнювати даним за показником щодо обсягу перевезених вантажів за всіма видами сполученн</w:t>
      </w:r>
      <w:r>
        <w:rPr>
          <w:rFonts w:ascii="Arial" w:eastAsia="Arial" w:hAnsi="Arial" w:cs="Arial"/>
          <w:color w:val="000000"/>
          <w:sz w:val="24"/>
          <w:szCs w:val="24"/>
        </w:rPr>
        <w:t>я.</w:t>
      </w:r>
    </w:p>
    <w:p w:rsidR="00E13309" w:rsidRDefault="00E13309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1" w:lineRule="auto"/>
        <w:ind w:right="50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Дані за показником щодо обсягу перевезених вантажів можуть бути меншими даних за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показником щодо вантажообігу, але в окремих випадках, наприклад, якщо відстань перевезення становить менше 1 км, дані щодо обсягу перевезених вантажів можуть дорівнювати а</w:t>
      </w:r>
      <w:r>
        <w:rPr>
          <w:rFonts w:ascii="Arial" w:eastAsia="Arial" w:hAnsi="Arial" w:cs="Arial"/>
          <w:color w:val="000000"/>
          <w:sz w:val="24"/>
          <w:szCs w:val="24"/>
        </w:rPr>
        <w:t>бо бути більшими показника щодо вантажообігу.</w:t>
      </w:r>
    </w:p>
    <w:p w:rsidR="00E13309" w:rsidRDefault="00E13309">
      <w:pPr>
        <w:spacing w:after="16" w:line="220" w:lineRule="exact"/>
        <w:rPr>
          <w:rFonts w:ascii="Arial" w:eastAsia="Arial" w:hAnsi="Arial" w:cs="Arial"/>
        </w:rPr>
      </w:pPr>
      <w:bookmarkStart w:id="4" w:name="_GoBack"/>
      <w:bookmarkEnd w:id="4"/>
    </w:p>
    <w:p w:rsidR="00E13309" w:rsidRDefault="007539FD">
      <w:pPr>
        <w:widowControl w:val="0"/>
        <w:spacing w:line="286" w:lineRule="auto"/>
        <w:ind w:right="39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Якщо відображено дані за показником щодо обсягу перевезених вантажів, то зазначено дані за показником щодо вантажообігу.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1" w:lineRule="auto"/>
        <w:ind w:right="76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Якщо відображено дані за показником щодо вантажообігу, то зазначено дані за показником </w:t>
      </w:r>
      <w:r>
        <w:rPr>
          <w:rFonts w:ascii="Arial" w:eastAsia="Arial" w:hAnsi="Arial" w:cs="Arial"/>
          <w:color w:val="000000"/>
          <w:sz w:val="24"/>
          <w:szCs w:val="24"/>
        </w:rPr>
        <w:t>щодо обсягу перевезених вантажів, але в окремих випадках, наприклад, якщо одиниця вимірювання показника менша, ніж та, що передбачена формою, дані щодо обсягу перевезених вантажів уміщують “0” або не відображаються.</w:t>
      </w:r>
    </w:p>
    <w:p w:rsidR="00E13309" w:rsidRDefault="00E13309">
      <w:pPr>
        <w:spacing w:after="1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300" w:lineRule="auto"/>
        <w:ind w:right="36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 “Вантажообіг” містить інф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ормацію про вантажообіг (тис.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), визначений як сума вантажообігу за кожен день здійснення вантажних перевезень у звітному періоді.</w:t>
      </w:r>
    </w:p>
    <w:p w:rsidR="00E13309" w:rsidRDefault="00E13309">
      <w:pPr>
        <w:spacing w:after="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Приклади розрахунку вантажообігу за день.</w:t>
      </w:r>
    </w:p>
    <w:p w:rsidR="00E13309" w:rsidRDefault="00E13309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59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Приклад 1. За день було виконано три поїздки одним вантажним автомобілем. Перш</w:t>
      </w:r>
      <w:r>
        <w:rPr>
          <w:rFonts w:ascii="Arial" w:eastAsia="Arial" w:hAnsi="Arial" w:cs="Arial"/>
          <w:color w:val="000000"/>
          <w:sz w:val="24"/>
          <w:szCs w:val="24"/>
        </w:rPr>
        <w:t>а поїздка: перевезено 2 т вантажу на відстань 30 км; друга поїздка: перевезено 3 т вантажу на відстань 50 км; третя поїздка: перевезено 4 т вантажу на відстань 35 км.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37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Обсяг перевезених вантажів за день становить: 2 т + 3 т + 4 т = 9 т. Вантажообіг за день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становить: (2 т х 30 км) + (3 т х 50 км) + (4 т х 35 км) = = 350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або 0,35 тис.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13309" w:rsidRDefault="00E1330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0" w:lineRule="auto"/>
        <w:ind w:right="43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Приклад 2. Одним вантажним автомобілем із пункту A до пункту B було перевезено 20 т вантажу на відстань 85 км. У пункті B відвантажено 5 т вантажу, залишений вантаж </w:t>
      </w:r>
      <w:r>
        <w:rPr>
          <w:rFonts w:ascii="Arial" w:eastAsia="Arial" w:hAnsi="Arial" w:cs="Arial"/>
          <w:color w:val="000000"/>
          <w:sz w:val="24"/>
          <w:szCs w:val="24"/>
        </w:rPr>
        <w:t>(20 т – 5 т = 15 т) перевезено до пункту C на відстань 35 км. У пункті C відвантажено 10 т вантажу, залишений вантаж (15 т – 10 т = 5 т) перевезено до пункту D на відстань 40 км.</w:t>
      </w:r>
    </w:p>
    <w:p w:rsidR="00E13309" w:rsidRDefault="00E13309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38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Обсяг перевезених вантажів за день становить 20 т. Вантажообіг за день стано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вить: (20 т х 85 км) + (15 т х 35 км) + (5 т х 40 км) = 2425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або 2,43 тис.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1" w:lineRule="auto"/>
        <w:ind w:right="616"/>
        <w:rPr>
          <w:rFonts w:ascii="Arial" w:eastAsia="Arial" w:hAnsi="Arial" w:cs="Arial"/>
          <w:color w:val="212121"/>
          <w:sz w:val="24"/>
          <w:szCs w:val="24"/>
        </w:rPr>
      </w:pPr>
      <w:bookmarkStart w:id="5" w:name="_page_16_0"/>
      <w:bookmarkEnd w:id="3"/>
      <w:r>
        <w:rPr>
          <w:rFonts w:ascii="Arial" w:eastAsia="Arial" w:hAnsi="Arial" w:cs="Arial"/>
          <w:color w:val="000000"/>
          <w:sz w:val="24"/>
          <w:szCs w:val="24"/>
        </w:rPr>
        <w:t>3. Показники щодо обсягів перевезених вантажів за видами наводяться згідно із Класифікацією видів вантажів (КВВ), затвердженою наказом Державної слу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жби статистики України від 04 лютого 2014 року № 25 (зі змінами, затвердженими наказом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від 23.12.2022 № 356) (далі – КВВ), яка розміщена на офіційному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вебсайті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(www.ukrstat.gov.ua) у розділі “Методологія та класифікатори” / “Класифікато</w:t>
      </w:r>
      <w:r>
        <w:rPr>
          <w:rFonts w:ascii="Arial" w:eastAsia="Arial" w:hAnsi="Arial" w:cs="Arial"/>
          <w:color w:val="000000"/>
          <w:sz w:val="24"/>
          <w:szCs w:val="24"/>
        </w:rPr>
        <w:t>ри” / “Класифікація видів вантажів (КВВ)”).</w:t>
      </w:r>
    </w:p>
    <w:p w:rsidR="00E13309" w:rsidRDefault="00E13309">
      <w:pPr>
        <w:spacing w:after="15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93" w:lineRule="auto"/>
        <w:ind w:right="94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Сума ваги всіх зазначених видів вантажів за КВВ дорівнює підсумковому значенню обсягу перевезених вантажів та обсягу перевезених вантажів у міжнародному сполученні відповідно.</w:t>
      </w:r>
    </w:p>
    <w:p w:rsidR="00E13309" w:rsidRDefault="00E13309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86" w:lineRule="auto"/>
        <w:ind w:right="98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Якщо відображено дані щодо обсягу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перевезених вантажів та/або вантажообігу, то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відповідно відображено дані щодо назви та коду видів вантажів за КВВ.</w:t>
      </w:r>
    </w:p>
    <w:p w:rsidR="00E13309" w:rsidRDefault="00E133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13309" w:rsidRDefault="007539FD">
      <w:pPr>
        <w:widowControl w:val="0"/>
        <w:spacing w:line="293" w:lineRule="auto"/>
        <w:ind w:right="58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Дані за показником щодо обсягу перевезених вантажів у міжнародному сполученні за видами вантажів за КВВ можуть бути меншими або дорівнювати </w:t>
      </w:r>
      <w:r>
        <w:rPr>
          <w:rFonts w:ascii="Arial" w:eastAsia="Arial" w:hAnsi="Arial" w:cs="Arial"/>
          <w:color w:val="000000"/>
          <w:sz w:val="24"/>
          <w:szCs w:val="24"/>
        </w:rPr>
        <w:t>даним за показником щодо обсягу перевезених вантажів за відповідним видом вантажів за КВВ.</w:t>
      </w:r>
    </w:p>
    <w:p w:rsidR="00E13309" w:rsidRDefault="00E13309">
      <w:pPr>
        <w:spacing w:after="13" w:line="220" w:lineRule="exact"/>
        <w:rPr>
          <w:rFonts w:ascii="Arial" w:eastAsia="Arial" w:hAnsi="Arial" w:cs="Arial"/>
        </w:rPr>
      </w:pPr>
    </w:p>
    <w:p w:rsidR="00E13309" w:rsidRDefault="007539FD">
      <w:pPr>
        <w:widowControl w:val="0"/>
        <w:spacing w:line="295" w:lineRule="auto"/>
        <w:ind w:right="57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Роз’яснення щодо показників форми державного статистичного спостереження № 31-авто (квартальна) “Звіт про перевезення автомобільним транспортом вантажів за видами 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антажів та пасажирів за видами сполучення” від 25 жовтня 2022 року № 19.1.2-12/42-22 </w:t>
      </w:r>
      <w:r>
        <w:rPr>
          <w:rFonts w:ascii="Arial" w:eastAsia="Arial" w:hAnsi="Arial" w:cs="Arial"/>
          <w:color w:val="000000"/>
          <w:sz w:val="24"/>
          <w:szCs w:val="24"/>
        </w:rPr>
        <w:t>є недійсними з 01 лютого 2024 року.</w:t>
      </w:r>
    </w:p>
    <w:p w:rsidR="00E13309" w:rsidRDefault="00E13309">
      <w:pPr>
        <w:spacing w:after="10" w:line="220" w:lineRule="exact"/>
        <w:rPr>
          <w:rFonts w:ascii="Arial" w:eastAsia="Arial" w:hAnsi="Arial" w:cs="Arial"/>
        </w:rPr>
      </w:pPr>
    </w:p>
    <w:p w:rsidR="00E13309" w:rsidRPr="007539FD" w:rsidRDefault="007539FD" w:rsidP="007539FD">
      <w:pPr>
        <w:widowControl w:val="0"/>
        <w:spacing w:line="293" w:lineRule="auto"/>
        <w:ind w:right="4626"/>
        <w:rPr>
          <w:rFonts w:ascii="Arial" w:eastAsia="Arial" w:hAnsi="Arial" w:cs="Arial"/>
          <w:b/>
          <w:bCs/>
          <w:i/>
          <w:i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Директор департаменту короткотермінової статистики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Ірина ПЕТРЕНКО</w:t>
      </w:r>
      <w:bookmarkEnd w:id="5"/>
    </w:p>
    <w:sectPr w:rsidR="00E13309" w:rsidRPr="007539FD" w:rsidSect="007539FD">
      <w:pgSz w:w="12240" w:h="15840"/>
      <w:pgMar w:top="854" w:right="765" w:bottom="851" w:left="11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13309"/>
    <w:rsid w:val="007539FD"/>
    <w:rsid w:val="00E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A8A22-8F44-41B0-8056-5DE2E98F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5883</Words>
  <Characters>3354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2023-12-27T12:29:00Z</dcterms:created>
  <dcterms:modified xsi:type="dcterms:W3CDTF">2023-12-27T12:31:00Z</dcterms:modified>
</cp:coreProperties>
</file>