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1C8" w:rsidRDefault="000E4F35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4"/>
          <w:szCs w:val="24"/>
        </w:rPr>
      </w:pPr>
      <w:bookmarkStart w:id="0" w:name="_page_2_0"/>
      <w:r>
        <w:rPr>
          <w:rFonts w:ascii="Arial" w:eastAsia="Arial" w:hAnsi="Arial" w:cs="Arial"/>
          <w:b/>
          <w:bCs/>
          <w:color w:val="000000"/>
          <w:sz w:val="24"/>
          <w:szCs w:val="24"/>
        </w:rPr>
        <w:t>ДЕРЖАВНА СЛУЖБА СТАТИСТИКИ УКРАЇНИ</w:t>
      </w:r>
    </w:p>
    <w:p w:rsidR="002551C8" w:rsidRDefault="002551C8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РОЗ’ЯСНЕННЯ</w:t>
      </w:r>
    </w:p>
    <w:p w:rsidR="002551C8" w:rsidRDefault="002551C8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від 02.06.2023 р. № 19.1.2-12/16-23</w:t>
      </w:r>
    </w:p>
    <w:p w:rsidR="002551C8" w:rsidRDefault="002551C8">
      <w:pPr>
        <w:spacing w:after="69"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ЗАТВЕРДЖУЮ</w:t>
      </w:r>
    </w:p>
    <w:p w:rsidR="002551C8" w:rsidRDefault="000E4F35">
      <w:pPr>
        <w:widowControl w:val="0"/>
        <w:spacing w:before="54" w:line="286" w:lineRule="auto"/>
        <w:ind w:right="604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Голова Д</w:t>
      </w:r>
      <w:r>
        <w:rPr>
          <w:rFonts w:ascii="Arial" w:eastAsia="Arial" w:hAnsi="Arial" w:cs="Arial"/>
          <w:color w:val="000000"/>
          <w:sz w:val="24"/>
          <w:szCs w:val="24"/>
        </w:rPr>
        <w:t>ержавної служби статистики ________________ Ігор ВЕРНЕР</w:t>
      </w:r>
    </w:p>
    <w:p w:rsidR="002551C8" w:rsidRDefault="000E4F35">
      <w:pPr>
        <w:widowControl w:val="0"/>
        <w:spacing w:before="15" w:line="240" w:lineRule="auto"/>
        <w:ind w:right="-20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02 червня 2023 року</w:t>
      </w:r>
    </w:p>
    <w:p w:rsidR="002551C8" w:rsidRDefault="002551C8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50" w:lineRule="auto"/>
        <w:ind w:right="424"/>
        <w:rPr>
          <w:rFonts w:ascii="Arial" w:eastAsia="Arial" w:hAnsi="Arial" w:cs="Arial"/>
          <w:b/>
          <w:bCs/>
          <w:color w:val="212121"/>
          <w:sz w:val="30"/>
          <w:szCs w:val="30"/>
        </w:rPr>
      </w:pPr>
      <w:r>
        <w:rPr>
          <w:rFonts w:ascii="Arial" w:eastAsia="Arial" w:hAnsi="Arial" w:cs="Arial"/>
          <w:b/>
          <w:bCs/>
          <w:color w:val="000000"/>
          <w:sz w:val="30"/>
          <w:szCs w:val="30"/>
        </w:rPr>
        <w:t>Роз’яснення щодо показників форми державного статистичного спостереження № 5-НО (квартальна) “Звіт про виконання державних контрактів (договорів) на науково-дослідні, дослідно-ко</w:t>
      </w:r>
      <w:r>
        <w:rPr>
          <w:rFonts w:ascii="Arial" w:eastAsia="Arial" w:hAnsi="Arial" w:cs="Arial"/>
          <w:b/>
          <w:bCs/>
          <w:color w:val="000000"/>
          <w:sz w:val="30"/>
          <w:szCs w:val="30"/>
        </w:rPr>
        <w:t xml:space="preserve">нструкторські та інші роботи оборонного призначення за закритими </w:t>
      </w:r>
      <w:proofErr w:type="spellStart"/>
      <w:r>
        <w:rPr>
          <w:rFonts w:ascii="Arial" w:eastAsia="Arial" w:hAnsi="Arial" w:cs="Arial"/>
          <w:b/>
          <w:bCs/>
          <w:color w:val="000000"/>
          <w:sz w:val="30"/>
          <w:szCs w:val="30"/>
        </w:rPr>
        <w:t>закупівлями</w:t>
      </w:r>
      <w:proofErr w:type="spellEnd"/>
      <w:r>
        <w:rPr>
          <w:rFonts w:ascii="Arial" w:eastAsia="Arial" w:hAnsi="Arial" w:cs="Arial"/>
          <w:b/>
          <w:bCs/>
          <w:color w:val="000000"/>
          <w:sz w:val="30"/>
          <w:szCs w:val="30"/>
        </w:rPr>
        <w:t>”</w:t>
      </w:r>
    </w:p>
    <w:p w:rsidR="002551C8" w:rsidRDefault="002551C8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I. Загальні положення</w:t>
      </w:r>
    </w:p>
    <w:p w:rsidR="002551C8" w:rsidRDefault="002551C8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91" w:lineRule="auto"/>
        <w:ind w:right="54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Ці Роз’яснення містять інформацію про показники форми державного статистичного спостереження № 5-НО (квартальна) “Звіт про виконання державних контрак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тів (договорів) на науково-дослідні, дослідно-конструкторські та інші роботи оборонного призначення за закритими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закупівлями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” (далі – форма).</w:t>
      </w:r>
    </w:p>
    <w:p w:rsidR="002551C8" w:rsidRDefault="002551C8">
      <w:pPr>
        <w:spacing w:after="15" w:line="220" w:lineRule="exact"/>
        <w:rPr>
          <w:rFonts w:ascii="Arial" w:eastAsia="Arial" w:hAnsi="Arial" w:cs="Arial"/>
        </w:rPr>
      </w:pPr>
    </w:p>
    <w:p w:rsidR="002551C8" w:rsidRDefault="000E4F35" w:rsidP="000E4F35">
      <w:pPr>
        <w:widowControl w:val="0"/>
        <w:spacing w:line="291" w:lineRule="auto"/>
        <w:ind w:right="62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2. Показники форми вміщують дані щодо виконання державних контрактів (договорів) про закупівлю продукції (робіт,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послуг) оборонного призначення за закритими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закупівлями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відповідно до затверджених щорічною постановою Кабінету Міністрів України оборонних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закупівель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товарів, робіт і послуг оборонного призначення за закритими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закупівлями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(далі – оборонні закупівлі за зак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ритими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закупівлями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 за напрямами: виконання науково-дослідних та дослідно-конструкторських робіт,</w:t>
      </w:r>
      <w:bookmarkStart w:id="1" w:name="_page_10_0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будівництво об’єктів і споруд оборонного та спеціального призначення, створення нових і нарощення наявних виробничих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потужностей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для в</w:t>
      </w:r>
      <w:r>
        <w:rPr>
          <w:rFonts w:ascii="Arial" w:eastAsia="Arial" w:hAnsi="Arial" w:cs="Arial"/>
          <w:color w:val="000000"/>
          <w:sz w:val="24"/>
          <w:szCs w:val="24"/>
        </w:rPr>
        <w:t>иготовлення товарів оборонного призначення.</w:t>
      </w:r>
    </w:p>
    <w:p w:rsidR="002551C8" w:rsidRDefault="002551C8">
      <w:pPr>
        <w:spacing w:after="13" w:line="220" w:lineRule="exact"/>
        <w:rPr>
          <w:rFonts w:ascii="Arial" w:eastAsia="Arial" w:hAnsi="Arial" w:cs="Arial"/>
        </w:rPr>
      </w:pPr>
    </w:p>
    <w:p w:rsidR="002551C8" w:rsidRDefault="000E4F35">
      <w:pPr>
        <w:widowControl w:val="0"/>
        <w:spacing w:line="300" w:lineRule="auto"/>
        <w:ind w:right="704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 Показники форми містять інформацію наростаючим підсумком за період із початку звітного року.</w:t>
      </w:r>
    </w:p>
    <w:p w:rsidR="002551C8" w:rsidRDefault="002551C8">
      <w:pPr>
        <w:spacing w:after="5" w:line="220" w:lineRule="exact"/>
        <w:rPr>
          <w:rFonts w:ascii="Arial" w:eastAsia="Arial" w:hAnsi="Arial" w:cs="Arial"/>
        </w:rPr>
      </w:pPr>
    </w:p>
    <w:p w:rsidR="002551C8" w:rsidRDefault="000E4F35">
      <w:pPr>
        <w:widowControl w:val="0"/>
        <w:spacing w:line="293" w:lineRule="auto"/>
        <w:ind w:right="793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4. Форма не вміщує інформацію щодо виконання державних контрактів (договорів) оборонних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закупівель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за закритими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</w:t>
      </w:r>
      <w:r>
        <w:rPr>
          <w:rFonts w:ascii="Arial" w:eastAsia="Arial" w:hAnsi="Arial" w:cs="Arial"/>
          <w:color w:val="000000"/>
          <w:sz w:val="24"/>
          <w:szCs w:val="24"/>
        </w:rPr>
        <w:t>купівлями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за напрямами: закупівля, ремонт та модернізація озброєння, військової та спеціальної техніки.</w:t>
      </w:r>
    </w:p>
    <w:p w:rsidR="002551C8" w:rsidRDefault="002551C8">
      <w:pPr>
        <w:spacing w:after="12" w:line="220" w:lineRule="exact"/>
        <w:rPr>
          <w:rFonts w:ascii="Arial" w:eastAsia="Arial" w:hAnsi="Arial" w:cs="Arial"/>
        </w:rPr>
      </w:pPr>
    </w:p>
    <w:p w:rsidR="002551C8" w:rsidRDefault="000E4F35">
      <w:pPr>
        <w:widowControl w:val="0"/>
        <w:spacing w:line="291" w:lineRule="auto"/>
        <w:ind w:right="37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5. Показники форми ґрунтуються на даних щорічної постанови Кабінету Міністрів України щодо оборонних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закупівель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товарів, робіт і послуг оборонного приз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начення за закритими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закупівлями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укладених державних контрактів (договорів), первинних документів, які фіксують факт здійснення господарської операції. Форма відображає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показники, сформовані на підставі національних положень (стандартів) бухгалтерського о</w:t>
      </w:r>
      <w:r>
        <w:rPr>
          <w:rFonts w:ascii="Arial" w:eastAsia="Arial" w:hAnsi="Arial" w:cs="Arial"/>
          <w:color w:val="000000"/>
          <w:sz w:val="24"/>
          <w:szCs w:val="24"/>
        </w:rPr>
        <w:t>бліку в державному секторі, затверджених відповідними нормативно-правовими актами Міністерства фінансів України.</w:t>
      </w:r>
    </w:p>
    <w:p w:rsidR="002551C8" w:rsidRDefault="002551C8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86" w:lineRule="auto"/>
        <w:ind w:right="496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6. Значення показників форми (одиниця вимірювання – тисяча гривень) мають формат представлення в числах із двома десятковими знаками (після ко</w:t>
      </w:r>
      <w:r>
        <w:rPr>
          <w:rFonts w:ascii="Arial" w:eastAsia="Arial" w:hAnsi="Arial" w:cs="Arial"/>
          <w:color w:val="000000"/>
          <w:sz w:val="24"/>
          <w:szCs w:val="24"/>
        </w:rPr>
        <w:t>ми).</w:t>
      </w:r>
    </w:p>
    <w:p w:rsidR="002551C8" w:rsidRDefault="002551C8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86" w:lineRule="auto"/>
        <w:ind w:right="477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7. У випадку відсутності даних за формою в блоці “Інформація щодо відсутності даних” проставляється позначка “V” та зазначається одна з наведених на бланку причин відсутності даних.</w:t>
      </w:r>
    </w:p>
    <w:p w:rsidR="002551C8" w:rsidRDefault="002551C8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91" w:lineRule="auto"/>
        <w:ind w:right="719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8. Бланк форми передбачає місце для грифу секретності, який визнача</w:t>
      </w:r>
      <w:r>
        <w:rPr>
          <w:rFonts w:ascii="Arial" w:eastAsia="Arial" w:hAnsi="Arial" w:cs="Arial"/>
          <w:color w:val="000000"/>
          <w:sz w:val="24"/>
          <w:szCs w:val="24"/>
        </w:rPr>
        <w:t>ється і проставляється відповідно до вимог чинного законодавства. Інформація надається в електронній формі на оптичних дисках CD/DVD R/RW з дотриманням вимог нормативно-правових актів щодо охорони державної таємниці.</w:t>
      </w:r>
    </w:p>
    <w:p w:rsidR="002551C8" w:rsidRDefault="002551C8">
      <w:pPr>
        <w:spacing w:after="42"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212121"/>
          <w:sz w:val="27"/>
          <w:szCs w:val="27"/>
        </w:rPr>
      </w:pPr>
      <w:r>
        <w:rPr>
          <w:rFonts w:ascii="Arial" w:eastAsia="Arial" w:hAnsi="Arial" w:cs="Arial"/>
          <w:b/>
          <w:bCs/>
          <w:color w:val="000000"/>
          <w:sz w:val="27"/>
          <w:szCs w:val="27"/>
        </w:rPr>
        <w:t>II. Показники форми</w:t>
      </w:r>
    </w:p>
    <w:p w:rsidR="002551C8" w:rsidRDefault="002551C8">
      <w:pPr>
        <w:spacing w:after="18"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90" w:lineRule="auto"/>
        <w:ind w:right="451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1. Показники форм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вміщують інформацію про виконання державних контрактів (договорів) оборонних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закупівель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за закритими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закупівлями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щодо науково-дослідних та дослідно-конструкторських робіт, будівництва об’єктів і споруд оборонного та спеціального призначення, створення но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вих і нарощення наявних виробничих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потужностей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для виготовлення товарів оборонного призначення (із зазначенням порядкового номера робіт (послуг) відповідно до плану оборонних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закупівель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за закритими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закупівлями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шифру, найменування роботи (послуги) (етапу,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складової частини)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а напрямами оборонних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закупівель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).</w:t>
      </w:r>
    </w:p>
    <w:p w:rsidR="002551C8" w:rsidRDefault="002551C8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91" w:lineRule="auto"/>
        <w:ind w:right="383"/>
        <w:rPr>
          <w:rFonts w:ascii="Arial" w:eastAsia="Arial" w:hAnsi="Arial" w:cs="Arial"/>
          <w:color w:val="212121"/>
          <w:sz w:val="24"/>
          <w:szCs w:val="24"/>
        </w:rPr>
      </w:pPr>
      <w:bookmarkStart w:id="2" w:name="_page_12_0"/>
      <w:bookmarkEnd w:id="1"/>
      <w:r>
        <w:rPr>
          <w:rFonts w:ascii="Arial" w:eastAsia="Arial" w:hAnsi="Arial" w:cs="Arial"/>
          <w:color w:val="000000"/>
          <w:sz w:val="24"/>
          <w:szCs w:val="24"/>
        </w:rPr>
        <w:t>2. Показник “Вартість робіт за укладеними контрактами (договорами) на звітний рік” містить дані щодо вартості робіт (послуг) за укладеними державними контрактами (договорами)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(фінансовими зобов’язаннями) оборонних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закупівель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за закритими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закупівлями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у звітному році. Якщо контракт (договір) передбачає виконання робіт (послуг) протягом декількох років, то показник містить обсяг тієї частини роботи (послуги), яку планується викон</w:t>
      </w:r>
      <w:r>
        <w:rPr>
          <w:rFonts w:ascii="Arial" w:eastAsia="Arial" w:hAnsi="Arial" w:cs="Arial"/>
          <w:color w:val="000000"/>
          <w:sz w:val="24"/>
          <w:szCs w:val="24"/>
        </w:rPr>
        <w:t>ати у звітному році. Показник не містить вартість роботи (послуги), на яку був укладений контракт (договір) у минулих роках.</w:t>
      </w:r>
    </w:p>
    <w:p w:rsidR="002551C8" w:rsidRDefault="002551C8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:rsidR="002551C8" w:rsidRDefault="000E4F35">
      <w:pPr>
        <w:widowControl w:val="0"/>
        <w:spacing w:line="291" w:lineRule="auto"/>
        <w:ind w:right="86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3. Показник “Обсяг фінансування за звітний період” містить інформацію про обсяги фінансування укладених державних контрактів (дого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ворів) оборонних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закупівель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за закритими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закупівлями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за звітний період, а саме щодо коштів, перерахованих на виконання робіт (послуг).</w:t>
      </w:r>
    </w:p>
    <w:p w:rsidR="002551C8" w:rsidRDefault="002551C8">
      <w:pPr>
        <w:spacing w:after="15" w:line="220" w:lineRule="exact"/>
        <w:rPr>
          <w:rFonts w:ascii="Arial" w:eastAsia="Arial" w:hAnsi="Arial" w:cs="Arial"/>
        </w:rPr>
      </w:pPr>
    </w:p>
    <w:p w:rsidR="002551C8" w:rsidRDefault="000E4F35">
      <w:pPr>
        <w:widowControl w:val="0"/>
        <w:spacing w:line="293" w:lineRule="auto"/>
        <w:ind w:right="508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4. Показник “Обсяг прийнятих робіт за звітний період” містить інформацію про обсяг прийнятих робіт (послуг) за укладеним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державними контрактами (договорами) оборонних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закупівель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за закритими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закупівлями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за актом приймання за звітний період.</w:t>
      </w:r>
    </w:p>
    <w:p w:rsidR="002551C8" w:rsidRDefault="002551C8">
      <w:pPr>
        <w:spacing w:after="13" w:line="220" w:lineRule="exact"/>
        <w:rPr>
          <w:rFonts w:ascii="Arial" w:eastAsia="Arial" w:hAnsi="Arial" w:cs="Arial"/>
        </w:rPr>
      </w:pPr>
    </w:p>
    <w:p w:rsidR="002551C8" w:rsidRDefault="000E4F35">
      <w:pPr>
        <w:widowControl w:val="0"/>
        <w:spacing w:line="291" w:lineRule="auto"/>
        <w:ind w:right="352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lastRenderedPageBreak/>
        <w:t>Роз’яснення щодо показників форми державного статистичного спостереження № 5-НО (зведена) (квартальна) “Звіт про виконання державного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оборонного замовлення на науково-дослідні й дослідно-конструкторські роботи та роботи за іншими напрямами” від 27 червня 2022 року № 19.1.2-12/7-22 </w:t>
      </w:r>
      <w:r>
        <w:rPr>
          <w:rFonts w:ascii="Arial" w:eastAsia="Arial" w:hAnsi="Arial" w:cs="Arial"/>
          <w:color w:val="000000"/>
          <w:sz w:val="24"/>
          <w:szCs w:val="24"/>
        </w:rPr>
        <w:t>та щодо форми державного статистичного спостереження № 5-НО (наука/оборона) (квартальна) “Звіт про виконанн</w:t>
      </w:r>
      <w:r>
        <w:rPr>
          <w:rFonts w:ascii="Arial" w:eastAsia="Arial" w:hAnsi="Arial" w:cs="Arial"/>
          <w:color w:val="000000"/>
          <w:sz w:val="24"/>
          <w:szCs w:val="24"/>
        </w:rPr>
        <w:t>я державного оборонного замовлення на науково-дослідні й дослідно-конструкторські роботи та роботи за іншими напрямами” від 09 липня 2018 року № 17.4-12/24 є недійсними з 01 квітня 2024 року.</w:t>
      </w:r>
    </w:p>
    <w:p w:rsidR="002551C8" w:rsidRDefault="002551C8">
      <w:pPr>
        <w:spacing w:after="9" w:line="240" w:lineRule="exact"/>
        <w:rPr>
          <w:rFonts w:ascii="Arial" w:eastAsia="Arial" w:hAnsi="Arial" w:cs="Arial"/>
          <w:sz w:val="24"/>
          <w:szCs w:val="24"/>
        </w:rPr>
      </w:pPr>
    </w:p>
    <w:p w:rsidR="002551C8" w:rsidRPr="000E4F35" w:rsidRDefault="000E4F35" w:rsidP="000E4F35">
      <w:pPr>
        <w:widowControl w:val="0"/>
        <w:spacing w:line="291" w:lineRule="auto"/>
        <w:ind w:right="7084"/>
        <w:rPr>
          <w:rFonts w:ascii="Arial" w:eastAsia="Arial" w:hAnsi="Arial" w:cs="Arial"/>
          <w:b/>
          <w:bCs/>
          <w:i/>
          <w:iCs/>
          <w:color w:val="212121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Директор департаменту короткотермінової статистики </w:t>
      </w:r>
      <w:proofErr w:type="spellStart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Держстату</w:t>
      </w:r>
      <w:proofErr w:type="spellEnd"/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 xml:space="preserve"> Ір</w:t>
      </w:r>
      <w:r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</w:rPr>
        <w:t>ина ПЕТРЕНКО</w:t>
      </w:r>
      <w:bookmarkStart w:id="3" w:name="_GoBack"/>
      <w:bookmarkEnd w:id="2"/>
      <w:bookmarkEnd w:id="3"/>
    </w:p>
    <w:sectPr w:rsidR="002551C8" w:rsidRPr="000E4F35" w:rsidSect="000E4F35">
      <w:pgSz w:w="12240" w:h="15840"/>
      <w:pgMar w:top="854" w:right="765" w:bottom="851" w:left="117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551C8"/>
    <w:rsid w:val="000E4F35"/>
    <w:rsid w:val="0025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C0883-21AF-4E43-975A-3CFDF957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3303</Words>
  <Characters>1884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2023-12-26T16:23:00Z</dcterms:created>
  <dcterms:modified xsi:type="dcterms:W3CDTF">2023-12-26T16:24:00Z</dcterms:modified>
</cp:coreProperties>
</file>