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bookmarkStart w:id="0" w:name="_page_2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ДЕРЖАВНА СЛУЖБА СТАТИСТИКИ УКРАЇНИ</w:t>
      </w:r>
    </w:p>
    <w:p w:rsidR="00A41D80" w:rsidRDefault="00A41D80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РОЗ’ЯСНЕННЯ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від 07.09.2023 р. № 19.1.2-12/22-23</w:t>
      </w:r>
    </w:p>
    <w:p w:rsidR="00A41D80" w:rsidRDefault="00A41D80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ЗАТВЕРДЖУЮ</w:t>
      </w:r>
    </w:p>
    <w:p w:rsidR="00A41D80" w:rsidRDefault="00537792">
      <w:pPr>
        <w:widowControl w:val="0"/>
        <w:spacing w:before="54" w:line="299" w:lineRule="auto"/>
        <w:ind w:right="60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Голова Державної служби статистики _________________ Ігор ВЕРНЕР</w:t>
      </w: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07 вересня 2</w:t>
      </w:r>
      <w:r>
        <w:rPr>
          <w:rFonts w:ascii="Arial" w:eastAsia="Arial" w:hAnsi="Arial" w:cs="Arial"/>
          <w:color w:val="000000"/>
          <w:sz w:val="24"/>
          <w:szCs w:val="24"/>
        </w:rPr>
        <w:t>023 року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50" w:lineRule="auto"/>
        <w:ind w:right="590"/>
        <w:rPr>
          <w:rFonts w:ascii="Arial" w:eastAsia="Arial" w:hAnsi="Arial" w:cs="Arial"/>
          <w:b/>
          <w:bCs/>
          <w:color w:val="212121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>Роз’яснення щодо показників форми державного статистичного спостереження № 51-авто (місячна) “Звіт про перевезення вантажів автомобільним транспортом”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I. Загальні положення</w:t>
      </w:r>
    </w:p>
    <w:p w:rsidR="00A41D80" w:rsidRDefault="00A41D80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93" w:lineRule="auto"/>
        <w:ind w:right="5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Ці Роз’яснення містять інформацію про показники форми державного с</w:t>
      </w:r>
      <w:r>
        <w:rPr>
          <w:rFonts w:ascii="Arial" w:eastAsia="Arial" w:hAnsi="Arial" w:cs="Arial"/>
          <w:color w:val="000000"/>
          <w:sz w:val="24"/>
          <w:szCs w:val="24"/>
        </w:rPr>
        <w:t>татистичного спостереження № 51-авто (місячна) “Звіт про перевезення вантажів автомобільним транспортом” (далі – форма).</w:t>
      </w:r>
    </w:p>
    <w:p w:rsidR="00A41D80" w:rsidRDefault="00A41D80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Показники форми характеризують:</w:t>
      </w:r>
    </w:p>
    <w:p w:rsidR="00A41D80" w:rsidRDefault="00A41D80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обсяг перевезених вантажів автомобільним транспортом;</w:t>
      </w:r>
    </w:p>
    <w:p w:rsidR="00A41D80" w:rsidRDefault="00A41D80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вантажообіг автомобільного транспорту.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91" w:lineRule="auto"/>
        <w:ind w:right="39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</w:t>
      </w:r>
      <w:r>
        <w:rPr>
          <w:rFonts w:ascii="Arial" w:eastAsia="Arial" w:hAnsi="Arial" w:cs="Arial"/>
          <w:color w:val="000000"/>
          <w:sz w:val="24"/>
          <w:szCs w:val="24"/>
        </w:rPr>
        <w:t>Показники форми не містять дані про роботу рухомого складу для власних потреб юридичних осіб та їх відокремлених підрозділів і роботу власного рухомого складу, який передано в оренду (без водія) іншим юридичним та фізичним особам і документальний облік роб</w:t>
      </w:r>
      <w:r>
        <w:rPr>
          <w:rFonts w:ascii="Arial" w:eastAsia="Arial" w:hAnsi="Arial" w:cs="Arial"/>
          <w:color w:val="000000"/>
          <w:sz w:val="24"/>
          <w:szCs w:val="24"/>
        </w:rPr>
        <w:t>оти яких вони виконують.</w:t>
      </w:r>
    </w:p>
    <w:p w:rsidR="00A41D80" w:rsidRDefault="00A41D80">
      <w:pPr>
        <w:spacing w:after="16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300" w:lineRule="auto"/>
        <w:ind w:right="156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Показники форми містять дані за кожний місяць звітного року окремо та не включають величину коригування за попередні місяці.</w:t>
      </w:r>
    </w:p>
    <w:p w:rsidR="00A41D80" w:rsidRDefault="00A41D80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1023"/>
        <w:rPr>
          <w:rFonts w:ascii="Arial" w:eastAsia="Arial" w:hAnsi="Arial" w:cs="Arial"/>
          <w:color w:val="212121"/>
          <w:sz w:val="24"/>
          <w:szCs w:val="24"/>
        </w:rPr>
      </w:pPr>
      <w:bookmarkStart w:id="1" w:name="_page_10_0"/>
      <w:bookmarkEnd w:id="0"/>
      <w:r>
        <w:rPr>
          <w:rFonts w:ascii="Arial" w:eastAsia="Arial" w:hAnsi="Arial" w:cs="Arial"/>
          <w:color w:val="000000"/>
          <w:sz w:val="24"/>
          <w:szCs w:val="24"/>
        </w:rPr>
        <w:t>5. У формі відображено показники, сформовані з використанням даних первинних д</w:t>
      </w:r>
      <w:r>
        <w:rPr>
          <w:rFonts w:ascii="Arial" w:eastAsia="Arial" w:hAnsi="Arial" w:cs="Arial"/>
          <w:color w:val="000000"/>
          <w:sz w:val="24"/>
          <w:szCs w:val="24"/>
        </w:rPr>
        <w:t>окументів, зокрема: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123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переміщення високооктанових кисневмісних домішок (форма № 1-ТН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вкд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));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89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переміщення спирту етилового (форма № 1-ТН (спирт));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300" w:lineRule="auto"/>
        <w:ind w:right="66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переміщ</w:t>
      </w:r>
      <w:r>
        <w:rPr>
          <w:rFonts w:ascii="Arial" w:eastAsia="Arial" w:hAnsi="Arial" w:cs="Arial"/>
          <w:color w:val="000000"/>
          <w:sz w:val="24"/>
          <w:szCs w:val="24"/>
        </w:rPr>
        <w:t>ення алкогольних напоїв (форма № 1-ТН (алкогольні напої));</w:t>
      </w:r>
    </w:p>
    <w:p w:rsidR="00A41D80" w:rsidRDefault="00A41D80">
      <w:pPr>
        <w:spacing w:after="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300" w:lineRule="auto"/>
        <w:ind w:right="42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спеціалізованої т</w:t>
      </w:r>
      <w:bookmarkStart w:id="2" w:name="_GoBack"/>
      <w:bookmarkEnd w:id="2"/>
      <w:r>
        <w:rPr>
          <w:rFonts w:ascii="Arial" w:eastAsia="Arial" w:hAnsi="Arial" w:cs="Arial"/>
          <w:color w:val="000000"/>
          <w:sz w:val="24"/>
          <w:szCs w:val="24"/>
        </w:rPr>
        <w:t>оварної накладної на перевезення молочної сировини (форма № 1-ТН (МС));</w:t>
      </w:r>
    </w:p>
    <w:p w:rsidR="00A41D80" w:rsidRDefault="00A41D80">
      <w:pPr>
        <w:spacing w:after="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86" w:lineRule="auto"/>
        <w:ind w:right="83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на відпуск хлібобулочних виробів (форма № 1-ТТН (хліб));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68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</w:t>
      </w:r>
      <w:r>
        <w:rPr>
          <w:rFonts w:ascii="Arial" w:eastAsia="Arial" w:hAnsi="Arial" w:cs="Arial"/>
          <w:color w:val="000000"/>
          <w:sz w:val="24"/>
          <w:szCs w:val="24"/>
        </w:rPr>
        <w:t>ної накладної на відпуск нафтопродуктів (нафти) (форма № 1-ТТН (нафтопродукт));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300" w:lineRule="auto"/>
        <w:ind w:right="3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товарно-транспортної накладної при перевезенні деревини автомобільним транспортом (форма № 1-ТТН-ліс);</w:t>
      </w:r>
    </w:p>
    <w:p w:rsidR="00A41D80" w:rsidRDefault="00A41D80">
      <w:pPr>
        <w:spacing w:after="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міжнародної автомобільної накладної CMR;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58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примірного договору на переве</w:t>
      </w:r>
      <w:r>
        <w:rPr>
          <w:rFonts w:ascii="Arial" w:eastAsia="Arial" w:hAnsi="Arial" w:cs="Arial"/>
          <w:color w:val="000000"/>
          <w:sz w:val="24"/>
          <w:szCs w:val="24"/>
        </w:rPr>
        <w:t>зення вантажів автомобільним транспортом у міському та міжміському сполученні;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плану перевезень вантажів автомобільним транспортом;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43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плану роботи з перевезення вантажів автомобільним транспортом на умовах оплати за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автомобілегодини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159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плану перевезень вант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ажів автомобільним транспортом на умовах оплати за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автомобілегодини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300" w:lineRule="auto"/>
        <w:ind w:right="68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Значення показників мають формат представлення в числах із двома десятковими знаками після коми.</w:t>
      </w:r>
    </w:p>
    <w:p w:rsidR="00A41D80" w:rsidRDefault="00A41D80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II. Інформація щодо відсутності даних</w:t>
      </w:r>
    </w:p>
    <w:p w:rsidR="00A41D80" w:rsidRDefault="00A41D80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 випадку відсутності даних у формі може зазна</w:t>
      </w:r>
      <w:r>
        <w:rPr>
          <w:rFonts w:ascii="Arial" w:eastAsia="Arial" w:hAnsi="Arial" w:cs="Arial"/>
          <w:color w:val="000000"/>
          <w:sz w:val="24"/>
          <w:szCs w:val="24"/>
        </w:rPr>
        <w:t>чатися одна з нижченаведених причин: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44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 здійснюється вид економічної діяльності, який спостерігається (може бути у випадках відсутності діяльності за видом економічної діяльності, який спостерігається);</w:t>
      </w:r>
    </w:p>
    <w:p w:rsidR="00537792" w:rsidRDefault="00537792">
      <w:pPr>
        <w:widowControl w:val="0"/>
        <w:spacing w:line="291" w:lineRule="auto"/>
        <w:ind w:right="442"/>
        <w:rPr>
          <w:rFonts w:ascii="Arial" w:eastAsia="Arial" w:hAnsi="Arial" w:cs="Arial"/>
          <w:color w:val="000000"/>
          <w:sz w:val="24"/>
          <w:szCs w:val="24"/>
        </w:rPr>
      </w:pPr>
      <w:bookmarkStart w:id="3" w:name="_page_12_0"/>
      <w:bookmarkEnd w:id="1"/>
    </w:p>
    <w:p w:rsidR="00A41D80" w:rsidRDefault="00537792">
      <w:pPr>
        <w:widowControl w:val="0"/>
        <w:spacing w:line="291" w:lineRule="auto"/>
        <w:ind w:right="44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одиниця припинена або перебув</w:t>
      </w:r>
      <w:r>
        <w:rPr>
          <w:rFonts w:ascii="Arial" w:eastAsia="Arial" w:hAnsi="Arial" w:cs="Arial"/>
          <w:color w:val="000000"/>
          <w:sz w:val="24"/>
          <w:szCs w:val="24"/>
        </w:rPr>
        <w:t>ає в стадії припинення (може бути у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</w:t>
      </w:r>
      <w:r>
        <w:rPr>
          <w:rFonts w:ascii="Arial" w:eastAsia="Arial" w:hAnsi="Arial" w:cs="Arial"/>
          <w:color w:val="000000"/>
          <w:sz w:val="24"/>
          <w:szCs w:val="24"/>
        </w:rPr>
        <w:t>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</w:t>
      </w:r>
      <w:r>
        <w:rPr>
          <w:rFonts w:ascii="Arial" w:eastAsia="Arial" w:hAnsi="Arial" w:cs="Arial"/>
          <w:color w:val="000000"/>
          <w:sz w:val="24"/>
          <w:szCs w:val="24"/>
        </w:rPr>
        <w:t>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е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пов’язана з реорганізацією);</w:t>
      </w:r>
    </w:p>
    <w:p w:rsidR="00A41D80" w:rsidRDefault="00A41D80">
      <w:pPr>
        <w:spacing w:after="1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300" w:lineRule="auto"/>
        <w:ind w:right="108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здійснюється сезонна діяльність або економічна діяльність, пов’язана з тривалим циклом виробництва (може бути в разі здійснення сезонної діяльності);</w:t>
      </w:r>
    </w:p>
    <w:p w:rsidR="00A41D80" w:rsidRDefault="00A41D80">
      <w:pPr>
        <w:spacing w:after="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93" w:lineRule="auto"/>
        <w:ind w:right="89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тимчасово призупинено економічну діяльність через економічні чинники/кара</w:t>
      </w:r>
      <w:r>
        <w:rPr>
          <w:rFonts w:ascii="Arial" w:eastAsia="Arial" w:hAnsi="Arial" w:cs="Arial"/>
          <w:color w:val="000000"/>
          <w:sz w:val="24"/>
          <w:szCs w:val="24"/>
        </w:rPr>
        <w:t>нтинні обмеження (може бути в разі тимчасового призупинення економічної діяльності в цілому по одиниці через економічні чинники, карантинні обмеження);</w:t>
      </w:r>
    </w:p>
    <w:p w:rsidR="00A41D80" w:rsidRDefault="00A41D80">
      <w:pPr>
        <w:spacing w:after="12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91" w:lineRule="auto"/>
        <w:ind w:right="70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проведено чи проводиться реорганізація або передано виробничі фактори іншій одиниці (може бути у випадк</w:t>
      </w:r>
      <w:r>
        <w:rPr>
          <w:rFonts w:ascii="Arial" w:eastAsia="Arial" w:hAnsi="Arial" w:cs="Arial"/>
          <w:color w:val="000000"/>
          <w:sz w:val="24"/>
          <w:szCs w:val="24"/>
        </w:rPr>
        <w:t>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реорганізації; державна реєстрація припинення юридичної особи у зв’язку з реорганізацією; продаж/надання в оренду (повністю або частково виробничих факторів або передачі права управління виробничими факторами іншій одиниці);</w:t>
      </w:r>
    </w:p>
    <w:p w:rsidR="00A41D80" w:rsidRDefault="00A41D80">
      <w:pPr>
        <w:spacing w:after="1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93" w:lineRule="auto"/>
        <w:ind w:right="46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відсутнє явище, яке спостеріг</w:t>
      </w:r>
      <w:r>
        <w:rPr>
          <w:rFonts w:ascii="Arial" w:eastAsia="Arial" w:hAnsi="Arial" w:cs="Arial"/>
          <w:color w:val="000000"/>
          <w:sz w:val="24"/>
          <w:szCs w:val="24"/>
        </w:rPr>
        <w:t>ається (може бути в разі відсутності явища, яке спостерігається; відсутності специфічного об’єкта спостереження (певних матеріально-технічних ресурсів)).</w:t>
      </w:r>
    </w:p>
    <w:p w:rsidR="00A41D80" w:rsidRDefault="00A41D80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III. Показники щодо перевезення вантажів автомобільним транспортом</w:t>
      </w:r>
    </w:p>
    <w:p w:rsidR="00A41D80" w:rsidRDefault="00A41D80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 w:rsidP="00537792">
      <w:pPr>
        <w:widowControl w:val="0"/>
        <w:spacing w:line="291" w:lineRule="auto"/>
        <w:ind w:right="64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Показник “Обсяг перевезених в</w:t>
      </w:r>
      <w:r>
        <w:rPr>
          <w:rFonts w:ascii="Arial" w:eastAsia="Arial" w:hAnsi="Arial" w:cs="Arial"/>
          <w:color w:val="000000"/>
          <w:sz w:val="24"/>
          <w:szCs w:val="24"/>
        </w:rPr>
        <w:t>антажів” містить інформацію про обсяг перевезених вантажів (тис. т) вантажними автомобілями, а також пікапами та фургонами на шасі легкових автомобілів та на автопричепах, у тому числі в міжнародному сполученні (вивезення з країни, ввезення в країну, перев</w:t>
      </w:r>
      <w:r>
        <w:rPr>
          <w:rFonts w:ascii="Arial" w:eastAsia="Arial" w:hAnsi="Arial" w:cs="Arial"/>
          <w:color w:val="000000"/>
          <w:sz w:val="24"/>
          <w:szCs w:val="24"/>
        </w:rPr>
        <w:t>езення вантажів за кордоном), на власному й орендованому транспортному засобі, на комерційній основі (тобто за плату), за договорами і разовими замовленнями, які сплачені через філії та представництва банку, при цьому інформація щодо підпорядкування підпри</w:t>
      </w:r>
      <w:r>
        <w:rPr>
          <w:rFonts w:ascii="Arial" w:eastAsia="Arial" w:hAnsi="Arial" w:cs="Arial"/>
          <w:color w:val="000000"/>
          <w:sz w:val="24"/>
          <w:szCs w:val="24"/>
        </w:rPr>
        <w:t>ємства та його клієнта не має значення. Показник обсягу перевезених вантажів містить інформацію про перевезені вантажі за фактичною вагою вантажу (брутто) за кожну</w:t>
      </w:r>
      <w:bookmarkStart w:id="4" w:name="_page_14_0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поїздку з урахуванням роботи автопричепів за підтвердженням первинних </w:t>
      </w:r>
      <w:r>
        <w:rPr>
          <w:rFonts w:ascii="Arial" w:eastAsia="Arial" w:hAnsi="Arial" w:cs="Arial"/>
          <w:color w:val="000000"/>
          <w:sz w:val="24"/>
          <w:szCs w:val="24"/>
        </w:rPr>
        <w:t>документів на списання та оприбуткування вантажу, товарно-транспортної накладної або розрахунково (як виняток) за класом вантажу та вантажністю.</w:t>
      </w:r>
    </w:p>
    <w:p w:rsidR="00A41D80" w:rsidRDefault="00A41D80">
      <w:pPr>
        <w:spacing w:after="13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300" w:lineRule="auto"/>
        <w:ind w:right="39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Якщо відображено дані за показником щодо обсягу перевезених вантажів, то зазначено дані за показником щодо ван</w:t>
      </w:r>
      <w:r>
        <w:rPr>
          <w:rFonts w:ascii="Arial" w:eastAsia="Arial" w:hAnsi="Arial" w:cs="Arial"/>
          <w:color w:val="000000"/>
          <w:sz w:val="24"/>
          <w:szCs w:val="24"/>
        </w:rPr>
        <w:t>тажообігу.</w:t>
      </w:r>
    </w:p>
    <w:p w:rsidR="00A41D80" w:rsidRDefault="00A41D80">
      <w:pPr>
        <w:spacing w:after="5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91" w:lineRule="auto"/>
        <w:ind w:right="76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Якщо відображено дані за показником щодо вантажообігу, то зазначено дані за показником щодо обсягу перевезених вантажів, але в окремих випадках, наприклад, якщо одиниця виміру показника менша, ніж та, що передбачена формою, дані щодо обсягу пер</w:t>
      </w:r>
      <w:r>
        <w:rPr>
          <w:rFonts w:ascii="Arial" w:eastAsia="Arial" w:hAnsi="Arial" w:cs="Arial"/>
          <w:color w:val="000000"/>
          <w:sz w:val="24"/>
          <w:szCs w:val="24"/>
        </w:rPr>
        <w:t>евезених вантажів уміщують “0” або не відображаються.</w:t>
      </w:r>
    </w:p>
    <w:p w:rsidR="00A41D80" w:rsidRDefault="00A41D80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36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2. Показник “Вантажообіг” містить інформацію про вантажообіг (тис.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), визначений як сума вантажообігу за кожен день здійснення вантажних перевезень у звітному періоді.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Приклади розрахунку вантажооб</w:t>
      </w:r>
      <w:r>
        <w:rPr>
          <w:rFonts w:ascii="Arial" w:eastAsia="Arial" w:hAnsi="Arial" w:cs="Arial"/>
          <w:color w:val="000000"/>
          <w:sz w:val="24"/>
          <w:szCs w:val="24"/>
        </w:rPr>
        <w:t>ігу за день.</w:t>
      </w:r>
    </w:p>
    <w:p w:rsidR="00A41D80" w:rsidRDefault="00A41D80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59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Приклад 1. За день було виконано три поїздки одним вантажним автомобілем. Перша поїздка: перевезено 2 т вантажу на відстань 30 км; друга поїздка: перевезено 3 т вантажу на відстань 50 км; третя поїздка: перевезено 4 т вантажу на відстань 35 к</w:t>
      </w:r>
      <w:r>
        <w:rPr>
          <w:rFonts w:ascii="Arial" w:eastAsia="Arial" w:hAnsi="Arial" w:cs="Arial"/>
          <w:color w:val="000000"/>
          <w:sz w:val="24"/>
          <w:szCs w:val="24"/>
        </w:rPr>
        <w:t>м.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44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Обсяг перевезених вантажів за день становить 2 т + 3 т + 4 т = 9 т. Вантажообіг за день становить: (2 т х 30 км) + (3 т х 50 км) + (4 т х 35 км) = = 350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або 0,35 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41D80" w:rsidRDefault="00A41D8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90" w:lineRule="auto"/>
        <w:ind w:right="43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Приклад 2. Одним вантажним автомобілем із пункту A до пункту B було перевез</w:t>
      </w:r>
      <w:r>
        <w:rPr>
          <w:rFonts w:ascii="Arial" w:eastAsia="Arial" w:hAnsi="Arial" w:cs="Arial"/>
          <w:color w:val="000000"/>
          <w:sz w:val="24"/>
          <w:szCs w:val="24"/>
        </w:rPr>
        <w:t>ено 20 т вантажу на відстань 85 км. У пункті B відвантажено 5 т вантажу, залишений вантаж (20 т – 5 т = 15 т) перевезено до пункту C на відстань 35 км. У пункті C відвантажено 10 т вантажу, залишений вантаж (15 т – 10 т = 5 т) перевезено до пункту D на від</w:t>
      </w:r>
      <w:r>
        <w:rPr>
          <w:rFonts w:ascii="Arial" w:eastAsia="Arial" w:hAnsi="Arial" w:cs="Arial"/>
          <w:color w:val="000000"/>
          <w:sz w:val="24"/>
          <w:szCs w:val="24"/>
        </w:rPr>
        <w:t>стань 40 км.</w:t>
      </w:r>
    </w:p>
    <w:p w:rsidR="00A41D80" w:rsidRDefault="00A41D80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86" w:lineRule="auto"/>
        <w:ind w:right="38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Обсяг перевезених вантажів за день становить 20 т. Вантажообіг за день становить: (20 т х 85 км) + (15 т х 35 км) + (5 т х 40 км) = 2425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або 2,43 тис.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ткм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41D80" w:rsidRDefault="00A41D8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41D80" w:rsidRDefault="00537792">
      <w:pPr>
        <w:widowControl w:val="0"/>
        <w:spacing w:line="295" w:lineRule="auto"/>
        <w:ind w:right="44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Роз’яснення щодо показників форми державного статистичного спостереження № 51-авт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 (місячна) “Звіт про перевезення вантажів та пасажирів автомобільним транспортом” від 26 серпня 2022 року № 19.1.2-12/22-22 </w:t>
      </w:r>
      <w:r>
        <w:rPr>
          <w:rFonts w:ascii="Arial" w:eastAsia="Arial" w:hAnsi="Arial" w:cs="Arial"/>
          <w:color w:val="000000"/>
          <w:sz w:val="24"/>
          <w:szCs w:val="24"/>
        </w:rPr>
        <w:t>є недійсними з 01 лютого 2024 року.</w:t>
      </w:r>
    </w:p>
    <w:p w:rsidR="00A41D80" w:rsidRDefault="00A41D80">
      <w:pPr>
        <w:spacing w:after="11" w:line="220" w:lineRule="exact"/>
        <w:rPr>
          <w:rFonts w:ascii="Arial" w:eastAsia="Arial" w:hAnsi="Arial" w:cs="Arial"/>
        </w:rPr>
      </w:pPr>
    </w:p>
    <w:p w:rsidR="00A41D80" w:rsidRDefault="00537792">
      <w:pPr>
        <w:widowControl w:val="0"/>
        <w:spacing w:line="293" w:lineRule="auto"/>
        <w:ind w:right="4626"/>
        <w:rPr>
          <w:rFonts w:ascii="Arial" w:eastAsia="Arial" w:hAnsi="Arial" w:cs="Arial"/>
          <w:b/>
          <w:bCs/>
          <w:i/>
          <w:i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Директор департаменту короткотермінової статистики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Ірина ПЕТРЕНКО</w:t>
      </w:r>
      <w:bookmarkEnd w:id="4"/>
    </w:p>
    <w:sectPr w:rsidR="00A41D80" w:rsidSect="00537792">
      <w:pgSz w:w="12240" w:h="15840"/>
      <w:pgMar w:top="854" w:right="765" w:bottom="709" w:left="11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41D80"/>
    <w:rsid w:val="00537792"/>
    <w:rsid w:val="00A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B02A2-A9FB-4CF0-9C58-EDBDA8C0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4783</Words>
  <Characters>2727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2023-12-26T16:20:00Z</dcterms:created>
  <dcterms:modified xsi:type="dcterms:W3CDTF">2023-12-26T16:22:00Z</dcterms:modified>
</cp:coreProperties>
</file>