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C9" w:rsidRDefault="00EE1C8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4"/>
          <w:szCs w:val="24"/>
        </w:rPr>
      </w:pPr>
      <w:bookmarkStart w:id="0" w:name="_page_2_0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ДЕРЖАВНА СЛУЖБА СТАТИСТИКИ УКРАЇНИ</w:t>
      </w:r>
    </w:p>
    <w:p w:rsidR="007763C9" w:rsidRDefault="007763C9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РОЗ’ЯСНЕННЯ</w:t>
      </w:r>
    </w:p>
    <w:p w:rsidR="007763C9" w:rsidRDefault="007763C9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від 14.09.2023 р. № 19.1.2-12/28-23</w:t>
      </w:r>
    </w:p>
    <w:p w:rsidR="007763C9" w:rsidRDefault="007763C9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ЗАТВЕРДЖУЮ</w:t>
      </w:r>
    </w:p>
    <w:p w:rsidR="007763C9" w:rsidRDefault="00EE1C84">
      <w:pPr>
        <w:widowControl w:val="0"/>
        <w:spacing w:before="69" w:line="286" w:lineRule="auto"/>
        <w:ind w:right="604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Голова Державної служби статистики ____________ Ігор ВЕРНЕР</w:t>
      </w:r>
    </w:p>
    <w:p w:rsidR="007763C9" w:rsidRDefault="00EE1C84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14 вересня 2023 року</w:t>
      </w:r>
    </w:p>
    <w:p w:rsidR="007763C9" w:rsidRDefault="007763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50" w:lineRule="auto"/>
        <w:ind w:right="590"/>
        <w:rPr>
          <w:rFonts w:ascii="Arial" w:eastAsia="Arial" w:hAnsi="Arial" w:cs="Arial"/>
          <w:b/>
          <w:bCs/>
          <w:color w:val="212121"/>
          <w:sz w:val="30"/>
          <w:szCs w:val="30"/>
        </w:rPr>
      </w:pPr>
      <w:r>
        <w:rPr>
          <w:rFonts w:ascii="Arial" w:eastAsia="Arial" w:hAnsi="Arial" w:cs="Arial"/>
          <w:b/>
          <w:bCs/>
          <w:color w:val="000000"/>
          <w:sz w:val="30"/>
          <w:szCs w:val="30"/>
        </w:rPr>
        <w:t xml:space="preserve">Роз’яснення щодо показників форми державного </w:t>
      </w:r>
      <w:r>
        <w:rPr>
          <w:rFonts w:ascii="Arial" w:eastAsia="Arial" w:hAnsi="Arial" w:cs="Arial"/>
          <w:b/>
          <w:bCs/>
          <w:color w:val="000000"/>
          <w:sz w:val="30"/>
          <w:szCs w:val="30"/>
        </w:rPr>
        <w:t>статистичного спостереження № 1-кб (місячна) “Звіт про виконання будівельних робіт”</w:t>
      </w:r>
    </w:p>
    <w:p w:rsidR="007763C9" w:rsidRDefault="007763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7"/>
          <w:szCs w:val="27"/>
        </w:rPr>
      </w:pPr>
      <w:bookmarkStart w:id="1" w:name="_GoBack"/>
      <w:bookmarkEnd w:id="1"/>
      <w:r>
        <w:rPr>
          <w:rFonts w:ascii="Arial" w:eastAsia="Arial" w:hAnsi="Arial" w:cs="Arial"/>
          <w:b/>
          <w:bCs/>
          <w:color w:val="000000"/>
          <w:sz w:val="27"/>
          <w:szCs w:val="27"/>
        </w:rPr>
        <w:t>I. Загальні положення</w:t>
      </w:r>
    </w:p>
    <w:p w:rsidR="007763C9" w:rsidRDefault="007763C9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86" w:lineRule="auto"/>
        <w:ind w:right="56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1. Ці Роз’яснення містять інформацію щодо показників форми державного статистичного спостереження № 1-кб (місячна) “Звіт про виконання будівельних </w:t>
      </w:r>
      <w:r>
        <w:rPr>
          <w:rFonts w:ascii="Arial" w:eastAsia="Arial" w:hAnsi="Arial" w:cs="Arial"/>
          <w:color w:val="000000"/>
          <w:sz w:val="24"/>
          <w:szCs w:val="24"/>
        </w:rPr>
        <w:t>робіт” (далі – форма).</w:t>
      </w:r>
    </w:p>
    <w:p w:rsidR="007763C9" w:rsidRDefault="007763C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86" w:lineRule="auto"/>
        <w:ind w:right="385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 Дані статистичного спостереження призначені для формування оперативної зведеної інформації щодо будівельної діяльності підприємств.</w:t>
      </w:r>
    </w:p>
    <w:p w:rsidR="007763C9" w:rsidRDefault="007763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95" w:lineRule="auto"/>
        <w:ind w:right="1062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3. Показники форми вміщують дані щодо обсягів виконаних будівельних робіт (власними силами) за 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кладеними договорами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підряду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(у тому числі з фізичними особами) та господарським способом. Значення показників форми мають формат представлення у тисячах гривень (у цілих числах).</w:t>
      </w:r>
    </w:p>
    <w:p w:rsidR="007763C9" w:rsidRDefault="007763C9">
      <w:pPr>
        <w:spacing w:after="10" w:line="220" w:lineRule="exact"/>
        <w:rPr>
          <w:rFonts w:ascii="Arial" w:eastAsia="Arial" w:hAnsi="Arial" w:cs="Arial"/>
        </w:rPr>
      </w:pPr>
    </w:p>
    <w:p w:rsidR="007763C9" w:rsidRDefault="00EE1C84" w:rsidP="00EE1C84">
      <w:pPr>
        <w:widowControl w:val="0"/>
        <w:spacing w:line="291" w:lineRule="auto"/>
        <w:ind w:right="55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4. Показники форми ґрунтуються на даних первинної документації (примірні фо</w:t>
      </w:r>
      <w:r>
        <w:rPr>
          <w:rFonts w:ascii="Arial" w:eastAsia="Arial" w:hAnsi="Arial" w:cs="Arial"/>
          <w:color w:val="000000"/>
          <w:sz w:val="24"/>
          <w:szCs w:val="24"/>
        </w:rPr>
        <w:t>рми № КБ-2в “Акт приймання виконаних робіт” та № КБ-3 “Довідка про вартість виконаних підрядних робіт”, наведені в додатках до “Правил визначення вартості будівництва” (ДСТУ Б Д.1.1-1:2013), інші первинні документи, які підприємство самостійно обирає для в</w:t>
      </w:r>
      <w:r>
        <w:rPr>
          <w:rFonts w:ascii="Arial" w:eastAsia="Arial" w:hAnsi="Arial" w:cs="Arial"/>
          <w:color w:val="000000"/>
          <w:sz w:val="24"/>
          <w:szCs w:val="24"/>
        </w:rPr>
        <w:t>едення обліку відповідно до статей 8 та 9 Закону України “Про бухгалтерський облік та фінансову звітність в Україні”). Форма відображає показники, сформовані з</w:t>
      </w:r>
      <w:bookmarkStart w:id="2" w:name="_page_10_0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-8890</wp:posOffset>
                </wp:positionV>
                <wp:extent cx="6705598" cy="899160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598" cy="8991600"/>
                          <a:chOff x="0" y="0"/>
                          <a:chExt cx="6705598" cy="8991600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705598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98"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  <a:lnTo>
                                  <a:pt x="6705598" y="8991600"/>
                                </a:lnTo>
                                <a:lnTo>
                                  <a:pt x="67055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19075" y="6034087"/>
                            <a:ext cx="6267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7450">
                                <a:moveTo>
                                  <a:pt x="0" y="0"/>
                                </a:moveTo>
                                <a:lnTo>
                                  <a:pt x="626745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E8E8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7665D" id="drawingObject7" o:spid="_x0000_s1026" style="position:absolute;margin-left:42pt;margin-top:-.7pt;width:528pt;height:708pt;z-index:-251654144;mso-position-horizontal-relative:page" coordsize="67055,8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" o:allowincell="f">
                <v:shape id="Shape 8" o:spid="_x0000_s1027" style="position:absolute;width:67055;height:89916;visibility:visible;mso-wrap-style:square;v-text-anchor:top" coordsize="6705598,899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u4Q8AA&#10;AADaAAAADwAAAGRycy9kb3ducmV2LnhtbERPzYrCMBC+C/sOYRa8iKb1INI1yrIouKJg6z7A2Ixt&#10;sZnUJmvr25uD4PHj+1+selOLO7WusqwgnkQgiHOrKy4U/J024zkI55E11pZJwYMcrJYfgwUm2nac&#10;0j3zhQgh7BJUUHrfJFK6vCSDbmIb4sBdbGvQB9gWUrfYhXBTy2kUzaTBikNDiQ39lJRfs3+j4LjP&#10;zlwdbge5T3fT32xN8Y5GSg0/++8vEJ56/xa/3FutIGwNV8IN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lu4Q8AAAADaAAAADwAAAAAAAAAAAAAAAACYAgAAZHJzL2Rvd25y&#10;ZXYueG1sUEsFBgAAAAAEAAQA9QAAAIUDAAAAAA==&#10;" path="m,l,8991600r6705598,l6705598,,,xe" stroked="f">
                  <v:path arrowok="t" textboxrect="0,0,6705598,8991600"/>
                </v:shape>
                <v:shape id="Shape 9" o:spid="_x0000_s1028" style="position:absolute;left:2190;top:60340;width:62675;height:0;visibility:visible;mso-wrap-style:square;v-text-anchor:top" coordsize="62674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641sEA&#10;AADaAAAADwAAAGRycy9kb3ducmV2LnhtbESPwWrDMBBE74X8g9hAbo3cHNrUjWyKodBrnBxyXKyt&#10;bexduZKauP36KBDocZiZN8yunHlUZ/Khd2LgaZ2BImmc7aU1cDx8PG5BhYhicXRCBn4pQFksHnaY&#10;W3eRPZ3r2KoEkZCjgS7GKdc6NB0xhrWbSJL35TxjTNK32nq8JDiPepNlz5qxl7TQ4URVR81Q/7CB&#10;F6Yha4aD583fnk9jrL+rY2XMajm/v4GKNMf/8L39aQ28wu1KugG6u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+uNbBAAAA2gAAAA8AAAAAAAAAAAAAAAAAmAIAAGRycy9kb3du&#10;cmV2LnhtbFBLBQYAAAAABAAEAPUAAACGAwAAAAA=&#10;" path="m,l6267450,e" filled="f" strokecolor="#8e8e8e">
                  <v:path arrowok="t" textboxrect="0,0,626745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використанням регістрів бухгалтерського обліку, Плану рахунків бухгалтер</w:t>
      </w:r>
      <w:r>
        <w:rPr>
          <w:rFonts w:ascii="Arial" w:eastAsia="Arial" w:hAnsi="Arial" w:cs="Arial"/>
          <w:color w:val="000000"/>
          <w:sz w:val="24"/>
          <w:szCs w:val="24"/>
        </w:rPr>
        <w:t>ського обліку активів, капіталу, зобов’язань і господарських операцій підприємств і організацій (далі – План рахунків) та Інструкції про застосування Плану рахунків, затверджених наказом Міністерства фінансів України від 30 листопада 1999 року № 291, зареє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строваних у Міністерстві юстиції України 21 грудня 1999 року за № 892/4185 та № 893/4186 (зі змінами), а у випадку ведення обліку за спрощеною формою – Плану рахунків бухгалтерського обліку активів, капіталу, зобов’язань і господарських операцій суб’єктів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малого підприємництва, затвердженого наказом Міністерства фінансів України від 19 квітня 2001 року № 186, зареєстрованим у Міністерстві юстиції України 05 травня 2001 року за № 389/5580 (зі змінами), національних положень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(стандартів) бухгалтерського облік</w:t>
      </w:r>
      <w:r>
        <w:rPr>
          <w:rFonts w:ascii="Arial" w:eastAsia="Arial" w:hAnsi="Arial" w:cs="Arial"/>
          <w:color w:val="000000"/>
          <w:sz w:val="24"/>
          <w:szCs w:val="24"/>
        </w:rPr>
        <w:t>у, затверджених відповідними нормативно-правовими актами Міністерства фінансів України, міжнародних стандартів бухгалтерського обліку й фінансової звітності.</w:t>
      </w:r>
    </w:p>
    <w:p w:rsidR="007763C9" w:rsidRDefault="007763C9">
      <w:pPr>
        <w:spacing w:after="15" w:line="220" w:lineRule="exact"/>
        <w:rPr>
          <w:rFonts w:ascii="Arial" w:eastAsia="Arial" w:hAnsi="Arial" w:cs="Arial"/>
        </w:rPr>
      </w:pPr>
    </w:p>
    <w:p w:rsidR="007763C9" w:rsidRDefault="00EE1C84">
      <w:pPr>
        <w:widowControl w:val="0"/>
        <w:spacing w:line="286" w:lineRule="auto"/>
        <w:ind w:right="802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5. Показники форми включають дані за звітний місяць. Показники звітного місяця не включають велич</w:t>
      </w:r>
      <w:r>
        <w:rPr>
          <w:rFonts w:ascii="Arial" w:eastAsia="Arial" w:hAnsi="Arial" w:cs="Arial"/>
          <w:color w:val="000000"/>
          <w:sz w:val="24"/>
          <w:szCs w:val="24"/>
        </w:rPr>
        <w:t>ини коригування за попередні місяці.</w:t>
      </w:r>
    </w:p>
    <w:p w:rsidR="007763C9" w:rsidRDefault="007763C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91" w:lineRule="auto"/>
        <w:ind w:right="349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6. Рядки для пояснення можуть містити інформацію про уточнення (виправлення) даних за показниками форми за попередній звітному місяць (місяці) звітного року та року, що передує звітному. Інформація відображається у зві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тному місяці за відповідний період, що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уточнюється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7763C9" w:rsidRDefault="007763C9">
      <w:pPr>
        <w:spacing w:after="15" w:line="220" w:lineRule="exact"/>
        <w:rPr>
          <w:rFonts w:ascii="Arial" w:eastAsia="Arial" w:hAnsi="Arial" w:cs="Arial"/>
        </w:rPr>
      </w:pPr>
    </w:p>
    <w:p w:rsidR="007763C9" w:rsidRDefault="00EE1C84">
      <w:pPr>
        <w:widowControl w:val="0"/>
        <w:spacing w:line="293" w:lineRule="auto"/>
        <w:ind w:right="469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Якщо відображено пояснення щодо уточнення (виправлення) даних за попередній звітному місяць (місяці) звітного року та року, що передує звітному, то відповідно відображено місяць, рік, код рядка із розділ</w:t>
      </w:r>
      <w:r>
        <w:rPr>
          <w:rFonts w:ascii="Arial" w:eastAsia="Arial" w:hAnsi="Arial" w:cs="Arial"/>
          <w:color w:val="000000"/>
          <w:sz w:val="24"/>
          <w:szCs w:val="24"/>
        </w:rPr>
        <w:t>ів щодо обсягу виконаних будівельних робіт за видами будівельної продукції, а також за способом і характером будівництва й дані (уточнені, виправлені), щодо яких надаються ці пояснення, та навпаки.</w:t>
      </w:r>
    </w:p>
    <w:p w:rsidR="007763C9" w:rsidRDefault="007763C9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7"/>
          <w:szCs w:val="27"/>
        </w:rPr>
      </w:pPr>
      <w:r>
        <w:rPr>
          <w:rFonts w:ascii="Arial" w:eastAsia="Arial" w:hAnsi="Arial" w:cs="Arial"/>
          <w:b/>
          <w:bCs/>
          <w:color w:val="000000"/>
          <w:sz w:val="27"/>
          <w:szCs w:val="27"/>
        </w:rPr>
        <w:t>II. Інформація щодо відсутності даних</w:t>
      </w:r>
    </w:p>
    <w:p w:rsidR="007763C9" w:rsidRDefault="007763C9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У випадку відсутно</w:t>
      </w:r>
      <w:r>
        <w:rPr>
          <w:rFonts w:ascii="Arial" w:eastAsia="Arial" w:hAnsi="Arial" w:cs="Arial"/>
          <w:color w:val="000000"/>
          <w:sz w:val="24"/>
          <w:szCs w:val="24"/>
        </w:rPr>
        <w:t>сті даних у формі може зазначатися одна з нижченаведених причин:</w:t>
      </w:r>
    </w:p>
    <w:p w:rsidR="007763C9" w:rsidRDefault="007763C9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86" w:lineRule="auto"/>
        <w:ind w:right="441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не здійснюється вид економічної діяльності, який спостерігається (може бути у випадках відсутності діяльності за видом економічної діяльності, який спостерігається);</w:t>
      </w:r>
    </w:p>
    <w:p w:rsidR="007763C9" w:rsidRDefault="007763C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91" w:lineRule="auto"/>
        <w:ind w:right="401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одиниця припинена або п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еребуває в стадії припинення (може бути в разі здійснення процедури припинення юридичної особи, що не пов’язано з реорганізацією (приєднання, злиття, поділ, перетворення): рішення засновників (учасників) юридичної особи або уповноваженого ними органу щодо </w:t>
      </w:r>
      <w:r>
        <w:rPr>
          <w:rFonts w:ascii="Arial" w:eastAsia="Arial" w:hAnsi="Arial" w:cs="Arial"/>
          <w:color w:val="000000"/>
          <w:sz w:val="24"/>
          <w:szCs w:val="24"/>
        </w:rPr>
        <w:t>припинення юридичної особи; судове рішення щодо припинення юридичної особи, що не пов’язане з її банкрутством; початок процесу проведення спрощеної процедури припинення юридичної особи шляхом її ліквідації; рішення державного органу про припинення юридично</w:t>
      </w:r>
      <w:r>
        <w:rPr>
          <w:rFonts w:ascii="Arial" w:eastAsia="Arial" w:hAnsi="Arial" w:cs="Arial"/>
          <w:color w:val="000000"/>
          <w:sz w:val="24"/>
          <w:szCs w:val="24"/>
        </w:rPr>
        <w:t>ї особи в результаті ліквідації; унесення судового рішення про порушення провадження у справі про</w:t>
      </w:r>
    </w:p>
    <w:p w:rsidR="007763C9" w:rsidRDefault="00EE1C84">
      <w:pPr>
        <w:widowControl w:val="0"/>
        <w:spacing w:line="293" w:lineRule="auto"/>
        <w:ind w:right="952"/>
        <w:jc w:val="both"/>
        <w:rPr>
          <w:rFonts w:ascii="Arial" w:eastAsia="Arial" w:hAnsi="Arial" w:cs="Arial"/>
          <w:color w:val="212121"/>
          <w:sz w:val="24"/>
          <w:szCs w:val="24"/>
        </w:rPr>
      </w:pPr>
      <w:bookmarkStart w:id="3" w:name="_page_12_0"/>
      <w:bookmarkEnd w:id="2"/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-8890</wp:posOffset>
                </wp:positionV>
                <wp:extent cx="6705598" cy="899160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598" cy="8991600"/>
                          <a:chOff x="0" y="0"/>
                          <a:chExt cx="6705598" cy="8991600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705598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98"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  <a:lnTo>
                                  <a:pt x="6705598" y="8991600"/>
                                </a:lnTo>
                                <a:lnTo>
                                  <a:pt x="67055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19075" y="5329237"/>
                            <a:ext cx="6267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7450">
                                <a:moveTo>
                                  <a:pt x="0" y="0"/>
                                </a:moveTo>
                                <a:lnTo>
                                  <a:pt x="626745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E8E8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177A4" id="drawingObject10" o:spid="_x0000_s1026" style="position:absolute;margin-left:42pt;margin-top:-.7pt;width:528pt;height:708pt;z-index:-251645952;mso-position-horizontal-relative:page" coordsize="67055,8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" o:allowincell="f">
                <v:shape id="Shape 11" o:spid="_x0000_s1027" style="position:absolute;width:67055;height:89916;visibility:visible;mso-wrap-style:square;v-text-anchor:top" coordsize="6705598,899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PyUcEA&#10;AADbAAAADwAAAGRycy9kb3ducmV2LnhtbERPzYrCMBC+C75DGGEvomk9iFSjiLiwKwq26wOMzdgW&#10;m0ltstp9eyMIe5uP73cWq87U4k6tqywriMcRCOLc6ooLBaefz9EMhPPIGmvLpOCPHKyW/d4CE20f&#10;nNI984UIIewSVFB63yRSurwkg25sG+LAXWxr0AfYFlK3+AjhppaTKJpKgxWHhhIb2pSUX7Nfo+C4&#10;z85cHW4HuU93k+9sS/GOhkp9DLr1HISnzv+L3+4vHebH8PolHC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z8lHBAAAA2wAAAA8AAAAAAAAAAAAAAAAAmAIAAGRycy9kb3du&#10;cmV2LnhtbFBLBQYAAAAABAAEAPUAAACGAwAAAAA=&#10;" path="m,l,8991600r6705598,l6705598,,,xe" stroked="f">
                  <v:path arrowok="t" textboxrect="0,0,6705598,8991600"/>
                </v:shape>
                <v:shape id="Shape 12" o:spid="_x0000_s1028" style="position:absolute;left:2190;top:53292;width:62675;height:0;visibility:visible;mso-wrap-style:square;v-text-anchor:top" coordsize="62674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3SQ78A&#10;AADbAAAADwAAAGRycy9kb3ducmV2LnhtbERPTWvCQBC9C/0PyxR60405VEldRQIFr0YPHofsmIRk&#10;ZtPdrcb++m6h4G0e73M2u4kHdSMfOicGlosMFEntbCeNgfPpc74GFSKKxcEJGXhQgN32ZbbBwrq7&#10;HOlWxUalEAkFGmhjHAutQ90SY1i4kSRxV+cZY4K+0dbjPYXzoPMse9eMnaSGFkcqW6r76psNrJj6&#10;rO5PnvOfI1+GWH2V59KYt9dp/wEq0hSf4n/3wab5Ofz9kg7Q2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XdJDvwAAANsAAAAPAAAAAAAAAAAAAAAAAJgCAABkcnMvZG93bnJl&#10;di54bWxQSwUGAAAAAAQABAD1AAAAhAMAAAAA&#10;" path="m,l6267450,e" filled="f" strokecolor="#8e8e8e">
                  <v:path arrowok="t" textboxrect="0,0,626745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 xml:space="preserve">банкрутство юридичної особи або визнання юридичної особи банкрутом і відкриття ліквідаційної процедури; державна реєстрація припинення </w:t>
      </w:r>
      <w:r>
        <w:rPr>
          <w:rFonts w:ascii="Arial" w:eastAsia="Arial" w:hAnsi="Arial" w:cs="Arial"/>
          <w:color w:val="000000"/>
          <w:sz w:val="24"/>
          <w:szCs w:val="24"/>
        </w:rPr>
        <w:t>юридичної особи, що не пов’язана з реорганізацією);</w:t>
      </w:r>
    </w:p>
    <w:p w:rsidR="007763C9" w:rsidRDefault="007763C9">
      <w:pPr>
        <w:spacing w:after="13" w:line="220" w:lineRule="exact"/>
        <w:rPr>
          <w:rFonts w:ascii="Arial" w:eastAsia="Arial" w:hAnsi="Arial" w:cs="Arial"/>
        </w:rPr>
      </w:pPr>
    </w:p>
    <w:p w:rsidR="007763C9" w:rsidRDefault="00EE1C84">
      <w:pPr>
        <w:widowControl w:val="0"/>
        <w:spacing w:line="293" w:lineRule="auto"/>
        <w:ind w:right="689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здійснюється сезонна діяльність або економічна діяльність, пов’язана з тривалим циклом виробництва (може бути в разі здійснення сезонної діяльності/здійснення економічної діяльності, пов’язаної з тривали</w:t>
      </w:r>
      <w:r>
        <w:rPr>
          <w:rFonts w:ascii="Arial" w:eastAsia="Arial" w:hAnsi="Arial" w:cs="Arial"/>
          <w:color w:val="000000"/>
          <w:sz w:val="24"/>
          <w:szCs w:val="24"/>
        </w:rPr>
        <w:t>м циклом виробництва (не менше року));</w:t>
      </w:r>
    </w:p>
    <w:p w:rsidR="007763C9" w:rsidRDefault="007763C9">
      <w:pPr>
        <w:spacing w:after="12" w:line="220" w:lineRule="exact"/>
        <w:rPr>
          <w:rFonts w:ascii="Arial" w:eastAsia="Arial" w:hAnsi="Arial" w:cs="Arial"/>
        </w:rPr>
      </w:pPr>
    </w:p>
    <w:p w:rsidR="007763C9" w:rsidRDefault="00EE1C84">
      <w:pPr>
        <w:widowControl w:val="0"/>
        <w:spacing w:line="293" w:lineRule="auto"/>
        <w:ind w:right="89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тимчасово призупинено економічну діяльність через економічні чинники/карантинні обмеження (може бути в разі тимчасового призупинення економічної діяльності у цілому по одиниці через економічні чинники, карантинні обм</w:t>
      </w:r>
      <w:r>
        <w:rPr>
          <w:rFonts w:ascii="Arial" w:eastAsia="Arial" w:hAnsi="Arial" w:cs="Arial"/>
          <w:color w:val="000000"/>
          <w:sz w:val="24"/>
          <w:szCs w:val="24"/>
        </w:rPr>
        <w:t>еження);</w:t>
      </w:r>
    </w:p>
    <w:p w:rsidR="007763C9" w:rsidRDefault="007763C9">
      <w:pPr>
        <w:spacing w:after="8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90" w:lineRule="auto"/>
        <w:ind w:right="70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проведено чи проводиться реорганізація або передано виробничі фактори іншій одиниці (може бути у випадках здійснення процедури припинення юридичної особи у зв’язку з реорганізацією (приєднання, злиття, поділ, перетворення) за наявності рішення за</w:t>
      </w:r>
      <w:r>
        <w:rPr>
          <w:rFonts w:ascii="Arial" w:eastAsia="Arial" w:hAnsi="Arial" w:cs="Arial"/>
          <w:color w:val="000000"/>
          <w:sz w:val="24"/>
          <w:szCs w:val="24"/>
        </w:rPr>
        <w:t>сновників (учасників) юридичної особи або уповноваженого ними органу щодо припинення юридичної особи в результаті реорганізації; державна реєстрація припинення юридичної особи у зв’язку з реорганізацією; продаж / надання в оренду (повністю або частково вир</w:t>
      </w:r>
      <w:r>
        <w:rPr>
          <w:rFonts w:ascii="Arial" w:eastAsia="Arial" w:hAnsi="Arial" w:cs="Arial"/>
          <w:color w:val="000000"/>
          <w:sz w:val="24"/>
          <w:szCs w:val="24"/>
        </w:rPr>
        <w:t>обничих факторів (обладнання, потужності, тощо) або передача права управління виробничими факторами іншій одиниці);</w:t>
      </w:r>
    </w:p>
    <w:p w:rsidR="007763C9" w:rsidRDefault="007763C9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86" w:lineRule="auto"/>
        <w:ind w:right="46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відсутнє явище, яке спостерігається (може бути в разі відсутності явища, яке спостерігається; відсутності специфічного об’єкта спостереженн</w:t>
      </w:r>
      <w:r>
        <w:rPr>
          <w:rFonts w:ascii="Arial" w:eastAsia="Arial" w:hAnsi="Arial" w:cs="Arial"/>
          <w:color w:val="000000"/>
          <w:sz w:val="24"/>
          <w:szCs w:val="24"/>
        </w:rPr>
        <w:t>я (певних матеріально-технічних ресурсів)).</w:t>
      </w:r>
    </w:p>
    <w:p w:rsidR="007763C9" w:rsidRDefault="007763C9">
      <w:pPr>
        <w:spacing w:after="47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7"/>
          <w:szCs w:val="27"/>
        </w:rPr>
      </w:pPr>
      <w:r>
        <w:rPr>
          <w:rFonts w:ascii="Arial" w:eastAsia="Arial" w:hAnsi="Arial" w:cs="Arial"/>
          <w:b/>
          <w:bCs/>
          <w:color w:val="000000"/>
          <w:sz w:val="27"/>
          <w:szCs w:val="27"/>
        </w:rPr>
        <w:t>III. Показники форми щодо обсягу виконаних будівельних робіт</w:t>
      </w:r>
    </w:p>
    <w:p w:rsidR="007763C9" w:rsidRDefault="007763C9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93" w:lineRule="auto"/>
        <w:ind w:right="703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 Показник “Обсяг виконаних будівельних робіт за звітний місяць (власними силами; без ПДВ)” містить інформацію щодо обсягів виконаних будівельних ро</w:t>
      </w:r>
      <w:r>
        <w:rPr>
          <w:rFonts w:ascii="Arial" w:eastAsia="Arial" w:hAnsi="Arial" w:cs="Arial"/>
          <w:color w:val="000000"/>
          <w:sz w:val="24"/>
          <w:szCs w:val="24"/>
        </w:rPr>
        <w:t>біт за звітний місяць.</w:t>
      </w:r>
    </w:p>
    <w:p w:rsidR="007763C9" w:rsidRDefault="007763C9">
      <w:pPr>
        <w:spacing w:after="12" w:line="220" w:lineRule="exact"/>
        <w:rPr>
          <w:rFonts w:ascii="Arial" w:eastAsia="Arial" w:hAnsi="Arial" w:cs="Arial"/>
        </w:rPr>
      </w:pPr>
    </w:p>
    <w:p w:rsidR="007763C9" w:rsidRDefault="00EE1C84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До обсягу виконаних будівельних робіт уключається вартість:</w:t>
      </w:r>
    </w:p>
    <w:p w:rsidR="007763C9" w:rsidRDefault="007763C9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86" w:lineRule="auto"/>
        <w:ind w:right="98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будівельних, монтажних та інших робіт під час нового будівництва, реконструкції, реставрації, капітального ремонту будівель і споруд, а також поточного ремонту та технічно</w:t>
      </w:r>
      <w:r>
        <w:rPr>
          <w:rFonts w:ascii="Arial" w:eastAsia="Arial" w:hAnsi="Arial" w:cs="Arial"/>
          <w:color w:val="000000"/>
          <w:sz w:val="24"/>
          <w:szCs w:val="24"/>
        </w:rPr>
        <w:t>го переоснащення підприємств, виконаних власними силами;</w:t>
      </w:r>
    </w:p>
    <w:p w:rsidR="007763C9" w:rsidRDefault="007763C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86" w:lineRule="auto"/>
        <w:ind w:right="65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матеріалів замовника (у тому числі наданих на давальницьких умовах) за фактичною вартістю їх придбання;</w:t>
      </w:r>
    </w:p>
    <w:p w:rsidR="007763C9" w:rsidRDefault="007763C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 w:rsidP="00EE1C84">
      <w:pPr>
        <w:widowControl w:val="0"/>
        <w:spacing w:line="286" w:lineRule="auto"/>
        <w:ind w:right="361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робіт із монтажу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устатковання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(без урахування вартості його придбання, за винятком обладнання</w:t>
      </w:r>
      <w:r>
        <w:rPr>
          <w:rFonts w:ascii="Arial" w:eastAsia="Arial" w:hAnsi="Arial" w:cs="Arial"/>
          <w:color w:val="000000"/>
          <w:sz w:val="24"/>
          <w:szCs w:val="24"/>
        </w:rPr>
        <w:t>, що забезпечує функціонування будівель: внутрішнього водопроводу, каналізації, опалення, газопостачання, вентиляції та кондиціювання повітря (уключаючи</w:t>
      </w:r>
      <w:bookmarkStart w:id="4" w:name="_page_14_0"/>
      <w:bookmarkEnd w:id="3"/>
      <w:r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вартість опалювальних котлів, радіаторів, калориферів, бойлерів та інших саніта</w:t>
      </w:r>
      <w:r>
        <w:rPr>
          <w:rFonts w:ascii="Arial" w:eastAsia="Arial" w:hAnsi="Arial" w:cs="Arial"/>
          <w:color w:val="000000"/>
          <w:sz w:val="24"/>
          <w:szCs w:val="24"/>
        </w:rPr>
        <w:t>рно-технічних виробів, кондиціонерів та іншого обладнання), а також інших внутрішніх трубопроводів).</w:t>
      </w:r>
    </w:p>
    <w:p w:rsidR="007763C9" w:rsidRDefault="007763C9">
      <w:pPr>
        <w:spacing w:after="13" w:line="220" w:lineRule="exact"/>
        <w:rPr>
          <w:rFonts w:ascii="Arial" w:eastAsia="Arial" w:hAnsi="Arial" w:cs="Arial"/>
        </w:rPr>
      </w:pPr>
    </w:p>
    <w:p w:rsidR="007763C9" w:rsidRDefault="00EE1C84">
      <w:pPr>
        <w:widowControl w:val="0"/>
        <w:spacing w:line="300" w:lineRule="auto"/>
        <w:ind w:right="755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Показник форми не включає вартість робіт, виконаних за контрактами субпідряду, та суму податку на додану вартість (ПДВ).</w:t>
      </w:r>
    </w:p>
    <w:p w:rsidR="007763C9" w:rsidRDefault="007763C9">
      <w:pPr>
        <w:spacing w:after="5" w:line="220" w:lineRule="exact"/>
        <w:rPr>
          <w:rFonts w:ascii="Arial" w:eastAsia="Arial" w:hAnsi="Arial" w:cs="Arial"/>
        </w:rPr>
      </w:pPr>
    </w:p>
    <w:p w:rsidR="007763C9" w:rsidRDefault="00EE1C84">
      <w:pPr>
        <w:widowControl w:val="0"/>
        <w:spacing w:line="291" w:lineRule="auto"/>
        <w:ind w:right="669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 Показник щодо обсягу виконани</w:t>
      </w:r>
      <w:r>
        <w:rPr>
          <w:rFonts w:ascii="Arial" w:eastAsia="Arial" w:hAnsi="Arial" w:cs="Arial"/>
          <w:color w:val="000000"/>
          <w:sz w:val="24"/>
          <w:szCs w:val="24"/>
        </w:rPr>
        <w:t>х будівельних робіт за звітний місяць (власними силами; без ПДВ) відображає дані про обсяг виконаних будівельних робіт у цілому за всіма видами будівельної продукції та із розподілом за видами будівельної продукції відповідно до Національного класифікатора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будівель і споруд НК 018:2023, затвердженого наказом Міністерства економіки України від 16 травня 2023 року № 3573.</w:t>
      </w:r>
    </w:p>
    <w:p w:rsidR="007763C9" w:rsidRDefault="007763C9">
      <w:pPr>
        <w:spacing w:after="14" w:line="220" w:lineRule="exact"/>
        <w:rPr>
          <w:rFonts w:ascii="Arial" w:eastAsia="Arial" w:hAnsi="Arial" w:cs="Arial"/>
        </w:rPr>
      </w:pPr>
    </w:p>
    <w:p w:rsidR="007763C9" w:rsidRDefault="00EE1C84">
      <w:pPr>
        <w:widowControl w:val="0"/>
        <w:spacing w:line="293" w:lineRule="auto"/>
        <w:ind w:right="659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3. Показник щодо обсягу виконаних будівельних робіт за звітний місяць (власними силами; без ПДВ) за способом та характером будівництва м</w:t>
      </w:r>
      <w:r>
        <w:rPr>
          <w:rFonts w:ascii="Arial" w:eastAsia="Arial" w:hAnsi="Arial" w:cs="Arial"/>
          <w:color w:val="000000"/>
          <w:sz w:val="24"/>
          <w:szCs w:val="24"/>
        </w:rPr>
        <w:t>істить інформацію про розподіл обсягу виконаних будівельних робіт за способом та характером будівництва.</w:t>
      </w:r>
    </w:p>
    <w:p w:rsidR="007763C9" w:rsidRDefault="007763C9">
      <w:pPr>
        <w:spacing w:after="13" w:line="220" w:lineRule="exact"/>
        <w:rPr>
          <w:rFonts w:ascii="Arial" w:eastAsia="Arial" w:hAnsi="Arial" w:cs="Arial"/>
        </w:rPr>
      </w:pPr>
    </w:p>
    <w:p w:rsidR="007763C9" w:rsidRDefault="00EE1C84">
      <w:pPr>
        <w:widowControl w:val="0"/>
        <w:spacing w:line="295" w:lineRule="auto"/>
        <w:ind w:right="511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4. Показник щодо обсягу виконаних будівельних робіт господарським способом уміщує вартість будівельних робіт, виконаних безпосередньо підприємством (б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удівельною дільницею, ремонтно-будівельним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цехом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іншим виробничим підрозділом), для якого будується об’єкт, і оплачених за рахунок коштів цього ж підприємства.</w:t>
      </w:r>
    </w:p>
    <w:p w:rsidR="007763C9" w:rsidRDefault="007763C9">
      <w:pPr>
        <w:spacing w:after="10" w:line="220" w:lineRule="exact"/>
        <w:rPr>
          <w:rFonts w:ascii="Arial" w:eastAsia="Arial" w:hAnsi="Arial" w:cs="Arial"/>
        </w:rPr>
      </w:pPr>
    </w:p>
    <w:p w:rsidR="007763C9" w:rsidRDefault="00EE1C84">
      <w:pPr>
        <w:widowControl w:val="0"/>
        <w:spacing w:line="293" w:lineRule="auto"/>
        <w:ind w:right="37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5. Показники щодо обсягу виконаних будівельних робіт за характером будівництва (із нового буді</w:t>
      </w:r>
      <w:r>
        <w:rPr>
          <w:rFonts w:ascii="Arial" w:eastAsia="Arial" w:hAnsi="Arial" w:cs="Arial"/>
          <w:color w:val="000000"/>
          <w:sz w:val="24"/>
          <w:szCs w:val="24"/>
        </w:rPr>
        <w:t>вництва; із ремонту (капітального та поточного)) уміщують вартість виконаних будівельних робіт із нового будівництва та із ремонту (капітального та поточного) відповідно, у тому числі за договорами з фізичними особами за рахунок їхніх коштів.</w:t>
      </w:r>
    </w:p>
    <w:p w:rsidR="007763C9" w:rsidRDefault="007763C9">
      <w:pPr>
        <w:spacing w:after="13" w:line="220" w:lineRule="exact"/>
        <w:rPr>
          <w:rFonts w:ascii="Arial" w:eastAsia="Arial" w:hAnsi="Arial" w:cs="Arial"/>
        </w:rPr>
      </w:pPr>
    </w:p>
    <w:p w:rsidR="007763C9" w:rsidRDefault="00EE1C84">
      <w:pPr>
        <w:widowControl w:val="0"/>
        <w:spacing w:line="293" w:lineRule="auto"/>
        <w:ind w:right="773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Обсяг викона</w:t>
      </w:r>
      <w:r>
        <w:rPr>
          <w:rFonts w:ascii="Arial" w:eastAsia="Arial" w:hAnsi="Arial" w:cs="Arial"/>
          <w:color w:val="000000"/>
          <w:sz w:val="24"/>
          <w:szCs w:val="24"/>
        </w:rPr>
        <w:t>них будівельних робіт із нового будівництва також містить дані щодо вартості будівельних робіт, виконаних із добудови зупинених об’єктів незавершеного будівництва.</w:t>
      </w:r>
    </w:p>
    <w:p w:rsidR="007763C9" w:rsidRDefault="007763C9">
      <w:pPr>
        <w:spacing w:after="12" w:line="220" w:lineRule="exact"/>
        <w:rPr>
          <w:rFonts w:ascii="Arial" w:eastAsia="Arial" w:hAnsi="Arial" w:cs="Arial"/>
        </w:rPr>
      </w:pPr>
    </w:p>
    <w:p w:rsidR="007763C9" w:rsidRDefault="00EE1C84">
      <w:pPr>
        <w:widowControl w:val="0"/>
        <w:spacing w:line="293" w:lineRule="auto"/>
        <w:ind w:right="74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Обсяг виконаних будівельних робіт із ремонту (капітального та поточного) не містить дані що</w:t>
      </w:r>
      <w:r>
        <w:rPr>
          <w:rFonts w:ascii="Arial" w:eastAsia="Arial" w:hAnsi="Arial" w:cs="Arial"/>
          <w:color w:val="000000"/>
          <w:sz w:val="24"/>
          <w:szCs w:val="24"/>
        </w:rPr>
        <w:t>до вартості будівельних робіт, виконаних із утримання та поточного ремонту автодоріг, мостів, переїздів, інших дорожніх споруд.</w:t>
      </w:r>
    </w:p>
    <w:p w:rsidR="007763C9" w:rsidRDefault="007763C9">
      <w:pPr>
        <w:spacing w:after="13" w:line="220" w:lineRule="exact"/>
        <w:rPr>
          <w:rFonts w:ascii="Arial" w:eastAsia="Arial" w:hAnsi="Arial" w:cs="Arial"/>
        </w:rPr>
      </w:pPr>
    </w:p>
    <w:p w:rsidR="007763C9" w:rsidRDefault="00EE1C84">
      <w:pPr>
        <w:widowControl w:val="0"/>
        <w:spacing w:line="293" w:lineRule="auto"/>
        <w:ind w:right="71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Дані щодо обсягу виконаних будівельних робіт із нового будівництва мають бути меншими або дорівнювати даним за показником щодо </w:t>
      </w:r>
      <w:r>
        <w:rPr>
          <w:rFonts w:ascii="Arial" w:eastAsia="Arial" w:hAnsi="Arial" w:cs="Arial"/>
          <w:color w:val="000000"/>
          <w:sz w:val="24"/>
          <w:szCs w:val="24"/>
        </w:rPr>
        <w:t>обсягу виконаних будівельних робіт у цілому.</w:t>
      </w:r>
    </w:p>
    <w:p w:rsidR="007763C9" w:rsidRDefault="007763C9">
      <w:pPr>
        <w:spacing w:after="7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86" w:lineRule="auto"/>
        <w:ind w:right="41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Дані щодо обсягу виконаних будівельних робіт із ремонту (капітального та поточного) мають бути меншими або дорівнювати даним щодо обсягу виконаних будівельних робіт у цілому.</w:t>
      </w:r>
    </w:p>
    <w:p w:rsidR="007763C9" w:rsidRDefault="007763C9">
      <w:pPr>
        <w:spacing w:after="90" w:line="240" w:lineRule="exact"/>
        <w:rPr>
          <w:rFonts w:ascii="Arial" w:eastAsia="Arial" w:hAnsi="Arial" w:cs="Arial"/>
          <w:sz w:val="24"/>
          <w:szCs w:val="24"/>
        </w:rPr>
      </w:pPr>
    </w:p>
    <w:p w:rsidR="007763C9" w:rsidRDefault="00EE1C84">
      <w:pPr>
        <w:widowControl w:val="0"/>
        <w:spacing w:line="293" w:lineRule="auto"/>
        <w:ind w:right="1022"/>
        <w:rPr>
          <w:rFonts w:ascii="Arial" w:eastAsia="Arial" w:hAnsi="Arial" w:cs="Arial"/>
          <w:color w:val="212121"/>
          <w:sz w:val="24"/>
          <w:szCs w:val="24"/>
        </w:rPr>
      </w:pPr>
      <w:bookmarkStart w:id="5" w:name="_page_16_0"/>
      <w:bookmarkEnd w:id="4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Роз’яснення щ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одо форми державного статистичного спостереження № 1-кб (місячна) “Звіт про виконання будівельних робіт” від 21 червня 2019 року № 19.1.2-12/25-19 </w:t>
      </w:r>
      <w:r>
        <w:rPr>
          <w:rFonts w:ascii="Arial" w:eastAsia="Arial" w:hAnsi="Arial" w:cs="Arial"/>
          <w:color w:val="000000"/>
          <w:sz w:val="24"/>
          <w:szCs w:val="24"/>
        </w:rPr>
        <w:t>з 01 лютого 2024 року є недійсними.</w:t>
      </w:r>
    </w:p>
    <w:p w:rsidR="007763C9" w:rsidRDefault="007763C9">
      <w:pPr>
        <w:spacing w:after="13" w:line="220" w:lineRule="exact"/>
        <w:rPr>
          <w:rFonts w:ascii="Arial" w:eastAsia="Arial" w:hAnsi="Arial" w:cs="Arial"/>
        </w:rPr>
      </w:pPr>
    </w:p>
    <w:p w:rsidR="007763C9" w:rsidRPr="00EE1C84" w:rsidRDefault="00EE1C84" w:rsidP="00EE1C84">
      <w:pPr>
        <w:widowControl w:val="0"/>
        <w:spacing w:line="293" w:lineRule="auto"/>
        <w:ind w:right="4626"/>
        <w:rPr>
          <w:rFonts w:ascii="Arial" w:eastAsia="Arial" w:hAnsi="Arial" w:cs="Arial"/>
          <w:b/>
          <w:bCs/>
          <w:i/>
          <w:iCs/>
          <w:color w:val="212121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 xml:space="preserve">Директор департаменту короткотермінової статистики </w:t>
      </w:r>
      <w:proofErr w:type="spellStart"/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Держстату</w:t>
      </w:r>
      <w:proofErr w:type="spellEnd"/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 xml:space="preserve"> Ірина ПЕТР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ЕНКО</w:t>
      </w:r>
      <w:bookmarkEnd w:id="5"/>
    </w:p>
    <w:sectPr w:rsidR="007763C9" w:rsidRPr="00EE1C84" w:rsidSect="00EE1C84">
      <w:pgSz w:w="12240" w:h="15840"/>
      <w:pgMar w:top="854" w:right="765" w:bottom="709" w:left="117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763C9"/>
    <w:rsid w:val="007763C9"/>
    <w:rsid w:val="00E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A53B3-E3E9-4F9E-AA14-DC410050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5792</Words>
  <Characters>3303</Characters>
  <Application>Microsoft Office Word</Application>
  <DocSecurity>0</DocSecurity>
  <Lines>27</Lines>
  <Paragraphs>18</Paragraphs>
  <ScaleCrop>false</ScaleCrop>
  <Company>SPecialiST RePack</Company>
  <LinksUpToDate>false</LinksUpToDate>
  <CharactersWithSpaces>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</cp:revision>
  <dcterms:created xsi:type="dcterms:W3CDTF">2023-12-26T16:13:00Z</dcterms:created>
  <dcterms:modified xsi:type="dcterms:W3CDTF">2023-12-26T16:16:00Z</dcterms:modified>
</cp:coreProperties>
</file>