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bookmarkStart w:id="0" w:name="_page_2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ДЕРЖАВНА СЛУЖБА СТАТИСТИКИ УКРАЇНИ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РОЗ’ЯСНЕННЯ</w:t>
      </w:r>
    </w:p>
    <w:p w:rsidR="007E388E" w:rsidRDefault="007E388E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від 12.09.2023 р. № 19.1.2-12/27-23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ЗАТВЕРДЖУЮ</w:t>
      </w:r>
    </w:p>
    <w:p w:rsidR="007E388E" w:rsidRDefault="004F228B">
      <w:pPr>
        <w:widowControl w:val="0"/>
        <w:spacing w:before="69" w:line="286" w:lineRule="auto"/>
        <w:ind w:right="60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Голова Державної служби статистики ____________ Ігор ВЕРНЕР</w:t>
      </w: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12 вересня 2023 року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7E388E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:rsidR="007E388E" w:rsidRDefault="004F228B">
      <w:pPr>
        <w:widowControl w:val="0"/>
        <w:spacing w:line="250" w:lineRule="auto"/>
        <w:ind w:right="590"/>
        <w:rPr>
          <w:rFonts w:ascii="Arial" w:eastAsia="Arial" w:hAnsi="Arial" w:cs="Arial"/>
          <w:b/>
          <w:bCs/>
          <w:color w:val="212121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 xml:space="preserve">Роз’яснення щодо показників форми державного 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статистичного спостереження № 2-інвестиції (квартальна) “Звіт про капітальні інвестиції”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I. Загальні положення</w:t>
      </w:r>
    </w:p>
    <w:p w:rsidR="007E388E" w:rsidRDefault="007E388E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50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Ці Роз’яснення містять інформацію щодо показників форми державного статистичного спостереження № 2-інвестиції (квартальна) “Звіт про капіта</w:t>
      </w:r>
      <w:r>
        <w:rPr>
          <w:rFonts w:ascii="Arial" w:eastAsia="Arial" w:hAnsi="Arial" w:cs="Arial"/>
          <w:color w:val="000000"/>
          <w:sz w:val="24"/>
          <w:szCs w:val="24"/>
        </w:rPr>
        <w:t>льні інвестиції” (далі – форма № 2-інвестиції (квартальна)).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48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Показники форми № 2-інвестиції (квартальна) уключають інформацію щодо капітальних інвестицій на дискретній основі за I, II, III, IV квартали.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35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Показники форми № 2-інвестиції (квартальна) в</w:t>
      </w:r>
      <w:r>
        <w:rPr>
          <w:rFonts w:ascii="Arial" w:eastAsia="Arial" w:hAnsi="Arial" w:cs="Arial"/>
          <w:color w:val="000000"/>
          <w:sz w:val="24"/>
          <w:szCs w:val="24"/>
        </w:rPr>
        <w:t>міщують інформацію щодо витрат у звітному періоді на придбання або створення матеріальних та нематеріальних активів за рахунок передбачених чинним законодавством джерел фінансування, а також витрат на будівництво житла для подальшого продажу (передачі), як</w:t>
      </w:r>
      <w:r>
        <w:rPr>
          <w:rFonts w:ascii="Arial" w:eastAsia="Arial" w:hAnsi="Arial" w:cs="Arial"/>
          <w:color w:val="000000"/>
          <w:sz w:val="24"/>
          <w:szCs w:val="24"/>
        </w:rPr>
        <w:t>і за обліком витрат не належать до капітальних інвестицій підприємства.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 w:rsidP="004F228B">
      <w:pPr>
        <w:widowControl w:val="0"/>
        <w:spacing w:line="293" w:lineRule="auto"/>
        <w:ind w:right="40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Форма відображає показники, сформовані з використанням регістрів бухгалтерського обліку, Плану рахунків бухгалтерського обліку активів, капіталу, зобов’язань і господарських операц</w:t>
      </w:r>
      <w:r>
        <w:rPr>
          <w:rFonts w:ascii="Arial" w:eastAsia="Arial" w:hAnsi="Arial" w:cs="Arial"/>
          <w:color w:val="000000"/>
          <w:sz w:val="24"/>
          <w:szCs w:val="24"/>
        </w:rPr>
        <w:t>ій підприємств і організацій та Інструкції про застосування Плану рахунків, затверджених наказом Міністерства фінансів України від 30 листопада 1999 року № 291, зареєстрованим у Міністерстві юстиції України 21 грудня 1999 року за №</w:t>
      </w:r>
      <w:bookmarkStart w:id="1" w:name="_page_10_0"/>
      <w:bookmarkEnd w:id="0"/>
      <w:r>
        <w:rPr>
          <w:rFonts w:ascii="Arial" w:eastAsia="Arial" w:hAnsi="Arial" w:cs="Arial"/>
          <w:color w:val="000000"/>
          <w:sz w:val="24"/>
          <w:szCs w:val="24"/>
        </w:rPr>
        <w:t>892/4185 та № 893/4186 (зі змінами), спрощеного Плану рахунків бухгалтерського обліку активів, капіталу, зобов’язань і господарських операцій підприємств, затвердженого наказом Міністерства фінансів України від 19 квітня 2001 року № 186, зареєстрованим у М</w:t>
      </w:r>
      <w:r>
        <w:rPr>
          <w:rFonts w:ascii="Arial" w:eastAsia="Arial" w:hAnsi="Arial" w:cs="Arial"/>
          <w:color w:val="000000"/>
          <w:sz w:val="24"/>
          <w:szCs w:val="24"/>
        </w:rPr>
        <w:t>іністерстві юстиції України 05 травня 2001 року за № 389/5580 (зі змінами), Плану рахунків бухгалтерського обліку банків України, затвердженого постановою Правління Національного банку України від 11 вересня 2017 року № 89, Плану рахунків бухгалтерського 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бліку в державному секторі, затвердженого наказом Міністерства фінансів України від 31 грудня 2013 року № 1203, зареєстрованим у Міністерстві юстиції України 25 січня 2014 року за № 161/24938 (зі змінами),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національних положень (стандартів) бухгалтерського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обліку, затверджених відповідними нормативно-правовими актами Міністерства фінансів України, міжнародних стандартів фінансової звітності та міжнародних стандартів бухгалтерського обліку.</w:t>
      </w:r>
    </w:p>
    <w:p w:rsidR="007E388E" w:rsidRDefault="007E388E">
      <w:pPr>
        <w:spacing w:after="1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86" w:lineRule="auto"/>
        <w:ind w:right="114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Показники форми № 2-інвестиції (квартальна) не включають інформа</w:t>
      </w:r>
      <w:r>
        <w:rPr>
          <w:rFonts w:ascii="Arial" w:eastAsia="Arial" w:hAnsi="Arial" w:cs="Arial"/>
          <w:color w:val="000000"/>
          <w:sz w:val="24"/>
          <w:szCs w:val="24"/>
        </w:rPr>
        <w:t>цію щодо податку на додану вартість (далі – ПДВ).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49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Значення показників форми (одиниця вимірювання – тисяча гривень) мають формат представлення в цілих числах.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72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 У випадках відсутності даних у формі в блоці “Інформація щодо відсутності даних” проставле</w:t>
      </w:r>
      <w:r>
        <w:rPr>
          <w:rFonts w:ascii="Arial" w:eastAsia="Arial" w:hAnsi="Arial" w:cs="Arial"/>
          <w:color w:val="000000"/>
          <w:sz w:val="24"/>
          <w:szCs w:val="24"/>
        </w:rPr>
        <w:t>но позначку “V” за причиною “Відсутнє явище, яке спостерігається”. Інші причини відсутності даних не використовуються.</w:t>
      </w:r>
    </w:p>
    <w:p w:rsidR="007E388E" w:rsidRDefault="007E388E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55" w:lineRule="auto"/>
        <w:ind w:right="599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II. Показники щодо розподілу капітальних інвестицій за видами активів (розділ 1 форми № 2-інвестиції (квартальна))</w:t>
      </w:r>
    </w:p>
    <w:p w:rsidR="007E388E" w:rsidRDefault="007E388E">
      <w:pPr>
        <w:spacing w:after="18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0" w:lineRule="auto"/>
        <w:ind w:right="41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Показник “капітал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ьні інвестиції” містить інформацію щодо обсягу капітальних інвестицій у необоротні активи, до яких належать інвестиції в нові та наявні матеріальні та нематеріальні активи, придбані, у тому числі за договором фінансового лізингу, або створені для власного </w:t>
      </w:r>
      <w:r>
        <w:rPr>
          <w:rFonts w:ascii="Arial" w:eastAsia="Arial" w:hAnsi="Arial" w:cs="Arial"/>
          <w:color w:val="000000"/>
          <w:sz w:val="24"/>
          <w:szCs w:val="24"/>
        </w:rPr>
        <w:t>використання зі строком служби більше одного року, уключаючи витрати, які пов’язані з поліпшенням об’єкта (модернізація, модифікація, добудова, дообладнання, реконструкція тощо), що призводять до збільшення його строку служби або виробничої потужності, а т</w:t>
      </w:r>
      <w:r>
        <w:rPr>
          <w:rFonts w:ascii="Arial" w:eastAsia="Arial" w:hAnsi="Arial" w:cs="Arial"/>
          <w:color w:val="000000"/>
          <w:sz w:val="24"/>
          <w:szCs w:val="24"/>
        </w:rPr>
        <w:t>акож містить дані щодо витрат на будівництво житла, що будується з метою подальшого продажу (передачі).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36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Інформація щодо придбаних активів містить дані щодо їх вартості з урахуванням витрат на транспортування та монтаж, плати за митне оформлення товарів і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транспортних засобів, податків (крім ПДВ), оплати послуг юристів, оцінювачів, агентів із нерухомості. Витрати на придбання активів за договором фінансового лізингу містяться у звіті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лізингоодержувача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та можуть уважатися складовою обсягу капітальних інвести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цій. При цьому до них входить повна ринкова вартість активу, що зазначена в договорі, без урахування частини внесків, що відповідає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платежам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відсотками.</w:t>
      </w:r>
    </w:p>
    <w:p w:rsidR="007E388E" w:rsidRDefault="007E388E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bookmarkStart w:id="2" w:name="_page_12_0"/>
      <w:bookmarkEnd w:id="1"/>
      <w:r>
        <w:rPr>
          <w:rFonts w:ascii="Arial" w:eastAsia="Arial" w:hAnsi="Arial" w:cs="Arial"/>
          <w:color w:val="000000"/>
          <w:sz w:val="24"/>
          <w:szCs w:val="24"/>
        </w:rPr>
        <w:t>Показник “капітальні інвестиції” не містить інформації щодо: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300" w:lineRule="auto"/>
        <w:ind w:right="64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витрат на придб</w:t>
      </w:r>
      <w:r>
        <w:rPr>
          <w:rFonts w:ascii="Arial" w:eastAsia="Arial" w:hAnsi="Arial" w:cs="Arial"/>
          <w:color w:val="000000"/>
          <w:sz w:val="24"/>
          <w:szCs w:val="24"/>
        </w:rPr>
        <w:t>ання матеріальних та нематеріальних активів із метою їх подальшого перепродажу, крім витрат на будівництво житла для подальшого продажу (передачі);</w:t>
      </w:r>
    </w:p>
    <w:p w:rsidR="007E388E" w:rsidRDefault="007E388E">
      <w:pPr>
        <w:spacing w:after="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вартості отриманих на безоплатній основі матеріальних та нематеріальних активів;</w:t>
      </w:r>
    </w:p>
    <w:p w:rsidR="007E388E" w:rsidRDefault="007E388E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авансових платежів для фі</w:t>
      </w:r>
      <w:r>
        <w:rPr>
          <w:rFonts w:ascii="Arial" w:eastAsia="Arial" w:hAnsi="Arial" w:cs="Arial"/>
          <w:color w:val="000000"/>
          <w:sz w:val="24"/>
          <w:szCs w:val="24"/>
        </w:rPr>
        <w:t>нансування будівництва та придбання обладнання;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витрат на технічне обслуговування та поточні ремонти.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35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 “у тому числі витрати на придбання активів, які були у використанні” містить інформацію з показника “капітальні інвестиції” щодо обсягу капі</w:t>
      </w:r>
      <w:r>
        <w:rPr>
          <w:rFonts w:ascii="Arial" w:eastAsia="Arial" w:hAnsi="Arial" w:cs="Arial"/>
          <w:color w:val="000000"/>
          <w:sz w:val="24"/>
          <w:szCs w:val="24"/>
        </w:rPr>
        <w:t>тальних інвестицій на придбання активів, які були у використанні в інших суб’єктів господарювання, за винятком активів, що були у використанні в інших країнах і вперше використовуються в Україні.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68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 “усього капітальних інвестицій за видами активі</w:t>
      </w:r>
      <w:r>
        <w:rPr>
          <w:rFonts w:ascii="Arial" w:eastAsia="Arial" w:hAnsi="Arial" w:cs="Arial"/>
          <w:color w:val="000000"/>
          <w:sz w:val="24"/>
          <w:szCs w:val="24"/>
        </w:rPr>
        <w:t>в” уключає інформацію щодо обсягу капітальних інвестицій у звітному періоді, який сумарно дорівнює обсягу капітальних інвестицій у матеріальні та нематеріальні активи, відображеному у відповідних рядках за показниками “капітальні інвестиції” та “у тому чис</w:t>
      </w:r>
      <w:r>
        <w:rPr>
          <w:rFonts w:ascii="Arial" w:eastAsia="Arial" w:hAnsi="Arial" w:cs="Arial"/>
          <w:color w:val="000000"/>
          <w:sz w:val="24"/>
          <w:szCs w:val="24"/>
        </w:rPr>
        <w:t>лі витрати на придбання активів, які були у використанні”.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1" w:lineRule="auto"/>
        <w:ind w:right="40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 “житлові будинки” містить інформацію з показника “матеріальні активи” щодо обсягу капітальних інвестицій у житлові будинки: одноквартирні (уключаючи відокремлені житлові будинки садибн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ого типу, дачі, будинки лісників, садові та інші літні будинки для тимчасового проживання, зблоковані та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терасні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будинки з окремими квартирами, кожна з яких має власний дах та власний вхід з вулиці); житлові будинки з двома та більше квартирами (уключаючи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відокремлені, зблоковані та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терасні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будинки з двома квартирами); інші житлові будинки з трьома та більше квартирами; житлові будинки для колективного проживання (уключаючи гуртожитки для студентів та учнів навчальних закладів, робітників та службовців, жит</w:t>
      </w:r>
      <w:r>
        <w:rPr>
          <w:rFonts w:ascii="Arial" w:eastAsia="Arial" w:hAnsi="Arial" w:cs="Arial"/>
          <w:color w:val="000000"/>
          <w:sz w:val="24"/>
          <w:szCs w:val="24"/>
        </w:rPr>
        <w:t>лові будинки для дітей-сиріт та дітей з інвалідністю, для осіб літнього віку та осіб з інвалідністю, інших соціальних груп (будинки для біженців, притулки для бездомних тощо)) відповідно до Національного класифікатора будівель і споруд НК 018:2023, затверд</w:t>
      </w:r>
      <w:r>
        <w:rPr>
          <w:rFonts w:ascii="Arial" w:eastAsia="Arial" w:hAnsi="Arial" w:cs="Arial"/>
          <w:color w:val="000000"/>
          <w:sz w:val="24"/>
          <w:szCs w:val="24"/>
        </w:rPr>
        <w:t>женого наказом Міністерства економіки України від 16 травня 2023 року № 3573 (далі – НК БС).</w:t>
      </w:r>
    </w:p>
    <w:p w:rsidR="007E388E" w:rsidRDefault="007E388E">
      <w:pPr>
        <w:spacing w:after="1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300" w:lineRule="auto"/>
        <w:ind w:right="134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Цей показник також містить інформацію щодо витрат на будівництво житла, що будується для подальшого продажу (передачі).</w:t>
      </w:r>
    </w:p>
    <w:p w:rsidR="007E388E" w:rsidRDefault="007E388E">
      <w:pPr>
        <w:spacing w:after="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122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Показник “із них житлові будинки, що б</w:t>
      </w:r>
      <w:r>
        <w:rPr>
          <w:rFonts w:ascii="Arial" w:eastAsia="Arial" w:hAnsi="Arial" w:cs="Arial"/>
          <w:color w:val="000000"/>
          <w:sz w:val="24"/>
          <w:szCs w:val="24"/>
        </w:rPr>
        <w:t>удуються з метою подальшого продажу (передачі)” містить інформацію з показника “житлові будинки” щодо витрат на будівництво житла, що будується з метою подальшого продажу (передачі).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445"/>
        <w:rPr>
          <w:rFonts w:ascii="Arial" w:eastAsia="Arial" w:hAnsi="Arial" w:cs="Arial"/>
          <w:color w:val="212121"/>
          <w:sz w:val="24"/>
          <w:szCs w:val="24"/>
        </w:rPr>
      </w:pPr>
      <w:bookmarkStart w:id="3" w:name="_page_14_0"/>
      <w:bookmarkEnd w:id="2"/>
      <w:r>
        <w:rPr>
          <w:rFonts w:ascii="Arial" w:eastAsia="Arial" w:hAnsi="Arial" w:cs="Arial"/>
          <w:color w:val="000000"/>
          <w:sz w:val="24"/>
          <w:szCs w:val="24"/>
        </w:rPr>
        <w:t>6. Показник “нежитлові будівлі” містить інформа</w:t>
      </w:r>
      <w:r>
        <w:rPr>
          <w:rFonts w:ascii="Arial" w:eastAsia="Arial" w:hAnsi="Arial" w:cs="Arial"/>
          <w:color w:val="000000"/>
          <w:sz w:val="24"/>
          <w:szCs w:val="24"/>
        </w:rPr>
        <w:t>цію з показника “матеріальні активи” щодо обсягу капітальних інвестицій у нежитлові будівлі: будівлі готельні (уключаючи відокремлені будівлі ресторанів та барів) та подібні будівлі, офісні будівлі, будівлі оптово-роздрібної торгівлі, будівлі транспорту та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зв’язку, промислові та складські будівлі, будівлі громадського дозвілля, освіти, охорони здоров’я та соціального захисту, інші нежитлові будівлі відповідно до НК БС.</w:t>
      </w:r>
    </w:p>
    <w:p w:rsidR="007E388E" w:rsidRDefault="007E388E">
      <w:pPr>
        <w:spacing w:after="1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1" w:lineRule="auto"/>
        <w:ind w:right="40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 Показник “інженерні споруди” містить інформацію з показника “матеріальні активи” щодо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обсягу капітальних інвестицій в інженерні споруди: автомобільні дороги загального користування, вулиці та інші дороги, залізниці, злітно-посадкові смуги,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мости, естакади, тунелі та метро, портові споруди, канали, дамби та інші водні споруди, магістральні </w:t>
      </w:r>
      <w:r>
        <w:rPr>
          <w:rFonts w:ascii="Arial" w:eastAsia="Arial" w:hAnsi="Arial" w:cs="Arial"/>
          <w:color w:val="000000"/>
          <w:sz w:val="24"/>
          <w:szCs w:val="24"/>
        </w:rPr>
        <w:t>трубопроводи, лінії електронних комунікаційних мереж та електропередачі, місцеві трубопроводи, лінії електронних комунікаційних мереж та електропередачі, комплексні споруди промислових об’єктів, спортивні та рекреаційні споруди, інші інженерні споруди відп</w:t>
      </w:r>
      <w:r>
        <w:rPr>
          <w:rFonts w:ascii="Arial" w:eastAsia="Arial" w:hAnsi="Arial" w:cs="Arial"/>
          <w:color w:val="000000"/>
          <w:sz w:val="24"/>
          <w:szCs w:val="24"/>
        </w:rPr>
        <w:t>овідно до НК БС.</w:t>
      </w:r>
    </w:p>
    <w:p w:rsidR="007E388E" w:rsidRDefault="007E388E">
      <w:pPr>
        <w:spacing w:after="14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52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Показник “машини, обладнання та інвентар” містить інформацію з показника “матеріальні активи” щодо обсягу капітальних інвестицій у технологічне, енергетичне,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підйомно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-транспортне та інше обладнання, машини (у тому числі сільськогоспода</w:t>
      </w:r>
      <w:r>
        <w:rPr>
          <w:rFonts w:ascii="Arial" w:eastAsia="Arial" w:hAnsi="Arial" w:cs="Arial"/>
          <w:color w:val="000000"/>
          <w:sz w:val="24"/>
          <w:szCs w:val="24"/>
        </w:rPr>
        <w:t>рські та лісогосподарські), інструмент, інвентар, які не пов’язані безпосередньо із функціонуванням будівель (споруд), уключаючи витрати на їх монтаж: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45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силові машини та обладнання, машини-генератори, що виробляють теплову та електричну енергію, і машини-дв</w:t>
      </w:r>
      <w:r>
        <w:rPr>
          <w:rFonts w:ascii="Arial" w:eastAsia="Arial" w:hAnsi="Arial" w:cs="Arial"/>
          <w:color w:val="000000"/>
          <w:sz w:val="24"/>
          <w:szCs w:val="24"/>
        </w:rPr>
        <w:t>игуни, що перетворюють різного роду енергію (енергію води, вітру, теплову, електричну енергію тощо) в механічну;</w:t>
      </w:r>
    </w:p>
    <w:p w:rsidR="007E388E" w:rsidRDefault="007E388E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0" w:lineRule="auto"/>
        <w:ind w:right="61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робочі машини та обладнання, машини, апарати та їх обладнання, що призначені для механічного, термічного й хімічного впливу на предмет праці 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процесі створення продукту чи послуг виробничого характеру та переміщення предметів праці у виробничому процесі за допомогою механічних двигунів, сили людини та тварин; машини сільськогосподарські та лісогосподарські;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43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вимірювальні прилади (дозатори, баро</w:t>
      </w:r>
      <w:r>
        <w:rPr>
          <w:rFonts w:ascii="Arial" w:eastAsia="Arial" w:hAnsi="Arial" w:cs="Arial"/>
          <w:color w:val="000000"/>
          <w:sz w:val="24"/>
          <w:szCs w:val="24"/>
        </w:rPr>
        <w:t>метри, водоміри, геодезичні прилади, гігроскопи, індикатори, спеціальні ваги, мірники, касові апарати тощо);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5" w:lineRule="auto"/>
        <w:ind w:right="96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регулювальні прилади та пристрої (киснево-дихальні прилади, регулювальні, електричні, пневматичні та гідравлічні пристрої, пульти автоматичного уп</w:t>
      </w:r>
      <w:r>
        <w:rPr>
          <w:rFonts w:ascii="Arial" w:eastAsia="Arial" w:hAnsi="Arial" w:cs="Arial"/>
          <w:color w:val="000000"/>
          <w:sz w:val="24"/>
          <w:szCs w:val="24"/>
        </w:rPr>
        <w:t>равління, апаратура централізації та блокування, лінійні пристрої диспетчерського контролю тощо);</w:t>
      </w:r>
    </w:p>
    <w:p w:rsidR="007E388E" w:rsidRDefault="007E388E">
      <w:pPr>
        <w:spacing w:after="11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1" w:lineRule="auto"/>
        <w:ind w:right="62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лабораторне обладнання (пірометри, регулятори, калориметри, прилади для визначення вологи, перегінні куби, лабораторні копри, прилади для випробування на газ</w:t>
      </w:r>
      <w:r>
        <w:rPr>
          <w:rFonts w:ascii="Arial" w:eastAsia="Arial" w:hAnsi="Arial" w:cs="Arial"/>
          <w:color w:val="000000"/>
          <w:sz w:val="24"/>
          <w:szCs w:val="24"/>
        </w:rPr>
        <w:t>онепроникність, прилади для випробування міцності зразків на розрив, мікроскопи, термостати, стабілізатори, витяжні шафи тощо);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385"/>
        <w:rPr>
          <w:rFonts w:ascii="Arial" w:eastAsia="Arial" w:hAnsi="Arial" w:cs="Arial"/>
          <w:color w:val="212121"/>
          <w:sz w:val="24"/>
          <w:szCs w:val="24"/>
        </w:rPr>
      </w:pPr>
      <w:bookmarkStart w:id="4" w:name="_page_16_0"/>
      <w:bookmarkEnd w:id="3"/>
      <w:r>
        <w:rPr>
          <w:rFonts w:ascii="Arial" w:eastAsia="Arial" w:hAnsi="Arial" w:cs="Arial"/>
          <w:color w:val="000000"/>
          <w:sz w:val="24"/>
          <w:szCs w:val="24"/>
        </w:rPr>
        <w:t>комп’ютерна техніка та її комплектуючі (комп’ютери, монітори, периферійне й мережеве обладнання комп’ютера</w:t>
      </w:r>
      <w:r>
        <w:rPr>
          <w:rFonts w:ascii="Arial" w:eastAsia="Arial" w:hAnsi="Arial" w:cs="Arial"/>
          <w:color w:val="000000"/>
          <w:sz w:val="24"/>
          <w:szCs w:val="24"/>
        </w:rPr>
        <w:t>, що за вартістю одиниці чи комплекту належить до основних засобів) та електронні засоби обробки інформації (електронно-обчислювальні, керуючі та аналогові машини, цифрові обчислювальні машини та пристрої тощо);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82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медичне обладнання (зуболікувальні крісла,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операційні столи, ліжка зі спеціальним обладнанням тощо), спеціальне дезінфекційне та дезінсекційне обладнання, обладнання молочних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кухонь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та молочних станцій, станцій переливання крові тощо;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79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інші машини та обладнання (обладнання стадіонів, спортмайданчик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ів та спортивних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приміщень (у тому числі спортивні снаряди), обладнання кабінетів та майстерень у навчальних закладах, кіноапаратура, освітлювальна апаратура, обладнання сцен, музичні інструменти, телевізори, радіоапаратура, спеціальне обладнання науково-д</w:t>
      </w:r>
      <w:r>
        <w:rPr>
          <w:rFonts w:ascii="Arial" w:eastAsia="Arial" w:hAnsi="Arial" w:cs="Arial"/>
          <w:color w:val="000000"/>
          <w:sz w:val="24"/>
          <w:szCs w:val="24"/>
        </w:rPr>
        <w:t>ослідних та інших установ, які займаються науковою діяльністю, обладнання АТС, телефони, факси, копіювальна техніка, пожежні машини, пожежні автоцистерни, механічні пожежні драбини, пральні та швейні машини, холодильники тощо);</w:t>
      </w:r>
    </w:p>
    <w:p w:rsidR="007E388E" w:rsidRDefault="007E388E">
      <w:pPr>
        <w:spacing w:after="1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інструменти, виробничий і г</w:t>
      </w:r>
      <w:r>
        <w:rPr>
          <w:rFonts w:ascii="Arial" w:eastAsia="Arial" w:hAnsi="Arial" w:cs="Arial"/>
          <w:color w:val="000000"/>
          <w:sz w:val="24"/>
          <w:szCs w:val="24"/>
        </w:rPr>
        <w:t>осподарський інвентар, приладдя.</w:t>
      </w:r>
    </w:p>
    <w:p w:rsidR="007E388E" w:rsidRDefault="007E388E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Цей показник не включає вартість малоцінних необоротних матеріальних активів.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41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Різниця даних граф “капітальні інвестиції” та “у тому числі витрати на придбання активів, які були у використанні” за показником “машини, облад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нання та інвентар” може бути більшою або дорівнювати різниці відповідних граф суми показників “комп’ютерна та телекомунікаційна техніка”, “інше електричне й електронне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устатковання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”, “меблі та приладдя”.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35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9. Показник “комп’ютерна та телекомунікаційна техні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ка” містить інформацію з показника “машини, обладнання та інвентар” щодо витрат на машини для автоматизованого оброблення даних,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лептопи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ноутбуки, комп’ютери, пристрої для введення та виведення інформації, запам’ятовувальні пристрої, апаратуру для запису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чи відтворення зображення, апаратуру для передачі та приймання звуку, зображення та іншої інформації, апаратуру для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проводової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чи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безпроводової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мережі зв’язку (такої, як локальна чи глобальна мережа).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1" w:lineRule="auto"/>
        <w:ind w:right="43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10. Показник “інше електричне й електронне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устаткованн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” містить інформацію з показника “машини, обладнання та інвентар” щодо витрат на інше електричне й електронне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устатковання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крім комп’ютерної та телекомунікаційної техніки: електронно-обчислювальні та електричні машини й апаратуру, інше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устатковання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для р</w:t>
      </w:r>
      <w:r>
        <w:rPr>
          <w:rFonts w:ascii="Arial" w:eastAsia="Arial" w:hAnsi="Arial" w:cs="Arial"/>
          <w:color w:val="000000"/>
          <w:sz w:val="24"/>
          <w:szCs w:val="24"/>
        </w:rPr>
        <w:t>адіо, телебачення, медичні прилади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електродіагностичну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апаратуру тощо), точні вимірювальні та оптичні пристрої тощо.</w:t>
      </w:r>
    </w:p>
    <w:p w:rsidR="007E388E" w:rsidRDefault="007E388E">
      <w:pPr>
        <w:spacing w:after="14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300" w:lineRule="auto"/>
        <w:ind w:right="37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11. Показник “меблі та приладдя” містить інформацію з показника “машини, обладнання та інвентар” щодо витрат на меблі та приладдя.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2" w:lineRule="auto"/>
        <w:ind w:right="435"/>
        <w:rPr>
          <w:rFonts w:ascii="Arial" w:eastAsia="Arial" w:hAnsi="Arial" w:cs="Arial"/>
          <w:color w:val="212121"/>
          <w:sz w:val="24"/>
          <w:szCs w:val="24"/>
        </w:rPr>
      </w:pPr>
      <w:bookmarkStart w:id="5" w:name="_page_18_0"/>
      <w:bookmarkEnd w:id="4"/>
      <w:r>
        <w:rPr>
          <w:rFonts w:ascii="Arial" w:eastAsia="Arial" w:hAnsi="Arial" w:cs="Arial"/>
          <w:color w:val="000000"/>
          <w:sz w:val="24"/>
          <w:szCs w:val="24"/>
        </w:rPr>
        <w:t>12. Показник “транспортні засоби” містить інформацію з показника “матеріальні активи” щодо обсягу капітальних інвестицій у транспортні засоби: рухомий склад залізничного, водного, автомобільного транспорту (електровози, тепловози, паро</w:t>
      </w:r>
      <w:r>
        <w:rPr>
          <w:rFonts w:ascii="Arial" w:eastAsia="Arial" w:hAnsi="Arial" w:cs="Arial"/>
          <w:color w:val="000000"/>
          <w:sz w:val="24"/>
          <w:szCs w:val="24"/>
        </w:rPr>
        <w:t>вози, мотовози, мотодрезини, вагони, платформи, цистерни, теплоходи, пароплави, дизель-електроходи, буксири, баржі, пороми, барки, човни та судна службово-допоміжні, рятувальні, пристані, парусні судна, автомобілі вантажні та легкові, причепи, автосамоскид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и, автоцистерни, автобуси, трактори-тягачі та інші), рухомий склад повітряного транспорту (літаки, вертольоти), гужового транспорту (вози, сани та інше), виробничого транспорту (електрокари, мотоцикли, моторолери, велосипеди, візки та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інші), усі види спорт</w:t>
      </w:r>
      <w:r>
        <w:rPr>
          <w:rFonts w:ascii="Arial" w:eastAsia="Arial" w:hAnsi="Arial" w:cs="Arial"/>
          <w:color w:val="000000"/>
          <w:sz w:val="24"/>
          <w:szCs w:val="24"/>
        </w:rPr>
        <w:t>ивного транспорту.</w:t>
      </w:r>
    </w:p>
    <w:p w:rsidR="007E388E" w:rsidRDefault="007E388E">
      <w:pPr>
        <w:spacing w:after="14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0" w:lineRule="auto"/>
        <w:ind w:right="55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13. Показник “земельні ділянки” містить інформацію з показника “матеріальні активи” щодо обсягу капітальних інвестицій на придбання у власність згідно з чинним законодавством земельних ділянок і придбання природних ресурсів для подальшо</w:t>
      </w:r>
      <w:r>
        <w:rPr>
          <w:rFonts w:ascii="Arial" w:eastAsia="Arial" w:hAnsi="Arial" w:cs="Arial"/>
          <w:color w:val="000000"/>
          <w:sz w:val="24"/>
          <w:szCs w:val="24"/>
        </w:rPr>
        <w:t>го видобутку нафти, газу тощо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У тому числі цей показник уключає витрати на придбання землі під будівництво житла, що будується з метою подальшого продажу (передачі).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Цей показник не включає витрати на поліпшення земель.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42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14. Показник “поліпшення земель” </w:t>
      </w:r>
      <w:r>
        <w:rPr>
          <w:rFonts w:ascii="Arial" w:eastAsia="Arial" w:hAnsi="Arial" w:cs="Arial"/>
          <w:color w:val="000000"/>
          <w:sz w:val="24"/>
          <w:szCs w:val="24"/>
        </w:rPr>
        <w:t>містить інформацію з показника “матеріальні активи” щодо витрат на меліоративні, осушувальні, іригаційні та інші роботи, пов’язані з поліпшенням земель.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Цей показник не є складовою показника “земельні ділянки”.</w:t>
      </w:r>
    </w:p>
    <w:p w:rsidR="007E388E" w:rsidRDefault="007E388E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0" w:lineRule="auto"/>
        <w:ind w:right="6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15. Показник “довгострокові біологічні акти</w:t>
      </w:r>
      <w:r>
        <w:rPr>
          <w:rFonts w:ascii="Arial" w:eastAsia="Arial" w:hAnsi="Arial" w:cs="Arial"/>
          <w:color w:val="000000"/>
          <w:sz w:val="24"/>
          <w:szCs w:val="24"/>
        </w:rPr>
        <w:t>ви рослинництва” містить інформацію з показника “матеріальні активи” щодо обсягу капітальних інвестицій на придбання або вирощування довгострокових біологічних активів рослинництва, що належать до сільськогосподарської діяльності, багаторічні насадження, я</w:t>
      </w:r>
      <w:r>
        <w:rPr>
          <w:rFonts w:ascii="Arial" w:eastAsia="Arial" w:hAnsi="Arial" w:cs="Arial"/>
          <w:color w:val="000000"/>
          <w:sz w:val="24"/>
          <w:szCs w:val="24"/>
        </w:rPr>
        <w:t>кі не пов’язані з сільськогосподарською діяльністю, тощо.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6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16. Показник “довгострокові біологічні активи тваринництва” містить інформацію з показника “матеріальні активи” щодо обсягу капітальних інвестицій на придбання або вирощування (створення) довгостро</w:t>
      </w:r>
      <w:r>
        <w:rPr>
          <w:rFonts w:ascii="Arial" w:eastAsia="Arial" w:hAnsi="Arial" w:cs="Arial"/>
          <w:color w:val="000000"/>
          <w:sz w:val="24"/>
          <w:szCs w:val="24"/>
        </w:rPr>
        <w:t>кових біологічних активів тваринництва, у тому числі незрілих.</w:t>
      </w:r>
    </w:p>
    <w:p w:rsidR="007E388E" w:rsidRDefault="007E388E">
      <w:pPr>
        <w:spacing w:after="15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54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Цей показник не включає витрати на придбання або вирощування дорослих тварин і молодняку на відгодівлі та в нагулі, птиці, кроликів, дорослих тварин, що вибракувані з основного стада для реа</w:t>
      </w:r>
      <w:r>
        <w:rPr>
          <w:rFonts w:ascii="Arial" w:eastAsia="Arial" w:hAnsi="Arial" w:cs="Arial"/>
          <w:color w:val="000000"/>
          <w:sz w:val="24"/>
          <w:szCs w:val="24"/>
        </w:rPr>
        <w:t>лізації, бджолиних сімей, риби (риборозведення).</w:t>
      </w:r>
    </w:p>
    <w:p w:rsidR="007E388E" w:rsidRDefault="007E388E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 w:rsidP="004F228B">
      <w:pPr>
        <w:widowControl w:val="0"/>
        <w:spacing w:line="291" w:lineRule="auto"/>
        <w:ind w:right="51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17. Показник “інші матеріальні активи” містить інформацію з показника “матеріальні активи” щодо обсягу капітальних інвестицій на придбання або створення (будівництво) власними силами інших необоротних матер</w:t>
      </w:r>
      <w:r>
        <w:rPr>
          <w:rFonts w:ascii="Arial" w:eastAsia="Arial" w:hAnsi="Arial" w:cs="Arial"/>
          <w:color w:val="000000"/>
          <w:sz w:val="24"/>
          <w:szCs w:val="24"/>
        </w:rPr>
        <w:t>іальних активів: бібліотечних фондів; малоцінних необоротних матеріальних активів; тимчасових (нетитульних) споруд (крім</w:t>
      </w:r>
      <w:bookmarkStart w:id="6" w:name="_page_21_0"/>
      <w:bookmarkEnd w:id="5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витрат на зведення таких споруд, які замовник уключає в обсяг капітальних інвестицій у капітальне будівництво та </w:t>
      </w:r>
      <w:r>
        <w:rPr>
          <w:rFonts w:ascii="Arial" w:eastAsia="Arial" w:hAnsi="Arial" w:cs="Arial"/>
          <w:color w:val="000000"/>
          <w:sz w:val="24"/>
          <w:szCs w:val="24"/>
        </w:rPr>
        <w:t>оплачує); інвентарної тари; предметів прокату; тварин, які не пов’язані із сільськогосподарською діяльністю; а також щодо витрат орендаря на поліпшення об’єкта операційної оренди тощо.</w:t>
      </w:r>
    </w:p>
    <w:p w:rsidR="007E388E" w:rsidRDefault="007E388E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18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18. Показник “нематеріальні активи” містить інформацію з показника “ус</w:t>
      </w:r>
      <w:r>
        <w:rPr>
          <w:rFonts w:ascii="Arial" w:eastAsia="Arial" w:hAnsi="Arial" w:cs="Arial"/>
          <w:color w:val="000000"/>
          <w:sz w:val="24"/>
          <w:szCs w:val="24"/>
        </w:rPr>
        <w:t>ього капітальних інвестицій за видами активів” щодо обсягу капітальних інвестицій на придбання та створення власними силами необоротних нематеріальних активів: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60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права користування природними ресурсами (право користування надрами, іншими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ресурсами природног</w:t>
      </w:r>
      <w:r>
        <w:rPr>
          <w:rFonts w:ascii="Arial" w:eastAsia="Arial" w:hAnsi="Arial" w:cs="Arial"/>
          <w:color w:val="000000"/>
          <w:sz w:val="24"/>
          <w:szCs w:val="24"/>
        </w:rPr>
        <w:t>о середовища, геологічною та іншою інформацією про природне середовище тощо), уключаючи витрати на розробку корисних копалин;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86" w:lineRule="auto"/>
        <w:ind w:right="149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права користування майном (право користування земельною ділянкою, право користування будівлею, право на оренду приміщень тощо);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00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права на комерційні позначення (права на торговельні марки, комерційні (фірмові) найменування тощо);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46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права на об’єкти промислової власності (права на винаходи, патенти, ліцензії, концесії, промислові зразки, сорти рослин, породи тварин, захист від недобро</w:t>
      </w:r>
      <w:r>
        <w:rPr>
          <w:rFonts w:ascii="Arial" w:eastAsia="Arial" w:hAnsi="Arial" w:cs="Arial"/>
          <w:color w:val="000000"/>
          <w:sz w:val="24"/>
          <w:szCs w:val="24"/>
        </w:rPr>
        <w:t>совісної конкуренції, ноу-хау тощо);</w:t>
      </w:r>
    </w:p>
    <w:p w:rsidR="007E388E" w:rsidRDefault="007E388E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активи з розвідки запасів корисних копалин;</w:t>
      </w:r>
    </w:p>
    <w:p w:rsidR="007E388E" w:rsidRDefault="007E388E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36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авторське право та суміжні з ним права (право на літературні, художні, музичні твори, комп’ютерні програми, програми для електронно-обчислювальних машин, компіляції даних (б</w:t>
      </w:r>
      <w:r>
        <w:rPr>
          <w:rFonts w:ascii="Arial" w:eastAsia="Arial" w:hAnsi="Arial" w:cs="Arial"/>
          <w:color w:val="000000"/>
          <w:sz w:val="24"/>
          <w:szCs w:val="24"/>
        </w:rPr>
        <w:t>ази даних), виконання, фонограми, відеограми, передачі (програми) організацій мовлення тощо);</w:t>
      </w:r>
    </w:p>
    <w:p w:rsidR="007E388E" w:rsidRDefault="007E388E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66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інші нематеріальні активи (права на здійснення діяльності або використання економічних та інших привілеїв тощо).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5" w:lineRule="auto"/>
        <w:ind w:right="103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Різниця даних граф “капітальні інвестиції” та “</w:t>
      </w:r>
      <w:r>
        <w:rPr>
          <w:rFonts w:ascii="Arial" w:eastAsia="Arial" w:hAnsi="Arial" w:cs="Arial"/>
          <w:color w:val="000000"/>
          <w:sz w:val="24"/>
          <w:szCs w:val="24"/>
        </w:rPr>
        <w:t>у тому числі витрати на придбання активів, які були у використанні” за показником “нематеріальні активи” може бути більша або дорівнювати різниці відповідних граф за показником “із них програмне забезпечення та бази даних”.</w:t>
      </w:r>
    </w:p>
    <w:p w:rsidR="007E388E" w:rsidRDefault="007E388E">
      <w:pPr>
        <w:spacing w:after="11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1" w:lineRule="auto"/>
        <w:ind w:right="35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19. Показник “із них програмне </w:t>
      </w:r>
      <w:r>
        <w:rPr>
          <w:rFonts w:ascii="Arial" w:eastAsia="Arial" w:hAnsi="Arial" w:cs="Arial"/>
          <w:color w:val="000000"/>
          <w:sz w:val="24"/>
          <w:szCs w:val="24"/>
        </w:rPr>
        <w:t>забезпечення та бази даних” містить інформацію з показника “нематеріальні активи” щодо витрат на придбання або створення власними силами засобів програмного забезпечення та баз даних за умови використання їх понад один рік, у тому числі інвестиції в їх мод</w:t>
      </w:r>
      <w:r>
        <w:rPr>
          <w:rFonts w:ascii="Arial" w:eastAsia="Arial" w:hAnsi="Arial" w:cs="Arial"/>
          <w:color w:val="000000"/>
          <w:sz w:val="24"/>
          <w:szCs w:val="24"/>
        </w:rPr>
        <w:t>ернізацію або поліпшення.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545"/>
        <w:rPr>
          <w:rFonts w:ascii="Arial" w:eastAsia="Arial" w:hAnsi="Arial" w:cs="Arial"/>
          <w:color w:val="212121"/>
          <w:sz w:val="24"/>
          <w:szCs w:val="24"/>
        </w:rPr>
      </w:pPr>
      <w:bookmarkStart w:id="7" w:name="_page_23_0"/>
      <w:bookmarkEnd w:id="6"/>
      <w:r>
        <w:rPr>
          <w:rFonts w:ascii="Arial" w:eastAsia="Arial" w:hAnsi="Arial" w:cs="Arial"/>
          <w:color w:val="000000"/>
          <w:sz w:val="24"/>
          <w:szCs w:val="24"/>
        </w:rPr>
        <w:t>Такими об’єктами авторського права в межах цих Роз’яснень є: компіляція даних (база даних), комп’ютерна програма, сайт (як кінцевий результат комп’ютерного програмування).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86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20. Показник “витрати на оплату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послуг юристів, оцінювачів, агентів із нерухомості тощо, які пов’язані з переходом прав власності” містить інформацію з показника “нематеріальні активи” щодо витрат на оплату послуг юристів, оцінювачів, агентів із нерухомості, інших витрат, пов’язаних із </w:t>
      </w:r>
      <w:r>
        <w:rPr>
          <w:rFonts w:ascii="Arial" w:eastAsia="Arial" w:hAnsi="Arial" w:cs="Arial"/>
          <w:color w:val="000000"/>
          <w:sz w:val="24"/>
          <w:szCs w:val="24"/>
        </w:rPr>
        <w:t>переходом прав на нематеріальні активи (авторські права, ліцензії, патенти тощо).</w:t>
      </w:r>
    </w:p>
    <w:p w:rsidR="007E388E" w:rsidRDefault="007E388E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55" w:lineRule="auto"/>
        <w:ind w:right="1094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III. Показники щодо розподілу капітальних інвестицій за джерелами фінансування (розділ 2 форми № 2-інвестиції (квартальна))</w:t>
      </w:r>
    </w:p>
    <w:p w:rsidR="007E388E" w:rsidRDefault="007E388E">
      <w:pPr>
        <w:spacing w:after="18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86" w:lineRule="auto"/>
        <w:ind w:right="50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1. Показник “кошти державного бюджету” містить і</w:t>
      </w:r>
      <w:r>
        <w:rPr>
          <w:rFonts w:ascii="Arial" w:eastAsia="Arial" w:hAnsi="Arial" w:cs="Arial"/>
          <w:color w:val="000000"/>
          <w:sz w:val="24"/>
          <w:szCs w:val="24"/>
        </w:rPr>
        <w:t>нформацію щодо обсягу капітальних інвестицій, здійсненого за рахунок коштів державного бюджету.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1" w:lineRule="auto"/>
        <w:ind w:right="35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 “кошти місцевих бюджетів (міста, району, області тощо)” містить інформацію щодо обсягу капітальних інвестицій, здійсненого за рахунок коштів бюджет</w:t>
      </w:r>
      <w:r>
        <w:rPr>
          <w:rFonts w:ascii="Arial" w:eastAsia="Arial" w:hAnsi="Arial" w:cs="Arial"/>
          <w:color w:val="000000"/>
          <w:sz w:val="24"/>
          <w:szCs w:val="24"/>
        </w:rPr>
        <w:t>у Автономної Республіки Крим, коштів місцевих бюджетів, уключаючи кошти субвенцій із державного бюджету.</w:t>
      </w:r>
    </w:p>
    <w:p w:rsidR="007E388E" w:rsidRDefault="007E388E">
      <w:pPr>
        <w:spacing w:after="16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65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 “власні кошти підприємств і організацій” містить інформацію щодо обсягу капітальних інвестицій, здійсненого за рахунок власних коштів підп</w:t>
      </w:r>
      <w:r>
        <w:rPr>
          <w:rFonts w:ascii="Arial" w:eastAsia="Arial" w:hAnsi="Arial" w:cs="Arial"/>
          <w:color w:val="000000"/>
          <w:sz w:val="24"/>
          <w:szCs w:val="24"/>
        </w:rPr>
        <w:t>риємств усіх форм господарювання, коштів, отриманих підприємством у результаті звичайної господарсько</w:t>
      </w:r>
      <w:bookmarkStart w:id="8" w:name="_GoBack"/>
      <w:bookmarkEnd w:id="8"/>
      <w:r>
        <w:rPr>
          <w:rFonts w:ascii="Arial" w:eastAsia="Arial" w:hAnsi="Arial" w:cs="Arial"/>
          <w:color w:val="000000"/>
          <w:sz w:val="24"/>
          <w:szCs w:val="24"/>
        </w:rPr>
        <w:t>ї діяльності, а також амортизаційних відрахувань із матеріальних та нематеріальних необоротних активів, нарахованих протягом звітного періоду.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161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“кредити банків та інші позики” містить інформацію щодо обсягу капітальних інвестицій, здійсненого за рахунок кредитів банків (резидентів та нерезидентів), інших позик.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103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Показник “із них кредити банків-нерезидентів” містить інформацію з показника “кред</w:t>
      </w:r>
      <w:r>
        <w:rPr>
          <w:rFonts w:ascii="Arial" w:eastAsia="Arial" w:hAnsi="Arial" w:cs="Arial"/>
          <w:color w:val="000000"/>
          <w:sz w:val="24"/>
          <w:szCs w:val="24"/>
        </w:rPr>
        <w:t>ити банків та інші позики” щодо обсягу капітальних інвестицій, здійсненого за рахунок кредитів банків-нерезидентів.</w:t>
      </w:r>
    </w:p>
    <w:p w:rsidR="007E388E" w:rsidRDefault="007E388E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72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Показник “кошти інвестиційних компаній, фондів тощо” містить інформацію щодо обсягу капітальних інвестицій, здійсненого за рахунок кошті</w:t>
      </w:r>
      <w:r>
        <w:rPr>
          <w:rFonts w:ascii="Arial" w:eastAsia="Arial" w:hAnsi="Arial" w:cs="Arial"/>
          <w:color w:val="000000"/>
          <w:sz w:val="24"/>
          <w:szCs w:val="24"/>
        </w:rPr>
        <w:t>в інвестиційних компаній, фондів, крім тих, через які фінансується будівництво житла населенням.</w:t>
      </w:r>
    </w:p>
    <w:p w:rsidR="007E388E" w:rsidRDefault="007E388E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86" w:lineRule="auto"/>
        <w:ind w:right="143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 Показник “кошти інвесторів-нерезидентів” містить інформацію щодо обсягу капітальних інвестицій, здійсненого за рахунок коштів інвесторів-нерезидентів.</w:t>
      </w:r>
    </w:p>
    <w:p w:rsidR="007E388E" w:rsidRDefault="007E388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E388E" w:rsidRDefault="004F228B">
      <w:pPr>
        <w:widowControl w:val="0"/>
        <w:spacing w:line="293" w:lineRule="auto"/>
        <w:ind w:right="434"/>
        <w:rPr>
          <w:rFonts w:ascii="Arial" w:eastAsia="Arial" w:hAnsi="Arial" w:cs="Arial"/>
          <w:color w:val="212121"/>
          <w:sz w:val="24"/>
          <w:szCs w:val="24"/>
        </w:rPr>
      </w:pPr>
      <w:bookmarkStart w:id="9" w:name="_page_25_0"/>
      <w:bookmarkEnd w:id="7"/>
      <w:r>
        <w:rPr>
          <w:rFonts w:ascii="Arial" w:eastAsia="Arial" w:hAnsi="Arial" w:cs="Arial"/>
          <w:color w:val="000000"/>
          <w:sz w:val="24"/>
          <w:szCs w:val="24"/>
        </w:rPr>
        <w:t>8. Показник “кошти населення на будівництво житла” містить інформацію щодо обсягу капітальних інвестицій, здійсненого за рахунок коштів населення на будівництво житла, у тому числі через фонди фінансування будівництва та фонди опера</w:t>
      </w:r>
      <w:r>
        <w:rPr>
          <w:rFonts w:ascii="Arial" w:eastAsia="Arial" w:hAnsi="Arial" w:cs="Arial"/>
          <w:color w:val="000000"/>
          <w:sz w:val="24"/>
          <w:szCs w:val="24"/>
        </w:rPr>
        <w:t>цій із нерухомістю. Цей показник не включає обсяг капітальних інвестицій, здійснений за рахунок іпотечного кредитування.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36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9. Показник “інші джерела фінансування” містить інформацію щодо обсягу капітальних інвестицій, здійсненого за рахунок інших джерел фін</w:t>
      </w:r>
      <w:r>
        <w:rPr>
          <w:rFonts w:ascii="Arial" w:eastAsia="Arial" w:hAnsi="Arial" w:cs="Arial"/>
          <w:color w:val="000000"/>
          <w:sz w:val="24"/>
          <w:szCs w:val="24"/>
        </w:rPr>
        <w:t>ансування, не відображених у вищезазначених джерелах фінансування (надходження релігійних організацій, що спрямовані на придбання та/або створення для власного використання матеріальних та нематеріальних активів).</w:t>
      </w:r>
    </w:p>
    <w:p w:rsidR="007E388E" w:rsidRDefault="007E388E">
      <w:pPr>
        <w:spacing w:after="12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65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Роз’яснення щодо показників форми державн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ого статистичного спостереження № 2-інвестиції (квартальна) “Звіт про капітальні інвестиції” від 21 вересня 2022 року № 19.1.2-12/33-22 </w:t>
      </w:r>
      <w:r>
        <w:rPr>
          <w:rFonts w:ascii="Arial" w:eastAsia="Arial" w:hAnsi="Arial" w:cs="Arial"/>
          <w:color w:val="000000"/>
          <w:sz w:val="24"/>
          <w:szCs w:val="24"/>
        </w:rPr>
        <w:t>є недійсними з 01 лютого 2024 року.</w:t>
      </w:r>
    </w:p>
    <w:p w:rsidR="007E388E" w:rsidRDefault="007E388E">
      <w:pPr>
        <w:spacing w:after="13" w:line="220" w:lineRule="exact"/>
        <w:rPr>
          <w:rFonts w:ascii="Arial" w:eastAsia="Arial" w:hAnsi="Arial" w:cs="Arial"/>
        </w:rPr>
      </w:pPr>
    </w:p>
    <w:p w:rsidR="007E388E" w:rsidRDefault="004F228B">
      <w:pPr>
        <w:widowControl w:val="0"/>
        <w:spacing w:line="293" w:lineRule="auto"/>
        <w:ind w:right="5456"/>
        <w:rPr>
          <w:rFonts w:ascii="Arial" w:eastAsia="Arial" w:hAnsi="Arial" w:cs="Arial"/>
          <w:b/>
          <w:bCs/>
          <w:i/>
          <w:i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Директор департаменту структурної статистики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Маргарита КУЗНЄЦОВА</w:t>
      </w:r>
      <w:bookmarkEnd w:id="9"/>
    </w:p>
    <w:sectPr w:rsidR="007E388E" w:rsidSect="004F228B">
      <w:pgSz w:w="12240" w:h="15840"/>
      <w:pgMar w:top="854" w:right="765" w:bottom="709" w:left="11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E388E"/>
    <w:rsid w:val="004F228B"/>
    <w:rsid w:val="007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88CF-20D5-47D4-8E17-2055192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12894</Words>
  <Characters>7351</Characters>
  <Application>Microsoft Office Word</Application>
  <DocSecurity>0</DocSecurity>
  <Lines>61</Lines>
  <Paragraphs>40</Paragraphs>
  <ScaleCrop>false</ScaleCrop>
  <Company>SPecialiST RePack</Company>
  <LinksUpToDate>false</LinksUpToDate>
  <CharactersWithSpaces>20205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2023-12-26T16:26:00Z</dcterms:created>
  <dcterms:modified xsi:type="dcterms:W3CDTF">2023-12-26T16:28:00Z</dcterms:modified>
</cp:coreProperties>
</file>