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tblGrid>
      <w:tr w:rsidR="000F38FB" w:rsidRPr="00626E36" w:rsidTr="009D6D08">
        <w:trPr>
          <w:trHeight w:val="426"/>
        </w:trPr>
        <w:tc>
          <w:tcPr>
            <w:tcW w:w="3368" w:type="dxa"/>
          </w:tcPr>
          <w:p w:rsidR="000F38FB" w:rsidRPr="00626E36" w:rsidRDefault="000F38FB" w:rsidP="00980266">
            <w:pPr>
              <w:contextualSpacing/>
              <w:jc w:val="both"/>
              <w:rPr>
                <w:b/>
                <w:sz w:val="28"/>
                <w:szCs w:val="28"/>
              </w:rPr>
            </w:pPr>
            <w:r w:rsidRPr="00F01132">
              <w:t xml:space="preserve">Додаток </w:t>
            </w:r>
            <w:r w:rsidR="00980266">
              <w:t>2</w:t>
            </w:r>
            <w:r w:rsidRPr="00F01132">
              <w:t xml:space="preserve"> </w:t>
            </w:r>
          </w:p>
        </w:tc>
      </w:tr>
      <w:tr w:rsidR="000F38FB" w:rsidRPr="00626E36" w:rsidTr="009D6D08">
        <w:tc>
          <w:tcPr>
            <w:tcW w:w="3368" w:type="dxa"/>
          </w:tcPr>
          <w:p w:rsidR="000F38FB" w:rsidRPr="00626E36" w:rsidRDefault="000F38FB" w:rsidP="00720BA8">
            <w:pPr>
              <w:contextualSpacing/>
              <w:jc w:val="both"/>
            </w:pPr>
          </w:p>
        </w:tc>
      </w:tr>
    </w:tbl>
    <w:p w:rsidR="003210FD" w:rsidRDefault="003210FD" w:rsidP="000F38FB">
      <w:pPr>
        <w:contextualSpacing/>
        <w:jc w:val="center"/>
        <w:rPr>
          <w:sz w:val="28"/>
          <w:szCs w:val="28"/>
        </w:rPr>
      </w:pPr>
    </w:p>
    <w:p w:rsidR="00A074FB" w:rsidRPr="003210FD" w:rsidRDefault="00A074FB" w:rsidP="000F38FB">
      <w:pPr>
        <w:contextualSpacing/>
        <w:jc w:val="center"/>
        <w:rPr>
          <w:sz w:val="28"/>
          <w:szCs w:val="28"/>
        </w:rPr>
      </w:pPr>
    </w:p>
    <w:p w:rsidR="000F38FB" w:rsidRPr="0090114B" w:rsidRDefault="000F38FB" w:rsidP="000F38FB">
      <w:pPr>
        <w:contextualSpacing/>
        <w:jc w:val="center"/>
        <w:rPr>
          <w:b/>
          <w:sz w:val="28"/>
          <w:szCs w:val="28"/>
        </w:rPr>
      </w:pPr>
      <w:r w:rsidRPr="0090114B">
        <w:rPr>
          <w:b/>
          <w:sz w:val="28"/>
          <w:szCs w:val="28"/>
        </w:rPr>
        <w:t>ВИТРАТИ</w:t>
      </w:r>
    </w:p>
    <w:p w:rsidR="000F38FB" w:rsidRPr="0090114B" w:rsidRDefault="000F38FB" w:rsidP="000F38FB">
      <w:pPr>
        <w:contextualSpacing/>
        <w:jc w:val="center"/>
        <w:rPr>
          <w:b/>
          <w:sz w:val="28"/>
          <w:szCs w:val="28"/>
        </w:rPr>
      </w:pPr>
      <w:r w:rsidRPr="0090114B">
        <w:rPr>
          <w:b/>
          <w:sz w:val="28"/>
          <w:szCs w:val="28"/>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90114B">
        <w:rPr>
          <w:b/>
          <w:sz w:val="28"/>
          <w:szCs w:val="28"/>
        </w:rPr>
        <w:t>акта</w:t>
      </w:r>
      <w:proofErr w:type="spellEnd"/>
    </w:p>
    <w:p w:rsidR="000F38FB" w:rsidRPr="0090114B" w:rsidRDefault="000F38FB" w:rsidP="000F38FB">
      <w:pPr>
        <w:contextualSpacing/>
        <w:jc w:val="center"/>
        <w:rPr>
          <w:b/>
          <w:sz w:val="28"/>
          <w:szCs w:val="28"/>
        </w:rPr>
      </w:pPr>
      <w:r w:rsidRPr="0090114B">
        <w:rPr>
          <w:b/>
          <w:sz w:val="28"/>
          <w:szCs w:val="28"/>
        </w:rPr>
        <w:t xml:space="preserve">(Альтернатива </w:t>
      </w:r>
      <w:r w:rsidR="00980266" w:rsidRPr="0090114B">
        <w:rPr>
          <w:b/>
          <w:sz w:val="28"/>
          <w:szCs w:val="28"/>
        </w:rPr>
        <w:t>2</w:t>
      </w:r>
      <w:r w:rsidRPr="0090114B">
        <w:rPr>
          <w:b/>
          <w:sz w:val="28"/>
          <w:szCs w:val="28"/>
        </w:rPr>
        <w:t xml:space="preserve">) </w:t>
      </w:r>
    </w:p>
    <w:p w:rsidR="0024102B" w:rsidRPr="0090114B" w:rsidRDefault="0024102B" w:rsidP="0024102B">
      <w:pPr>
        <w:jc w:val="center"/>
        <w:rPr>
          <w:rStyle w:val="font171"/>
        </w:rPr>
      </w:pP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1474"/>
        <w:gridCol w:w="5984"/>
        <w:gridCol w:w="1143"/>
        <w:gridCol w:w="1164"/>
      </w:tblGrid>
      <w:tr w:rsidR="0024102B" w:rsidRPr="0090114B" w:rsidTr="00A074FB">
        <w:trPr>
          <w:tblHeader/>
          <w:jc w:val="center"/>
        </w:trPr>
        <w:tc>
          <w:tcPr>
            <w:tcW w:w="75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Порядковий номер</w:t>
            </w:r>
          </w:p>
        </w:tc>
        <w:tc>
          <w:tcPr>
            <w:tcW w:w="3067"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Витрати</w:t>
            </w:r>
          </w:p>
        </w:tc>
        <w:tc>
          <w:tcPr>
            <w:tcW w:w="58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За перший рік</w:t>
            </w:r>
          </w:p>
        </w:tc>
        <w:tc>
          <w:tcPr>
            <w:tcW w:w="587"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За п’ять років</w:t>
            </w:r>
          </w:p>
        </w:tc>
      </w:tr>
      <w:tr w:rsidR="0024102B" w:rsidRPr="0090114B" w:rsidTr="003F40AC">
        <w:trPr>
          <w:jc w:val="center"/>
        </w:trPr>
        <w:tc>
          <w:tcPr>
            <w:tcW w:w="75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1</w:t>
            </w:r>
          </w:p>
        </w:tc>
        <w:tc>
          <w:tcPr>
            <w:tcW w:w="3067" w:type="pct"/>
            <w:hideMark/>
          </w:tcPr>
          <w:p w:rsidR="0024102B" w:rsidRPr="0090114B" w:rsidRDefault="0024102B" w:rsidP="00A074FB">
            <w:pPr>
              <w:pStyle w:val="a8"/>
              <w:jc w:val="both"/>
              <w:rPr>
                <w:rFonts w:eastAsia="Times New Roman"/>
                <w:lang w:eastAsia="ru-RU"/>
              </w:rPr>
            </w:pPr>
            <w:r w:rsidRPr="0090114B">
              <w:rPr>
                <w:rFonts w:eastAsia="Times New Roman"/>
                <w:lang w:eastAsia="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588"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c>
          <w:tcPr>
            <w:tcW w:w="587"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r>
      <w:tr w:rsidR="0024102B" w:rsidRPr="0090114B" w:rsidTr="003F40AC">
        <w:trPr>
          <w:jc w:val="center"/>
        </w:trPr>
        <w:tc>
          <w:tcPr>
            <w:tcW w:w="75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2</w:t>
            </w:r>
          </w:p>
        </w:tc>
        <w:tc>
          <w:tcPr>
            <w:tcW w:w="3067" w:type="pct"/>
            <w:hideMark/>
          </w:tcPr>
          <w:p w:rsidR="0024102B" w:rsidRPr="0090114B" w:rsidRDefault="0024102B" w:rsidP="00A074FB">
            <w:pPr>
              <w:pStyle w:val="a8"/>
              <w:jc w:val="both"/>
              <w:rPr>
                <w:rFonts w:eastAsia="Times New Roman"/>
                <w:lang w:eastAsia="ru-RU"/>
              </w:rPr>
            </w:pPr>
            <w:r w:rsidRPr="0090114B">
              <w:rPr>
                <w:rFonts w:eastAsia="Times New Roman"/>
                <w:lang w:eastAsia="ru-RU"/>
              </w:rPr>
              <w:t>Податки та збори (зміна розміру податків/зборів, виникнення необхідності у сплаті податків/зборів), гривень</w:t>
            </w:r>
          </w:p>
        </w:tc>
        <w:tc>
          <w:tcPr>
            <w:tcW w:w="588"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c>
          <w:tcPr>
            <w:tcW w:w="587"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r>
      <w:tr w:rsidR="0024102B" w:rsidRPr="0090114B" w:rsidTr="003F40AC">
        <w:trPr>
          <w:jc w:val="center"/>
        </w:trPr>
        <w:tc>
          <w:tcPr>
            <w:tcW w:w="75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3</w:t>
            </w:r>
          </w:p>
        </w:tc>
        <w:tc>
          <w:tcPr>
            <w:tcW w:w="3067" w:type="pct"/>
            <w:hideMark/>
          </w:tcPr>
          <w:p w:rsidR="0024102B" w:rsidRPr="0090114B" w:rsidRDefault="0024102B" w:rsidP="00A074FB">
            <w:pPr>
              <w:pStyle w:val="a8"/>
              <w:jc w:val="both"/>
              <w:rPr>
                <w:rFonts w:eastAsia="Times New Roman"/>
                <w:lang w:eastAsia="ru-RU"/>
              </w:rPr>
            </w:pPr>
            <w:r w:rsidRPr="0090114B">
              <w:rPr>
                <w:rFonts w:eastAsia="Times New Roman"/>
                <w:lang w:eastAsia="ru-RU"/>
              </w:rPr>
              <w:t>Витрати, пов’язані із веденням обліку, підготовкою та поданням звітності державним органам, гривень</w:t>
            </w:r>
          </w:p>
        </w:tc>
        <w:tc>
          <w:tcPr>
            <w:tcW w:w="588" w:type="pct"/>
            <w:vAlign w:val="center"/>
            <w:hideMark/>
          </w:tcPr>
          <w:p w:rsidR="0024102B" w:rsidRPr="0090114B" w:rsidRDefault="007F7B89" w:rsidP="00A074FB">
            <w:pPr>
              <w:pStyle w:val="a8"/>
              <w:jc w:val="center"/>
              <w:rPr>
                <w:rFonts w:eastAsia="Times New Roman"/>
                <w:lang w:eastAsia="ru-RU"/>
              </w:rPr>
            </w:pPr>
            <w:r w:rsidRPr="0090114B">
              <w:rPr>
                <w:lang w:eastAsia="ru-RU"/>
              </w:rPr>
              <w:t>15 051,12</w:t>
            </w:r>
          </w:p>
        </w:tc>
        <w:tc>
          <w:tcPr>
            <w:tcW w:w="587" w:type="pct"/>
            <w:vAlign w:val="center"/>
            <w:hideMark/>
          </w:tcPr>
          <w:p w:rsidR="0024102B" w:rsidRPr="0090114B" w:rsidRDefault="00650066" w:rsidP="00A074FB">
            <w:pPr>
              <w:pStyle w:val="a8"/>
              <w:jc w:val="center"/>
              <w:rPr>
                <w:rFonts w:eastAsia="Times New Roman"/>
                <w:lang w:eastAsia="ru-RU"/>
              </w:rPr>
            </w:pPr>
            <w:r w:rsidRPr="0090114B">
              <w:rPr>
                <w:rFonts w:eastAsia="Times New Roman"/>
                <w:lang w:eastAsia="ru-RU"/>
              </w:rPr>
              <w:t>75</w:t>
            </w:r>
            <w:r w:rsidR="00A14203" w:rsidRPr="0090114B">
              <w:rPr>
                <w:rFonts w:eastAsia="Times New Roman"/>
                <w:lang w:eastAsia="ru-RU"/>
              </w:rPr>
              <w:t> </w:t>
            </w:r>
            <w:r w:rsidRPr="0090114B">
              <w:rPr>
                <w:rFonts w:eastAsia="Times New Roman"/>
                <w:lang w:eastAsia="ru-RU"/>
              </w:rPr>
              <w:t>255</w:t>
            </w:r>
            <w:r w:rsidR="00A14203" w:rsidRPr="0090114B">
              <w:rPr>
                <w:rFonts w:eastAsia="Times New Roman"/>
                <w:lang w:eastAsia="ru-RU"/>
              </w:rPr>
              <w:t>,</w:t>
            </w:r>
            <w:r w:rsidRPr="0090114B">
              <w:rPr>
                <w:rFonts w:eastAsia="Times New Roman"/>
                <w:lang w:eastAsia="ru-RU"/>
              </w:rPr>
              <w:t>6</w:t>
            </w:r>
          </w:p>
        </w:tc>
      </w:tr>
      <w:tr w:rsidR="0024102B" w:rsidRPr="0090114B" w:rsidTr="003F40AC">
        <w:trPr>
          <w:jc w:val="center"/>
        </w:trPr>
        <w:tc>
          <w:tcPr>
            <w:tcW w:w="75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4</w:t>
            </w:r>
          </w:p>
        </w:tc>
        <w:tc>
          <w:tcPr>
            <w:tcW w:w="3067" w:type="pct"/>
            <w:hideMark/>
          </w:tcPr>
          <w:p w:rsidR="0024102B" w:rsidRPr="0090114B" w:rsidRDefault="0024102B" w:rsidP="00A074FB">
            <w:pPr>
              <w:pStyle w:val="a8"/>
              <w:jc w:val="both"/>
              <w:rPr>
                <w:rFonts w:eastAsia="Times New Roman"/>
                <w:lang w:eastAsia="ru-RU"/>
              </w:rPr>
            </w:pPr>
            <w:r w:rsidRPr="0090114B">
              <w:rPr>
                <w:rFonts w:eastAsia="Times New Roman"/>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588"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c>
          <w:tcPr>
            <w:tcW w:w="587"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r>
      <w:tr w:rsidR="0024102B" w:rsidRPr="0090114B" w:rsidTr="003F40AC">
        <w:trPr>
          <w:jc w:val="center"/>
        </w:trPr>
        <w:tc>
          <w:tcPr>
            <w:tcW w:w="75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5</w:t>
            </w:r>
          </w:p>
        </w:tc>
        <w:tc>
          <w:tcPr>
            <w:tcW w:w="3067" w:type="pct"/>
            <w:hideMark/>
          </w:tcPr>
          <w:p w:rsidR="0024102B" w:rsidRPr="0090114B" w:rsidRDefault="0024102B" w:rsidP="00A074FB">
            <w:pPr>
              <w:pStyle w:val="a8"/>
              <w:jc w:val="both"/>
              <w:rPr>
                <w:rFonts w:eastAsia="Times New Roman"/>
                <w:lang w:eastAsia="ru-RU"/>
              </w:rPr>
            </w:pPr>
            <w:r w:rsidRPr="0090114B">
              <w:rPr>
                <w:rFonts w:eastAsia="Times New Roman"/>
                <w:lang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588"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c>
          <w:tcPr>
            <w:tcW w:w="587" w:type="pct"/>
            <w:vAlign w:val="center"/>
            <w:hideMark/>
          </w:tcPr>
          <w:p w:rsidR="00672304" w:rsidRPr="0090114B" w:rsidRDefault="00672304" w:rsidP="00A074FB">
            <w:pPr>
              <w:pStyle w:val="a8"/>
              <w:jc w:val="center"/>
              <w:rPr>
                <w:rFonts w:eastAsia="Times New Roman"/>
                <w:lang w:eastAsia="ru-RU"/>
              </w:rPr>
            </w:pPr>
            <w:r w:rsidRPr="0090114B">
              <w:rPr>
                <w:rFonts w:eastAsia="Times New Roman"/>
                <w:lang w:eastAsia="ru-RU"/>
              </w:rPr>
              <w:t>-</w:t>
            </w:r>
          </w:p>
        </w:tc>
      </w:tr>
      <w:tr w:rsidR="0024102B" w:rsidRPr="0090114B" w:rsidTr="003F40AC">
        <w:trPr>
          <w:jc w:val="center"/>
        </w:trPr>
        <w:tc>
          <w:tcPr>
            <w:tcW w:w="75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6</w:t>
            </w:r>
          </w:p>
        </w:tc>
        <w:tc>
          <w:tcPr>
            <w:tcW w:w="3067" w:type="pct"/>
            <w:hideMark/>
          </w:tcPr>
          <w:p w:rsidR="0024102B" w:rsidRPr="0090114B" w:rsidRDefault="0024102B" w:rsidP="00A074FB">
            <w:pPr>
              <w:pStyle w:val="a8"/>
              <w:jc w:val="both"/>
              <w:rPr>
                <w:rFonts w:eastAsia="Times New Roman"/>
                <w:lang w:eastAsia="ru-RU"/>
              </w:rPr>
            </w:pPr>
            <w:r w:rsidRPr="0090114B">
              <w:rPr>
                <w:rFonts w:eastAsia="Times New Roman"/>
                <w:lang w:eastAsia="ru-RU"/>
              </w:rPr>
              <w:t>Витрати на оборотні активи (матеріали, канцелярські товари тощо), гривень</w:t>
            </w:r>
          </w:p>
        </w:tc>
        <w:tc>
          <w:tcPr>
            <w:tcW w:w="588"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c>
          <w:tcPr>
            <w:tcW w:w="587"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r>
      <w:tr w:rsidR="0024102B" w:rsidRPr="0090114B" w:rsidTr="003F40AC">
        <w:trPr>
          <w:jc w:val="center"/>
        </w:trPr>
        <w:tc>
          <w:tcPr>
            <w:tcW w:w="75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7</w:t>
            </w:r>
          </w:p>
        </w:tc>
        <w:tc>
          <w:tcPr>
            <w:tcW w:w="3067" w:type="pct"/>
            <w:hideMark/>
          </w:tcPr>
          <w:p w:rsidR="0024102B" w:rsidRPr="0090114B" w:rsidRDefault="0024102B" w:rsidP="00A074FB">
            <w:pPr>
              <w:pStyle w:val="a8"/>
              <w:jc w:val="both"/>
              <w:rPr>
                <w:rFonts w:eastAsia="Times New Roman"/>
                <w:lang w:eastAsia="ru-RU"/>
              </w:rPr>
            </w:pPr>
            <w:r w:rsidRPr="0090114B">
              <w:rPr>
                <w:rFonts w:eastAsia="Times New Roman"/>
                <w:lang w:eastAsia="ru-RU"/>
              </w:rPr>
              <w:t xml:space="preserve">Витрати, пов’язані із </w:t>
            </w:r>
            <w:proofErr w:type="spellStart"/>
            <w:r w:rsidRPr="0090114B">
              <w:rPr>
                <w:rFonts w:eastAsia="Times New Roman"/>
                <w:lang w:eastAsia="ru-RU"/>
              </w:rPr>
              <w:t>наймом</w:t>
            </w:r>
            <w:proofErr w:type="spellEnd"/>
            <w:r w:rsidRPr="0090114B">
              <w:rPr>
                <w:rFonts w:eastAsia="Times New Roman"/>
                <w:lang w:eastAsia="ru-RU"/>
              </w:rPr>
              <w:t xml:space="preserve"> додаткового персоналу, гривень</w:t>
            </w:r>
          </w:p>
        </w:tc>
        <w:tc>
          <w:tcPr>
            <w:tcW w:w="588"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c>
          <w:tcPr>
            <w:tcW w:w="587"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r>
      <w:tr w:rsidR="0024102B" w:rsidRPr="0090114B" w:rsidTr="003F40AC">
        <w:trPr>
          <w:jc w:val="center"/>
        </w:trPr>
        <w:tc>
          <w:tcPr>
            <w:tcW w:w="75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8</w:t>
            </w:r>
          </w:p>
        </w:tc>
        <w:tc>
          <w:tcPr>
            <w:tcW w:w="3067" w:type="pct"/>
            <w:hideMark/>
          </w:tcPr>
          <w:p w:rsidR="0024102B" w:rsidRPr="0090114B" w:rsidRDefault="0024102B" w:rsidP="00A074FB">
            <w:pPr>
              <w:pStyle w:val="a8"/>
              <w:jc w:val="both"/>
              <w:rPr>
                <w:rFonts w:eastAsia="Times New Roman"/>
                <w:lang w:eastAsia="ru-RU"/>
              </w:rPr>
            </w:pPr>
            <w:r w:rsidRPr="0090114B">
              <w:rPr>
                <w:rFonts w:eastAsia="Times New Roman"/>
                <w:lang w:eastAsia="ru-RU"/>
              </w:rPr>
              <w:t>Інше (уточнити), гривень</w:t>
            </w:r>
          </w:p>
        </w:tc>
        <w:tc>
          <w:tcPr>
            <w:tcW w:w="588"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c>
          <w:tcPr>
            <w:tcW w:w="587" w:type="pct"/>
            <w:vAlign w:val="center"/>
            <w:hideMark/>
          </w:tcPr>
          <w:p w:rsidR="0024102B" w:rsidRPr="0090114B" w:rsidRDefault="00672304" w:rsidP="00A074FB">
            <w:pPr>
              <w:pStyle w:val="a8"/>
              <w:jc w:val="center"/>
              <w:rPr>
                <w:rFonts w:eastAsia="Times New Roman"/>
                <w:lang w:eastAsia="ru-RU"/>
              </w:rPr>
            </w:pPr>
            <w:r w:rsidRPr="0090114B">
              <w:rPr>
                <w:rFonts w:eastAsia="Times New Roman"/>
                <w:lang w:eastAsia="ru-RU"/>
              </w:rPr>
              <w:t>-</w:t>
            </w:r>
          </w:p>
        </w:tc>
      </w:tr>
      <w:tr w:rsidR="0024102B" w:rsidRPr="0090114B" w:rsidTr="003F40AC">
        <w:trPr>
          <w:jc w:val="center"/>
        </w:trPr>
        <w:tc>
          <w:tcPr>
            <w:tcW w:w="75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9</w:t>
            </w:r>
          </w:p>
        </w:tc>
        <w:tc>
          <w:tcPr>
            <w:tcW w:w="3067" w:type="pct"/>
            <w:hideMark/>
          </w:tcPr>
          <w:p w:rsidR="0024102B" w:rsidRPr="0090114B" w:rsidRDefault="0024102B" w:rsidP="00A074FB">
            <w:pPr>
              <w:pStyle w:val="a8"/>
              <w:jc w:val="both"/>
              <w:rPr>
                <w:rFonts w:eastAsia="Times New Roman"/>
                <w:lang w:eastAsia="ru-RU"/>
              </w:rPr>
            </w:pPr>
            <w:r w:rsidRPr="0090114B">
              <w:rPr>
                <w:rFonts w:eastAsia="Times New Roman"/>
                <w:lang w:eastAsia="ru-RU"/>
              </w:rPr>
              <w:t>РАЗОМ (сума рядків: 1 + 2 + 3 + 4 + 5 + 6 + 7 + 8), гривень</w:t>
            </w:r>
          </w:p>
        </w:tc>
        <w:tc>
          <w:tcPr>
            <w:tcW w:w="588" w:type="pct"/>
            <w:vAlign w:val="center"/>
            <w:hideMark/>
          </w:tcPr>
          <w:p w:rsidR="0024102B" w:rsidRPr="0090114B" w:rsidRDefault="007F7B89" w:rsidP="00A074FB">
            <w:pPr>
              <w:pStyle w:val="a8"/>
              <w:jc w:val="center"/>
              <w:rPr>
                <w:rFonts w:eastAsia="Times New Roman"/>
                <w:lang w:eastAsia="ru-RU"/>
              </w:rPr>
            </w:pPr>
            <w:r w:rsidRPr="0090114B">
              <w:rPr>
                <w:lang w:eastAsia="ru-RU"/>
              </w:rPr>
              <w:t>15 051,12</w:t>
            </w:r>
          </w:p>
        </w:tc>
        <w:tc>
          <w:tcPr>
            <w:tcW w:w="587" w:type="pct"/>
            <w:vAlign w:val="center"/>
            <w:hideMark/>
          </w:tcPr>
          <w:p w:rsidR="0024102B" w:rsidRPr="0090114B" w:rsidRDefault="00650066" w:rsidP="00A074FB">
            <w:pPr>
              <w:pStyle w:val="a8"/>
              <w:jc w:val="center"/>
              <w:rPr>
                <w:rFonts w:eastAsia="Times New Roman"/>
                <w:lang w:eastAsia="ru-RU"/>
              </w:rPr>
            </w:pPr>
            <w:r w:rsidRPr="0090114B">
              <w:rPr>
                <w:rFonts w:eastAsia="Times New Roman"/>
                <w:lang w:eastAsia="ru-RU"/>
              </w:rPr>
              <w:t>75 255,6</w:t>
            </w:r>
          </w:p>
        </w:tc>
      </w:tr>
      <w:tr w:rsidR="0024102B" w:rsidRPr="0090114B" w:rsidTr="003F40AC">
        <w:trPr>
          <w:jc w:val="center"/>
        </w:trPr>
        <w:tc>
          <w:tcPr>
            <w:tcW w:w="758" w:type="pct"/>
            <w:vAlign w:val="center"/>
            <w:hideMark/>
          </w:tcPr>
          <w:p w:rsidR="0024102B" w:rsidRPr="0090114B" w:rsidRDefault="0024102B" w:rsidP="00A074FB">
            <w:pPr>
              <w:pStyle w:val="a8"/>
              <w:jc w:val="center"/>
              <w:rPr>
                <w:rFonts w:eastAsia="Times New Roman"/>
                <w:lang w:eastAsia="ru-RU"/>
              </w:rPr>
            </w:pPr>
            <w:r w:rsidRPr="0090114B">
              <w:rPr>
                <w:rFonts w:eastAsia="Times New Roman"/>
                <w:lang w:eastAsia="ru-RU"/>
              </w:rPr>
              <w:t>10</w:t>
            </w:r>
          </w:p>
        </w:tc>
        <w:tc>
          <w:tcPr>
            <w:tcW w:w="3067" w:type="pct"/>
            <w:hideMark/>
          </w:tcPr>
          <w:p w:rsidR="0024102B" w:rsidRPr="0090114B" w:rsidRDefault="0024102B" w:rsidP="00A074FB">
            <w:pPr>
              <w:pStyle w:val="a8"/>
              <w:jc w:val="both"/>
              <w:rPr>
                <w:rFonts w:eastAsia="Times New Roman"/>
                <w:lang w:eastAsia="ru-RU"/>
              </w:rPr>
            </w:pPr>
            <w:r w:rsidRPr="0090114B">
              <w:rPr>
                <w:rFonts w:eastAsia="Times New Roman"/>
                <w:lang w:eastAsia="ru-RU"/>
              </w:rPr>
              <w:t>Кількість суб’єктів господарювання великого та середнього підприємництва, на яких буде поширено регулювання, одиниць</w:t>
            </w:r>
          </w:p>
        </w:tc>
        <w:tc>
          <w:tcPr>
            <w:tcW w:w="588" w:type="pct"/>
            <w:vAlign w:val="center"/>
            <w:hideMark/>
          </w:tcPr>
          <w:p w:rsidR="0024102B" w:rsidRPr="0090114B" w:rsidRDefault="000F38FB" w:rsidP="00A074FB">
            <w:pPr>
              <w:pStyle w:val="a8"/>
              <w:jc w:val="center"/>
              <w:rPr>
                <w:rFonts w:eastAsia="Times New Roman"/>
                <w:lang w:eastAsia="ru-RU"/>
              </w:rPr>
            </w:pPr>
            <w:r w:rsidRPr="0090114B">
              <w:rPr>
                <w:rFonts w:eastAsia="Times New Roman"/>
                <w:lang w:eastAsia="ru-RU"/>
              </w:rPr>
              <w:t>51</w:t>
            </w:r>
          </w:p>
        </w:tc>
        <w:tc>
          <w:tcPr>
            <w:tcW w:w="587" w:type="pct"/>
            <w:vAlign w:val="center"/>
            <w:hideMark/>
          </w:tcPr>
          <w:p w:rsidR="0024102B" w:rsidRPr="0090114B" w:rsidRDefault="00E02440" w:rsidP="00A074FB">
            <w:pPr>
              <w:pStyle w:val="a8"/>
              <w:jc w:val="center"/>
              <w:rPr>
                <w:rFonts w:eastAsia="Times New Roman"/>
                <w:lang w:eastAsia="ru-RU"/>
              </w:rPr>
            </w:pPr>
            <w:r w:rsidRPr="0090114B">
              <w:rPr>
                <w:rFonts w:eastAsia="Times New Roman"/>
                <w:lang w:eastAsia="ru-RU"/>
              </w:rPr>
              <w:t>51</w:t>
            </w:r>
          </w:p>
        </w:tc>
      </w:tr>
      <w:tr w:rsidR="00E02440" w:rsidRPr="0090114B" w:rsidTr="003F40AC">
        <w:trPr>
          <w:jc w:val="center"/>
        </w:trPr>
        <w:tc>
          <w:tcPr>
            <w:tcW w:w="758" w:type="pct"/>
            <w:vAlign w:val="center"/>
            <w:hideMark/>
          </w:tcPr>
          <w:p w:rsidR="00E02440" w:rsidRPr="0090114B" w:rsidRDefault="00E02440" w:rsidP="00A074FB">
            <w:pPr>
              <w:pStyle w:val="a8"/>
              <w:jc w:val="center"/>
              <w:rPr>
                <w:rFonts w:eastAsia="Times New Roman"/>
                <w:lang w:eastAsia="ru-RU"/>
              </w:rPr>
            </w:pPr>
            <w:r w:rsidRPr="0090114B">
              <w:rPr>
                <w:rFonts w:eastAsia="Times New Roman"/>
                <w:lang w:eastAsia="ru-RU"/>
              </w:rPr>
              <w:t>11</w:t>
            </w:r>
          </w:p>
        </w:tc>
        <w:tc>
          <w:tcPr>
            <w:tcW w:w="3067" w:type="pct"/>
            <w:hideMark/>
          </w:tcPr>
          <w:p w:rsidR="00E02440" w:rsidRPr="0090114B" w:rsidRDefault="00E02440" w:rsidP="00A074FB">
            <w:pPr>
              <w:pStyle w:val="a8"/>
              <w:jc w:val="both"/>
              <w:rPr>
                <w:rFonts w:eastAsia="Times New Roman"/>
                <w:lang w:eastAsia="ru-RU"/>
              </w:rPr>
            </w:pPr>
            <w:r w:rsidRPr="0090114B">
              <w:rPr>
                <w:rFonts w:eastAsia="Times New Roman"/>
                <w:lang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588" w:type="pct"/>
            <w:vAlign w:val="center"/>
            <w:hideMark/>
          </w:tcPr>
          <w:p w:rsidR="00E02440" w:rsidRPr="0090114B" w:rsidRDefault="004C11B4" w:rsidP="00A074FB">
            <w:pPr>
              <w:pStyle w:val="a8"/>
              <w:jc w:val="center"/>
            </w:pPr>
            <w:r w:rsidRPr="0090114B">
              <w:t>767</w:t>
            </w:r>
            <w:r w:rsidR="00E02440" w:rsidRPr="0090114B">
              <w:t> </w:t>
            </w:r>
            <w:r w:rsidRPr="0090114B">
              <w:t>607</w:t>
            </w:r>
            <w:r w:rsidR="00E02440" w:rsidRPr="0090114B">
              <w:t>,</w:t>
            </w:r>
            <w:r w:rsidRPr="0090114B">
              <w:t>12</w:t>
            </w:r>
          </w:p>
        </w:tc>
        <w:tc>
          <w:tcPr>
            <w:tcW w:w="587" w:type="pct"/>
            <w:vAlign w:val="center"/>
            <w:hideMark/>
          </w:tcPr>
          <w:p w:rsidR="00E02440" w:rsidRPr="0090114B" w:rsidRDefault="001D048D" w:rsidP="00A074FB">
            <w:pPr>
              <w:pStyle w:val="a8"/>
              <w:jc w:val="center"/>
            </w:pPr>
            <w:r w:rsidRPr="0090114B">
              <w:t>3 838</w:t>
            </w:r>
            <w:r w:rsidR="00E02440" w:rsidRPr="0090114B">
              <w:t> </w:t>
            </w:r>
            <w:r w:rsidRPr="0090114B">
              <w:t>035</w:t>
            </w:r>
            <w:r w:rsidR="00E02440" w:rsidRPr="0090114B">
              <w:t>,</w:t>
            </w:r>
            <w:r w:rsidRPr="0090114B">
              <w:t>6</w:t>
            </w:r>
          </w:p>
        </w:tc>
      </w:tr>
    </w:tbl>
    <w:p w:rsidR="00A074FB" w:rsidRPr="0090114B" w:rsidRDefault="00A074FB" w:rsidP="00527E7F">
      <w:pPr>
        <w:pStyle w:val="a8"/>
        <w:rPr>
          <w:rFonts w:eastAsia="Times New Roman"/>
          <w:lang w:eastAsia="ru-RU"/>
        </w:rPr>
      </w:pPr>
    </w:p>
    <w:p w:rsidR="00EF3E64" w:rsidRPr="0090114B" w:rsidRDefault="00EF3E64" w:rsidP="00527E7F">
      <w:pPr>
        <w:pStyle w:val="a8"/>
        <w:rPr>
          <w:rFonts w:eastAsia="Times New Roman"/>
          <w:lang w:eastAsia="ru-RU"/>
        </w:rPr>
      </w:pPr>
    </w:p>
    <w:p w:rsidR="00EF3E64" w:rsidRPr="0090114B" w:rsidRDefault="00EF3E64" w:rsidP="00527E7F">
      <w:pPr>
        <w:pStyle w:val="a8"/>
        <w:rPr>
          <w:rFonts w:eastAsia="Times New Roman"/>
          <w:lang w:eastAsia="ru-RU"/>
        </w:rPr>
      </w:pPr>
    </w:p>
    <w:p w:rsidR="0024102B" w:rsidRPr="0090114B" w:rsidRDefault="0024102B" w:rsidP="00527E7F">
      <w:pPr>
        <w:pStyle w:val="a8"/>
        <w:jc w:val="center"/>
        <w:rPr>
          <w:rFonts w:eastAsia="Times New Roman"/>
          <w:sz w:val="28"/>
          <w:lang w:eastAsia="ru-RU"/>
        </w:rPr>
      </w:pPr>
      <w:r w:rsidRPr="0090114B">
        <w:rPr>
          <w:rFonts w:eastAsia="Times New Roman"/>
          <w:sz w:val="28"/>
          <w:lang w:eastAsia="ru-RU"/>
        </w:rPr>
        <w:t>Розрахунок відповідних витрат на одного суб’єкта господарювання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4636"/>
        <w:gridCol w:w="1677"/>
        <w:gridCol w:w="1676"/>
        <w:gridCol w:w="1674"/>
      </w:tblGrid>
      <w:tr w:rsidR="0024102B" w:rsidRPr="0090114B" w:rsidTr="00A074FB">
        <w:tc>
          <w:tcPr>
            <w:tcW w:w="2399" w:type="pct"/>
            <w:hideMark/>
          </w:tcPr>
          <w:p w:rsidR="0024102B" w:rsidRPr="0090114B" w:rsidRDefault="0024102B" w:rsidP="00A074FB">
            <w:pPr>
              <w:pStyle w:val="a8"/>
              <w:jc w:val="center"/>
              <w:rPr>
                <w:rFonts w:eastAsia="Times New Roman"/>
                <w:lang w:eastAsia="ru-RU"/>
              </w:rPr>
            </w:pPr>
            <w:bookmarkStart w:id="0" w:name="n180"/>
            <w:bookmarkEnd w:id="0"/>
            <w:r w:rsidRPr="0090114B">
              <w:rPr>
                <w:rFonts w:eastAsia="Times New Roman"/>
                <w:lang w:eastAsia="ru-RU"/>
              </w:rPr>
              <w:t>Вид витрат</w:t>
            </w:r>
          </w:p>
        </w:tc>
        <w:tc>
          <w:tcPr>
            <w:tcW w:w="868" w:type="pct"/>
            <w:hideMark/>
          </w:tcPr>
          <w:p w:rsidR="0024102B" w:rsidRPr="0090114B" w:rsidRDefault="0024102B" w:rsidP="00A074FB">
            <w:pPr>
              <w:pStyle w:val="a8"/>
              <w:jc w:val="center"/>
              <w:rPr>
                <w:rFonts w:eastAsia="Times New Roman"/>
                <w:lang w:eastAsia="ru-RU"/>
              </w:rPr>
            </w:pPr>
            <w:r w:rsidRPr="0090114B">
              <w:rPr>
                <w:rFonts w:eastAsia="Times New Roman"/>
                <w:lang w:eastAsia="ru-RU"/>
              </w:rPr>
              <w:t>У перший рік</w:t>
            </w:r>
          </w:p>
        </w:tc>
        <w:tc>
          <w:tcPr>
            <w:tcW w:w="867" w:type="pct"/>
            <w:hideMark/>
          </w:tcPr>
          <w:p w:rsidR="0024102B" w:rsidRPr="0090114B" w:rsidRDefault="0024102B" w:rsidP="00A074FB">
            <w:pPr>
              <w:pStyle w:val="a8"/>
              <w:jc w:val="center"/>
              <w:rPr>
                <w:rFonts w:eastAsia="Times New Roman"/>
                <w:lang w:eastAsia="ru-RU"/>
              </w:rPr>
            </w:pPr>
            <w:r w:rsidRPr="0090114B">
              <w:rPr>
                <w:rFonts w:eastAsia="Times New Roman"/>
                <w:lang w:eastAsia="ru-RU"/>
              </w:rPr>
              <w:t>Періодичні (за рік)</w:t>
            </w:r>
          </w:p>
        </w:tc>
        <w:tc>
          <w:tcPr>
            <w:tcW w:w="866" w:type="pct"/>
            <w:hideMark/>
          </w:tcPr>
          <w:p w:rsidR="0024102B" w:rsidRPr="0090114B" w:rsidRDefault="0024102B" w:rsidP="00A074FB">
            <w:pPr>
              <w:pStyle w:val="a8"/>
              <w:jc w:val="center"/>
              <w:rPr>
                <w:rFonts w:eastAsia="Times New Roman"/>
                <w:lang w:eastAsia="ru-RU"/>
              </w:rPr>
            </w:pPr>
            <w:r w:rsidRPr="0090114B">
              <w:rPr>
                <w:rFonts w:eastAsia="Times New Roman"/>
                <w:lang w:eastAsia="ru-RU"/>
              </w:rPr>
              <w:t>Витрати за п’ять років</w:t>
            </w:r>
          </w:p>
        </w:tc>
      </w:tr>
      <w:tr w:rsidR="0024102B" w:rsidRPr="0090114B" w:rsidTr="00743E15">
        <w:tc>
          <w:tcPr>
            <w:tcW w:w="2399" w:type="pct"/>
            <w:hideMark/>
          </w:tcPr>
          <w:p w:rsidR="0024102B" w:rsidRPr="0090114B" w:rsidRDefault="0024102B" w:rsidP="001C6CC3">
            <w:pPr>
              <w:pStyle w:val="a8"/>
              <w:rPr>
                <w:rFonts w:eastAsia="Times New Roman"/>
                <w:lang w:eastAsia="ru-RU"/>
              </w:rPr>
            </w:pPr>
            <w:r w:rsidRPr="0090114B">
              <w:rPr>
                <w:rFonts w:eastAsia="Times New Roman"/>
                <w:lang w:eastAsia="ru-RU"/>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868" w:type="pct"/>
            <w:vAlign w:val="center"/>
            <w:hideMark/>
          </w:tcPr>
          <w:p w:rsidR="0024102B" w:rsidRPr="0090114B" w:rsidRDefault="00672304" w:rsidP="009B5BCF">
            <w:pPr>
              <w:pStyle w:val="a8"/>
              <w:jc w:val="center"/>
              <w:rPr>
                <w:rFonts w:eastAsia="Times New Roman"/>
                <w:lang w:eastAsia="ru-RU"/>
              </w:rPr>
            </w:pPr>
            <w:r w:rsidRPr="0090114B">
              <w:rPr>
                <w:rFonts w:eastAsia="Times New Roman"/>
                <w:lang w:eastAsia="ru-RU"/>
              </w:rPr>
              <w:t>-</w:t>
            </w:r>
          </w:p>
        </w:tc>
        <w:tc>
          <w:tcPr>
            <w:tcW w:w="867" w:type="pct"/>
            <w:vAlign w:val="center"/>
            <w:hideMark/>
          </w:tcPr>
          <w:p w:rsidR="0024102B" w:rsidRPr="0090114B" w:rsidRDefault="00672304" w:rsidP="009B5BCF">
            <w:pPr>
              <w:pStyle w:val="a8"/>
              <w:jc w:val="center"/>
              <w:rPr>
                <w:rFonts w:eastAsia="Times New Roman"/>
                <w:lang w:eastAsia="ru-RU"/>
              </w:rPr>
            </w:pPr>
            <w:r w:rsidRPr="0090114B">
              <w:rPr>
                <w:rFonts w:eastAsia="Times New Roman"/>
                <w:lang w:eastAsia="ru-RU"/>
              </w:rPr>
              <w:t>-</w:t>
            </w:r>
          </w:p>
        </w:tc>
        <w:tc>
          <w:tcPr>
            <w:tcW w:w="866" w:type="pct"/>
            <w:vAlign w:val="center"/>
            <w:hideMark/>
          </w:tcPr>
          <w:p w:rsidR="0024102B" w:rsidRPr="0090114B" w:rsidRDefault="00672304" w:rsidP="009B5BCF">
            <w:pPr>
              <w:pStyle w:val="a8"/>
              <w:jc w:val="center"/>
              <w:rPr>
                <w:rFonts w:eastAsia="Times New Roman"/>
                <w:lang w:eastAsia="ru-RU"/>
              </w:rPr>
            </w:pPr>
            <w:r w:rsidRPr="0090114B">
              <w:rPr>
                <w:rFonts w:eastAsia="Times New Roman"/>
                <w:lang w:eastAsia="ru-RU"/>
              </w:rPr>
              <w:t>-</w:t>
            </w:r>
          </w:p>
        </w:tc>
      </w:tr>
      <w:tr w:rsidR="0024102B" w:rsidRPr="0090114B" w:rsidTr="00A074FB">
        <w:tc>
          <w:tcPr>
            <w:tcW w:w="2399" w:type="pct"/>
            <w:hideMark/>
          </w:tcPr>
          <w:p w:rsidR="0024102B" w:rsidRPr="0090114B" w:rsidRDefault="0024102B" w:rsidP="00A074FB">
            <w:pPr>
              <w:pStyle w:val="a8"/>
              <w:jc w:val="center"/>
              <w:rPr>
                <w:rFonts w:eastAsia="Times New Roman"/>
                <w:lang w:eastAsia="ru-RU"/>
              </w:rPr>
            </w:pPr>
            <w:bookmarkStart w:id="1" w:name="n181"/>
            <w:bookmarkEnd w:id="1"/>
            <w:r w:rsidRPr="0090114B">
              <w:rPr>
                <w:rFonts w:eastAsia="Times New Roman"/>
                <w:lang w:eastAsia="ru-RU"/>
              </w:rPr>
              <w:lastRenderedPageBreak/>
              <w:t>Вид витрат</w:t>
            </w:r>
          </w:p>
        </w:tc>
        <w:tc>
          <w:tcPr>
            <w:tcW w:w="1735" w:type="pct"/>
            <w:gridSpan w:val="2"/>
            <w:hideMark/>
          </w:tcPr>
          <w:p w:rsidR="0024102B" w:rsidRPr="0090114B" w:rsidRDefault="0024102B" w:rsidP="00A074FB">
            <w:pPr>
              <w:pStyle w:val="a8"/>
              <w:jc w:val="center"/>
              <w:rPr>
                <w:rFonts w:eastAsia="Times New Roman"/>
                <w:lang w:eastAsia="ru-RU"/>
              </w:rPr>
            </w:pPr>
            <w:r w:rsidRPr="0090114B">
              <w:rPr>
                <w:rFonts w:eastAsia="Times New Roman"/>
                <w:lang w:eastAsia="ru-RU"/>
              </w:rPr>
              <w:t>Витрати на сплату податків та зборів (змінених/нововведених) (за рік)</w:t>
            </w:r>
          </w:p>
        </w:tc>
        <w:tc>
          <w:tcPr>
            <w:tcW w:w="866" w:type="pct"/>
            <w:hideMark/>
          </w:tcPr>
          <w:p w:rsidR="0024102B" w:rsidRPr="0090114B" w:rsidRDefault="0024102B" w:rsidP="00A074FB">
            <w:pPr>
              <w:pStyle w:val="a8"/>
              <w:jc w:val="center"/>
              <w:rPr>
                <w:rFonts w:eastAsia="Times New Roman"/>
                <w:lang w:eastAsia="ru-RU"/>
              </w:rPr>
            </w:pPr>
            <w:r w:rsidRPr="0090114B">
              <w:rPr>
                <w:rFonts w:eastAsia="Times New Roman"/>
                <w:lang w:eastAsia="ru-RU"/>
              </w:rPr>
              <w:t>Витрати за п’ять років</w:t>
            </w:r>
          </w:p>
        </w:tc>
      </w:tr>
      <w:tr w:rsidR="0024102B" w:rsidRPr="0090114B" w:rsidTr="00743E15">
        <w:tc>
          <w:tcPr>
            <w:tcW w:w="2399" w:type="pct"/>
            <w:hideMark/>
          </w:tcPr>
          <w:p w:rsidR="0024102B" w:rsidRPr="0090114B" w:rsidRDefault="0024102B" w:rsidP="001C6CC3">
            <w:pPr>
              <w:pStyle w:val="a8"/>
              <w:rPr>
                <w:rFonts w:eastAsia="Times New Roman"/>
                <w:lang w:eastAsia="ru-RU"/>
              </w:rPr>
            </w:pPr>
            <w:r w:rsidRPr="0090114B">
              <w:rPr>
                <w:rFonts w:eastAsia="Times New Roman"/>
                <w:lang w:eastAsia="ru-RU"/>
              </w:rPr>
              <w:t>Податки та збори (зміна розміру податків/зборів, виникнення необхідності у сплаті податків/зборів)</w:t>
            </w:r>
          </w:p>
        </w:tc>
        <w:tc>
          <w:tcPr>
            <w:tcW w:w="1735" w:type="pct"/>
            <w:gridSpan w:val="2"/>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c>
          <w:tcPr>
            <w:tcW w:w="866" w:type="pct"/>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r>
    </w:tbl>
    <w:p w:rsidR="0024102B" w:rsidRPr="0090114B" w:rsidRDefault="0024102B" w:rsidP="00864447">
      <w:pPr>
        <w:pStyle w:val="a8"/>
        <w:rPr>
          <w:rFonts w:eastAsia="Times New Roman"/>
          <w:lang w:eastAsia="ru-RU"/>
        </w:rPr>
      </w:pPr>
      <w:bookmarkStart w:id="2" w:name="n182"/>
      <w:bookmarkEnd w:id="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2" w:type="dxa"/>
          <w:left w:w="12" w:type="dxa"/>
          <w:bottom w:w="12" w:type="dxa"/>
          <w:right w:w="12" w:type="dxa"/>
        </w:tblCellMar>
        <w:tblLook w:val="04A0" w:firstRow="1" w:lastRow="0" w:firstColumn="1" w:lastColumn="0" w:noHBand="0" w:noVBand="1"/>
      </w:tblPr>
      <w:tblGrid>
        <w:gridCol w:w="2961"/>
        <w:gridCol w:w="1774"/>
        <w:gridCol w:w="1774"/>
        <w:gridCol w:w="1676"/>
        <w:gridCol w:w="1478"/>
      </w:tblGrid>
      <w:tr w:rsidR="0024102B" w:rsidRPr="0090114B" w:rsidTr="001C6CC3">
        <w:tc>
          <w:tcPr>
            <w:tcW w:w="1532"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Вид витрат</w:t>
            </w:r>
          </w:p>
        </w:tc>
        <w:tc>
          <w:tcPr>
            <w:tcW w:w="918"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на ведення обліку, підготовку та подання звітності (за рік)</w:t>
            </w:r>
          </w:p>
        </w:tc>
        <w:tc>
          <w:tcPr>
            <w:tcW w:w="918"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на оплату штрафних санкцій за рік</w:t>
            </w:r>
          </w:p>
        </w:tc>
        <w:tc>
          <w:tcPr>
            <w:tcW w:w="867"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Разом за рік</w:t>
            </w:r>
          </w:p>
        </w:tc>
        <w:tc>
          <w:tcPr>
            <w:tcW w:w="765"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за п’ять років</w:t>
            </w:r>
          </w:p>
        </w:tc>
      </w:tr>
      <w:tr w:rsidR="0024102B" w:rsidRPr="0090114B" w:rsidTr="00743E15">
        <w:tc>
          <w:tcPr>
            <w:tcW w:w="1532" w:type="pct"/>
            <w:hideMark/>
          </w:tcPr>
          <w:p w:rsidR="0024102B" w:rsidRPr="0090114B" w:rsidRDefault="0024102B" w:rsidP="001C6CC3">
            <w:pPr>
              <w:pStyle w:val="a8"/>
              <w:rPr>
                <w:rFonts w:eastAsia="Times New Roman"/>
                <w:lang w:eastAsia="ru-RU"/>
              </w:rPr>
            </w:pPr>
            <w:r w:rsidRPr="0090114B">
              <w:rPr>
                <w:rFonts w:eastAsia="Times New Roman"/>
                <w:lang w:eastAsia="ru-RU"/>
              </w:rPr>
              <w:t>Витрати, пов’язані із веденням обліку, підготовкою та поданням звітності державним органам (витрати часу персоналу)</w:t>
            </w:r>
          </w:p>
        </w:tc>
        <w:tc>
          <w:tcPr>
            <w:tcW w:w="918" w:type="pct"/>
            <w:vAlign w:val="center"/>
            <w:hideMark/>
          </w:tcPr>
          <w:p w:rsidR="0024102B" w:rsidRPr="0090114B" w:rsidRDefault="009F05AD" w:rsidP="00D5469F">
            <w:pPr>
              <w:pStyle w:val="a8"/>
              <w:jc w:val="center"/>
              <w:rPr>
                <w:rFonts w:eastAsia="Times New Roman"/>
                <w:lang w:eastAsia="ru-RU"/>
              </w:rPr>
            </w:pPr>
            <w:r w:rsidRPr="0090114B">
              <w:rPr>
                <w:lang w:eastAsia="ru-RU"/>
              </w:rPr>
              <w:t xml:space="preserve">15 051,12 </w:t>
            </w:r>
            <w:r w:rsidR="0024102B" w:rsidRPr="0090114B">
              <w:rPr>
                <w:rFonts w:eastAsia="Times New Roman"/>
                <w:lang w:eastAsia="ru-RU"/>
              </w:rPr>
              <w:t>грн</w:t>
            </w:r>
          </w:p>
        </w:tc>
        <w:tc>
          <w:tcPr>
            <w:tcW w:w="918" w:type="pct"/>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c>
          <w:tcPr>
            <w:tcW w:w="867" w:type="pct"/>
            <w:vAlign w:val="center"/>
            <w:hideMark/>
          </w:tcPr>
          <w:p w:rsidR="0024102B" w:rsidRPr="0090114B" w:rsidRDefault="009F05AD" w:rsidP="00D5469F">
            <w:pPr>
              <w:pStyle w:val="a8"/>
              <w:jc w:val="center"/>
              <w:rPr>
                <w:rFonts w:eastAsia="Times New Roman"/>
                <w:lang w:eastAsia="ru-RU"/>
              </w:rPr>
            </w:pPr>
            <w:r w:rsidRPr="0090114B">
              <w:rPr>
                <w:lang w:eastAsia="ru-RU"/>
              </w:rPr>
              <w:t xml:space="preserve">15 051,12 </w:t>
            </w:r>
            <w:r w:rsidR="0024102B" w:rsidRPr="0090114B">
              <w:rPr>
                <w:rFonts w:eastAsia="Times New Roman"/>
                <w:lang w:eastAsia="ru-RU"/>
              </w:rPr>
              <w:t>грн</w:t>
            </w:r>
          </w:p>
        </w:tc>
        <w:tc>
          <w:tcPr>
            <w:tcW w:w="765" w:type="pct"/>
            <w:vAlign w:val="center"/>
            <w:hideMark/>
          </w:tcPr>
          <w:p w:rsidR="0024102B" w:rsidRPr="0090114B" w:rsidRDefault="00A22B9E" w:rsidP="00D5469F">
            <w:pPr>
              <w:pStyle w:val="a8"/>
              <w:jc w:val="center"/>
              <w:rPr>
                <w:rFonts w:eastAsia="Times New Roman"/>
                <w:lang w:eastAsia="ru-RU"/>
              </w:rPr>
            </w:pPr>
            <w:r w:rsidRPr="0090114B">
              <w:rPr>
                <w:rFonts w:eastAsia="Times New Roman"/>
                <w:lang w:eastAsia="ru-RU"/>
              </w:rPr>
              <w:t>75 255</w:t>
            </w:r>
            <w:r w:rsidR="00A40DE2" w:rsidRPr="0090114B">
              <w:rPr>
                <w:rFonts w:eastAsia="Times New Roman"/>
                <w:lang w:eastAsia="ru-RU"/>
              </w:rPr>
              <w:t>,</w:t>
            </w:r>
            <w:r w:rsidRPr="0090114B">
              <w:rPr>
                <w:rFonts w:eastAsia="Times New Roman"/>
                <w:lang w:eastAsia="ru-RU"/>
              </w:rPr>
              <w:t>6</w:t>
            </w:r>
            <w:r w:rsidR="00A40DE2" w:rsidRPr="0090114B">
              <w:rPr>
                <w:rFonts w:eastAsia="Times New Roman"/>
                <w:lang w:eastAsia="ru-RU"/>
              </w:rPr>
              <w:t xml:space="preserve"> грн</w:t>
            </w:r>
          </w:p>
        </w:tc>
      </w:tr>
    </w:tbl>
    <w:p w:rsidR="00211580" w:rsidRPr="0090114B" w:rsidRDefault="0024102B" w:rsidP="00211580">
      <w:pPr>
        <w:pStyle w:val="a8"/>
        <w:ind w:firstLine="284"/>
        <w:jc w:val="both"/>
        <w:rPr>
          <w:i/>
          <w:sz w:val="22"/>
          <w:szCs w:val="22"/>
          <w:lang w:eastAsia="ru-RU"/>
        </w:rPr>
      </w:pPr>
      <w:bookmarkStart w:id="3" w:name="n183"/>
      <w:bookmarkEnd w:id="3"/>
      <w:r w:rsidRPr="0090114B">
        <w:rPr>
          <w:rFonts w:eastAsia="Times New Roman"/>
          <w:color w:val="333333"/>
          <w:sz w:val="20"/>
          <w:szCs w:val="20"/>
          <w:lang w:eastAsia="ru-RU"/>
        </w:rPr>
        <w:t>_________</w:t>
      </w:r>
      <w:r w:rsidRPr="0090114B">
        <w:rPr>
          <w:rFonts w:eastAsia="Times New Roman"/>
          <w:color w:val="333333"/>
          <w:lang w:eastAsia="ru-RU"/>
        </w:rPr>
        <w:br/>
      </w:r>
      <w:r w:rsidRPr="0090114B">
        <w:rPr>
          <w:rFonts w:eastAsia="Times New Roman"/>
          <w:sz w:val="22"/>
          <w:szCs w:val="22"/>
          <w:lang w:eastAsia="ru-RU"/>
        </w:rPr>
        <w:t xml:space="preserve">* </w:t>
      </w:r>
      <w:r w:rsidR="00211580" w:rsidRPr="0090114B">
        <w:rPr>
          <w:i/>
          <w:sz w:val="22"/>
          <w:szCs w:val="22"/>
          <w:lang w:eastAsia="ru-RU"/>
        </w:rPr>
        <w:t xml:space="preserve">Відповідно до статті 8 Закону України від 3 листопада 2022 року № 2710-IX «Про Державний бюджет України на 2023 рік» (зі змінами), з </w:t>
      </w:r>
      <w:r w:rsidR="00B31F10">
        <w:rPr>
          <w:i/>
          <w:sz w:val="22"/>
          <w:szCs w:val="22"/>
          <w:lang w:eastAsia="ru-RU"/>
        </w:rPr>
        <w:t>0</w:t>
      </w:r>
      <w:r w:rsidR="00211580" w:rsidRPr="0090114B">
        <w:rPr>
          <w:i/>
          <w:sz w:val="22"/>
          <w:szCs w:val="22"/>
          <w:lang w:eastAsia="ru-RU"/>
        </w:rPr>
        <w:t>1</w:t>
      </w:r>
      <w:r w:rsidR="00430999">
        <w:rPr>
          <w:i/>
          <w:sz w:val="22"/>
          <w:szCs w:val="22"/>
          <w:lang w:eastAsia="ru-RU"/>
        </w:rPr>
        <w:t>.01.</w:t>
      </w:r>
      <w:r w:rsidR="00211580" w:rsidRPr="0090114B">
        <w:rPr>
          <w:i/>
          <w:sz w:val="22"/>
          <w:szCs w:val="22"/>
          <w:lang w:eastAsia="ru-RU"/>
        </w:rPr>
        <w:t>2023 мінімальна заробітна плата у погодинному розмірі становить – 40,46 гривень.</w:t>
      </w:r>
    </w:p>
    <w:p w:rsidR="00910AF8" w:rsidRPr="0090114B" w:rsidRDefault="00A40DE2" w:rsidP="00211580">
      <w:pPr>
        <w:pStyle w:val="a8"/>
        <w:ind w:firstLine="284"/>
        <w:jc w:val="both"/>
        <w:rPr>
          <w:i/>
          <w:sz w:val="22"/>
          <w:szCs w:val="22"/>
          <w:lang w:eastAsia="ru-RU"/>
        </w:rPr>
      </w:pPr>
      <w:r w:rsidRPr="0090114B">
        <w:rPr>
          <w:i/>
          <w:sz w:val="22"/>
          <w:szCs w:val="22"/>
          <w:lang w:eastAsia="ru-RU"/>
        </w:rPr>
        <w:t>Для заповнення одн</w:t>
      </w:r>
      <w:r w:rsidR="0096130E" w:rsidRPr="0090114B">
        <w:rPr>
          <w:i/>
          <w:sz w:val="22"/>
          <w:szCs w:val="22"/>
          <w:lang w:eastAsia="ru-RU"/>
        </w:rPr>
        <w:t>ієї</w:t>
      </w:r>
      <w:r w:rsidRPr="0090114B">
        <w:rPr>
          <w:i/>
          <w:sz w:val="22"/>
          <w:szCs w:val="22"/>
          <w:lang w:eastAsia="ru-RU"/>
        </w:rPr>
        <w:t xml:space="preserve"> </w:t>
      </w:r>
      <w:r w:rsidR="00910AF8" w:rsidRPr="0090114B">
        <w:rPr>
          <w:i/>
          <w:sz w:val="22"/>
          <w:szCs w:val="22"/>
          <w:lang w:eastAsia="ru-RU"/>
        </w:rPr>
        <w:t>:</w:t>
      </w:r>
    </w:p>
    <w:p w:rsidR="0096130E" w:rsidRPr="0090114B" w:rsidRDefault="00910AF8" w:rsidP="00910AF8">
      <w:pPr>
        <w:pStyle w:val="a8"/>
        <w:ind w:firstLine="284"/>
        <w:jc w:val="both"/>
        <w:rPr>
          <w:i/>
          <w:sz w:val="22"/>
          <w:szCs w:val="22"/>
          <w:lang w:eastAsia="ru-RU"/>
        </w:rPr>
      </w:pPr>
      <w:r w:rsidRPr="0090114B">
        <w:rPr>
          <w:i/>
          <w:sz w:val="22"/>
          <w:szCs w:val="22"/>
        </w:rPr>
        <w:t>п</w:t>
      </w:r>
      <w:r w:rsidR="0096130E" w:rsidRPr="0090114B">
        <w:rPr>
          <w:i/>
          <w:sz w:val="22"/>
          <w:szCs w:val="22"/>
        </w:rPr>
        <w:t>опередньої/додаткової попередньої заявки-розрахунку про потребу в марках за їх видами, реквізити документа/документів (номер, дата платіжної інструкції та сума перерахованих коштів) на перерахування плати за виготовлення марок та звіт про використання марок, придбаних у попередньому місяці</w:t>
      </w:r>
      <w:r w:rsidR="00CB52FD" w:rsidRPr="0090114B">
        <w:rPr>
          <w:i/>
          <w:sz w:val="22"/>
          <w:szCs w:val="22"/>
          <w:lang w:eastAsia="ru-RU"/>
        </w:rPr>
        <w:t xml:space="preserve"> орієнтовно потрібно 1 годину:</w:t>
      </w:r>
    </w:p>
    <w:p w:rsidR="00A40DE2" w:rsidRPr="0090114B" w:rsidRDefault="00A40DE2" w:rsidP="00910AF8">
      <w:pPr>
        <w:pStyle w:val="a8"/>
        <w:ind w:firstLine="284"/>
        <w:jc w:val="both"/>
        <w:rPr>
          <w:i/>
          <w:sz w:val="22"/>
          <w:szCs w:val="22"/>
          <w:lang w:eastAsia="ru-RU"/>
        </w:rPr>
      </w:pPr>
      <w:r w:rsidRPr="0090114B">
        <w:rPr>
          <w:i/>
          <w:sz w:val="22"/>
          <w:szCs w:val="22"/>
          <w:lang w:eastAsia="ru-RU"/>
        </w:rPr>
        <w:t xml:space="preserve">50 хвилин (0,84 години) на збір інформації та внесення інформації до </w:t>
      </w:r>
      <w:r w:rsidR="00CB52FD" w:rsidRPr="0090114B">
        <w:rPr>
          <w:i/>
          <w:sz w:val="22"/>
          <w:szCs w:val="22"/>
        </w:rPr>
        <w:t>попередньої/додаткової попередньої заявки-розрахунку про потребу в марках</w:t>
      </w:r>
      <w:r w:rsidR="008E3638" w:rsidRPr="0090114B">
        <w:rPr>
          <w:i/>
          <w:sz w:val="22"/>
          <w:szCs w:val="22"/>
        </w:rPr>
        <w:t xml:space="preserve"> (1 особа)</w:t>
      </w:r>
      <w:r w:rsidRPr="0090114B">
        <w:rPr>
          <w:i/>
          <w:sz w:val="22"/>
          <w:szCs w:val="22"/>
          <w:lang w:eastAsia="ru-RU"/>
        </w:rPr>
        <w:t>;</w:t>
      </w:r>
    </w:p>
    <w:p w:rsidR="00A40DE2" w:rsidRPr="0090114B" w:rsidRDefault="00A40DE2" w:rsidP="00910AF8">
      <w:pPr>
        <w:pStyle w:val="a8"/>
        <w:ind w:firstLine="284"/>
        <w:jc w:val="both"/>
        <w:rPr>
          <w:i/>
          <w:sz w:val="22"/>
          <w:szCs w:val="22"/>
          <w:lang w:eastAsia="ru-RU"/>
        </w:rPr>
      </w:pPr>
      <w:r w:rsidRPr="0090114B">
        <w:rPr>
          <w:i/>
          <w:sz w:val="22"/>
          <w:szCs w:val="22"/>
          <w:lang w:eastAsia="ru-RU"/>
        </w:rPr>
        <w:t xml:space="preserve">10 хвилин (0,16 години) на відправку </w:t>
      </w:r>
      <w:r w:rsidR="00CB52FD" w:rsidRPr="0090114B">
        <w:rPr>
          <w:i/>
          <w:sz w:val="22"/>
          <w:szCs w:val="22"/>
        </w:rPr>
        <w:t xml:space="preserve">попередньої/додаткової попередньої заявки-розрахунку про потребу в марках та отримання </w:t>
      </w:r>
      <w:r w:rsidR="00AB6125" w:rsidRPr="0090114B">
        <w:rPr>
          <w:i/>
          <w:sz w:val="22"/>
          <w:szCs w:val="22"/>
          <w:lang w:eastAsia="ru-RU"/>
        </w:rPr>
        <w:t>позитивної квитанції про її реєстрацію</w:t>
      </w:r>
      <w:r w:rsidR="008E3638" w:rsidRPr="0090114B">
        <w:rPr>
          <w:i/>
          <w:sz w:val="22"/>
          <w:szCs w:val="22"/>
          <w:lang w:eastAsia="ru-RU"/>
        </w:rPr>
        <w:t xml:space="preserve"> (</w:t>
      </w:r>
      <w:r w:rsidR="002C6D00" w:rsidRPr="0090114B">
        <w:rPr>
          <w:i/>
          <w:sz w:val="22"/>
          <w:szCs w:val="22"/>
        </w:rPr>
        <w:t>1 особа)</w:t>
      </w:r>
      <w:r w:rsidRPr="0090114B">
        <w:rPr>
          <w:i/>
          <w:sz w:val="22"/>
          <w:szCs w:val="22"/>
          <w:lang w:eastAsia="ru-RU"/>
        </w:rPr>
        <w:t>.</w:t>
      </w:r>
    </w:p>
    <w:p w:rsidR="00F000BC" w:rsidRPr="0090114B" w:rsidRDefault="0033289C" w:rsidP="00910AF8">
      <w:pPr>
        <w:pStyle w:val="a8"/>
        <w:ind w:firstLine="284"/>
        <w:jc w:val="both"/>
        <w:rPr>
          <w:i/>
          <w:sz w:val="22"/>
          <w:szCs w:val="22"/>
          <w:lang w:eastAsia="ru-RU"/>
        </w:rPr>
      </w:pPr>
      <w:r w:rsidRPr="0090114B">
        <w:rPr>
          <w:i/>
          <w:sz w:val="22"/>
          <w:szCs w:val="22"/>
          <w:lang w:eastAsia="ru-RU"/>
        </w:rPr>
        <w:t>В середньому одн</w:t>
      </w:r>
      <w:r w:rsidR="00F000BC" w:rsidRPr="0090114B">
        <w:rPr>
          <w:i/>
          <w:sz w:val="22"/>
          <w:szCs w:val="22"/>
          <w:lang w:eastAsia="ru-RU"/>
        </w:rPr>
        <w:t>е</w:t>
      </w:r>
      <w:r w:rsidRPr="0090114B">
        <w:rPr>
          <w:i/>
          <w:sz w:val="22"/>
          <w:szCs w:val="22"/>
          <w:lang w:eastAsia="ru-RU"/>
        </w:rPr>
        <w:t xml:space="preserve"> підприємств</w:t>
      </w:r>
      <w:r w:rsidR="003E6694" w:rsidRPr="0090114B">
        <w:rPr>
          <w:i/>
          <w:sz w:val="22"/>
          <w:szCs w:val="22"/>
          <w:lang w:eastAsia="ru-RU"/>
        </w:rPr>
        <w:t>о</w:t>
      </w:r>
      <w:r w:rsidRPr="0090114B">
        <w:rPr>
          <w:i/>
          <w:sz w:val="22"/>
          <w:szCs w:val="22"/>
          <w:lang w:eastAsia="ru-RU"/>
        </w:rPr>
        <w:t>-виробник/імпортер</w:t>
      </w:r>
      <w:r w:rsidR="00F000BC" w:rsidRPr="0090114B">
        <w:rPr>
          <w:i/>
          <w:sz w:val="22"/>
          <w:szCs w:val="22"/>
          <w:lang w:eastAsia="ru-RU"/>
        </w:rPr>
        <w:t>:</w:t>
      </w:r>
      <w:r w:rsidRPr="0090114B">
        <w:rPr>
          <w:i/>
          <w:sz w:val="22"/>
          <w:szCs w:val="22"/>
          <w:lang w:eastAsia="ru-RU"/>
        </w:rPr>
        <w:t xml:space="preserve"> </w:t>
      </w:r>
    </w:p>
    <w:p w:rsidR="00F000BC" w:rsidRPr="0090114B" w:rsidRDefault="0033289C" w:rsidP="00910AF8">
      <w:pPr>
        <w:pStyle w:val="a8"/>
        <w:ind w:firstLine="284"/>
        <w:jc w:val="both"/>
        <w:rPr>
          <w:i/>
          <w:sz w:val="22"/>
          <w:szCs w:val="22"/>
          <w:lang w:eastAsia="ru-RU"/>
        </w:rPr>
      </w:pPr>
      <w:r w:rsidRPr="0090114B">
        <w:rPr>
          <w:i/>
          <w:sz w:val="22"/>
          <w:szCs w:val="22"/>
          <w:lang w:eastAsia="ru-RU"/>
        </w:rPr>
        <w:t xml:space="preserve">за </w:t>
      </w:r>
      <w:r w:rsidR="00F000BC" w:rsidRPr="0090114B">
        <w:rPr>
          <w:i/>
          <w:sz w:val="22"/>
          <w:szCs w:val="22"/>
          <w:lang w:eastAsia="ru-RU"/>
        </w:rPr>
        <w:t xml:space="preserve"> місяць подає 2 такі заявки </w:t>
      </w:r>
      <w:r w:rsidR="009A203B" w:rsidRPr="0090114B">
        <w:rPr>
          <w:i/>
          <w:sz w:val="22"/>
          <w:szCs w:val="22"/>
          <w:lang w:eastAsia="ru-RU"/>
        </w:rPr>
        <w:t>(1 год *</w:t>
      </w:r>
      <w:r w:rsidR="00480B63" w:rsidRPr="0090114B">
        <w:rPr>
          <w:i/>
          <w:sz w:val="22"/>
          <w:szCs w:val="22"/>
          <w:lang w:eastAsia="ru-RU"/>
        </w:rPr>
        <w:t xml:space="preserve"> </w:t>
      </w:r>
      <w:r w:rsidR="009A203B" w:rsidRPr="0090114B">
        <w:rPr>
          <w:i/>
          <w:sz w:val="22"/>
          <w:szCs w:val="22"/>
          <w:lang w:eastAsia="ru-RU"/>
        </w:rPr>
        <w:t>2)</w:t>
      </w:r>
      <w:r w:rsidR="00480B63" w:rsidRPr="0090114B">
        <w:rPr>
          <w:i/>
          <w:sz w:val="22"/>
          <w:szCs w:val="22"/>
          <w:lang w:eastAsia="ru-RU"/>
        </w:rPr>
        <w:t xml:space="preserve"> </w:t>
      </w:r>
      <w:r w:rsidR="009A203B" w:rsidRPr="0090114B">
        <w:rPr>
          <w:i/>
          <w:sz w:val="22"/>
          <w:szCs w:val="22"/>
          <w:lang w:eastAsia="ru-RU"/>
        </w:rPr>
        <w:t>=</w:t>
      </w:r>
      <w:r w:rsidR="00480B63" w:rsidRPr="0090114B">
        <w:rPr>
          <w:i/>
          <w:sz w:val="22"/>
          <w:szCs w:val="22"/>
          <w:lang w:eastAsia="ru-RU"/>
        </w:rPr>
        <w:t xml:space="preserve"> </w:t>
      </w:r>
      <w:r w:rsidR="009A203B" w:rsidRPr="0090114B">
        <w:rPr>
          <w:i/>
          <w:sz w:val="22"/>
          <w:szCs w:val="22"/>
          <w:lang w:eastAsia="ru-RU"/>
        </w:rPr>
        <w:t>2 години/місяць</w:t>
      </w:r>
      <w:r w:rsidR="00480B63" w:rsidRPr="0090114B">
        <w:rPr>
          <w:i/>
          <w:sz w:val="22"/>
          <w:szCs w:val="22"/>
          <w:lang w:eastAsia="ru-RU"/>
        </w:rPr>
        <w:t>, (2 години/місяць * 40,46 гривен</w:t>
      </w:r>
      <w:r w:rsidR="00B31F10">
        <w:rPr>
          <w:i/>
          <w:sz w:val="22"/>
          <w:szCs w:val="22"/>
          <w:lang w:eastAsia="ru-RU"/>
        </w:rPr>
        <w:t>ь</w:t>
      </w:r>
      <w:r w:rsidR="00480B63" w:rsidRPr="0090114B">
        <w:rPr>
          <w:i/>
          <w:sz w:val="22"/>
          <w:szCs w:val="22"/>
          <w:lang w:eastAsia="ru-RU"/>
        </w:rPr>
        <w:t xml:space="preserve">) = </w:t>
      </w:r>
      <w:r w:rsidR="00BA3A01" w:rsidRPr="0090114B">
        <w:rPr>
          <w:i/>
          <w:sz w:val="22"/>
          <w:szCs w:val="22"/>
          <w:lang w:eastAsia="ru-RU"/>
        </w:rPr>
        <w:t>80,92 гривень/місяць;</w:t>
      </w:r>
    </w:p>
    <w:p w:rsidR="00BA3A01" w:rsidRPr="0090114B" w:rsidRDefault="00BA3A01" w:rsidP="00910AF8">
      <w:pPr>
        <w:pStyle w:val="a8"/>
        <w:ind w:firstLine="284"/>
        <w:jc w:val="both"/>
        <w:rPr>
          <w:i/>
          <w:sz w:val="22"/>
          <w:szCs w:val="22"/>
          <w:lang w:eastAsia="ru-RU"/>
        </w:rPr>
      </w:pPr>
      <w:r w:rsidRPr="0090114B">
        <w:rPr>
          <w:i/>
          <w:sz w:val="22"/>
          <w:szCs w:val="22"/>
          <w:lang w:eastAsia="ru-RU"/>
        </w:rPr>
        <w:t xml:space="preserve">за </w:t>
      </w:r>
      <w:r w:rsidR="0033289C" w:rsidRPr="0090114B">
        <w:rPr>
          <w:i/>
          <w:sz w:val="22"/>
          <w:szCs w:val="22"/>
          <w:lang w:eastAsia="ru-RU"/>
        </w:rPr>
        <w:t xml:space="preserve">рік </w:t>
      </w:r>
      <w:r w:rsidR="003E6694" w:rsidRPr="0090114B">
        <w:rPr>
          <w:i/>
          <w:sz w:val="22"/>
          <w:szCs w:val="22"/>
          <w:lang w:eastAsia="ru-RU"/>
        </w:rPr>
        <w:t>може</w:t>
      </w:r>
      <w:r w:rsidR="0033289C" w:rsidRPr="0090114B">
        <w:rPr>
          <w:i/>
          <w:sz w:val="22"/>
          <w:szCs w:val="22"/>
          <w:lang w:eastAsia="ru-RU"/>
        </w:rPr>
        <w:t xml:space="preserve"> подати 24 так</w:t>
      </w:r>
      <w:r w:rsidR="00A95483">
        <w:rPr>
          <w:i/>
          <w:sz w:val="22"/>
          <w:szCs w:val="22"/>
          <w:lang w:eastAsia="ru-RU"/>
        </w:rPr>
        <w:t>их</w:t>
      </w:r>
      <w:r w:rsidR="0033289C" w:rsidRPr="0090114B">
        <w:rPr>
          <w:i/>
          <w:sz w:val="22"/>
          <w:szCs w:val="22"/>
          <w:lang w:eastAsia="ru-RU"/>
        </w:rPr>
        <w:t xml:space="preserve"> заяв</w:t>
      </w:r>
      <w:r w:rsidR="00A95483">
        <w:rPr>
          <w:i/>
          <w:sz w:val="22"/>
          <w:szCs w:val="22"/>
          <w:lang w:eastAsia="ru-RU"/>
        </w:rPr>
        <w:t>ки</w:t>
      </w:r>
      <w:r w:rsidR="00BE64E6" w:rsidRPr="0090114B">
        <w:rPr>
          <w:i/>
          <w:sz w:val="22"/>
          <w:szCs w:val="22"/>
          <w:lang w:eastAsia="ru-RU"/>
        </w:rPr>
        <w:t xml:space="preserve">, </w:t>
      </w:r>
      <w:r w:rsidRPr="0090114B">
        <w:rPr>
          <w:i/>
          <w:sz w:val="22"/>
          <w:szCs w:val="22"/>
          <w:lang w:eastAsia="ru-RU"/>
        </w:rPr>
        <w:t>(2 години/місяць * 12 місяців) = 24 години/рік</w:t>
      </w:r>
      <w:r w:rsidR="00E12CDA" w:rsidRPr="0090114B">
        <w:rPr>
          <w:i/>
          <w:sz w:val="22"/>
          <w:szCs w:val="22"/>
          <w:lang w:eastAsia="ru-RU"/>
        </w:rPr>
        <w:t>, (24 години/рік * 40,46 гривен</w:t>
      </w:r>
      <w:r w:rsidR="00B31F10">
        <w:rPr>
          <w:i/>
          <w:sz w:val="22"/>
          <w:szCs w:val="22"/>
          <w:lang w:eastAsia="ru-RU"/>
        </w:rPr>
        <w:t>ь</w:t>
      </w:r>
      <w:r w:rsidR="00E12CDA" w:rsidRPr="0090114B">
        <w:rPr>
          <w:i/>
          <w:sz w:val="22"/>
          <w:szCs w:val="22"/>
          <w:lang w:eastAsia="ru-RU"/>
        </w:rPr>
        <w:t>) = 971,04 грив</w:t>
      </w:r>
      <w:r w:rsidR="00BA6E38">
        <w:rPr>
          <w:i/>
          <w:sz w:val="22"/>
          <w:szCs w:val="22"/>
          <w:lang w:eastAsia="ru-RU"/>
        </w:rPr>
        <w:t>ня</w:t>
      </w:r>
      <w:r w:rsidR="00E12CDA" w:rsidRPr="0090114B">
        <w:rPr>
          <w:i/>
          <w:sz w:val="22"/>
          <w:szCs w:val="22"/>
          <w:lang w:eastAsia="ru-RU"/>
        </w:rPr>
        <w:t>/рік</w:t>
      </w:r>
      <w:r w:rsidR="00FD6DD5">
        <w:rPr>
          <w:i/>
          <w:sz w:val="22"/>
          <w:szCs w:val="22"/>
          <w:lang w:eastAsia="ru-RU"/>
        </w:rPr>
        <w:t>;</w:t>
      </w:r>
    </w:p>
    <w:p w:rsidR="003D191F" w:rsidRPr="0090114B" w:rsidRDefault="006C6A35" w:rsidP="00910AF8">
      <w:pPr>
        <w:pStyle w:val="a9"/>
        <w:tabs>
          <w:tab w:val="left" w:pos="720"/>
          <w:tab w:val="left" w:pos="1277"/>
        </w:tabs>
        <w:spacing w:before="0" w:beforeAutospacing="0" w:after="0" w:afterAutospacing="0"/>
        <w:ind w:firstLine="284"/>
        <w:jc w:val="both"/>
        <w:rPr>
          <w:i/>
          <w:sz w:val="22"/>
          <w:szCs w:val="22"/>
          <w:lang w:val="uk-UA" w:eastAsia="ru-RU"/>
        </w:rPr>
      </w:pPr>
      <w:r w:rsidRPr="0090114B">
        <w:rPr>
          <w:i/>
          <w:sz w:val="22"/>
          <w:szCs w:val="22"/>
          <w:lang w:val="uk-UA"/>
        </w:rPr>
        <w:t>заявки-розрахунку на придбання марок акцизного податку для маркування</w:t>
      </w:r>
      <w:r w:rsidR="00EB583A" w:rsidRPr="0090114B">
        <w:rPr>
          <w:i/>
          <w:sz w:val="22"/>
          <w:szCs w:val="22"/>
          <w:lang w:val="uk-UA"/>
        </w:rPr>
        <w:t xml:space="preserve"> алкогольних напоїв,</w:t>
      </w:r>
      <w:r w:rsidRPr="0090114B">
        <w:rPr>
          <w:i/>
          <w:sz w:val="22"/>
          <w:szCs w:val="22"/>
          <w:lang w:val="uk-UA"/>
        </w:rPr>
        <w:t xml:space="preserve"> тютюнових виробів та рідин, що використовуються в електронних сигаретах  (за умови отримання </w:t>
      </w:r>
      <w:r w:rsidR="003D191F" w:rsidRPr="0090114B">
        <w:rPr>
          <w:i/>
          <w:sz w:val="22"/>
          <w:szCs w:val="22"/>
          <w:lang w:val="uk-UA"/>
        </w:rPr>
        <w:t xml:space="preserve">суб’єктом господарювання </w:t>
      </w:r>
      <w:r w:rsidR="000124E3" w:rsidRPr="0090114B">
        <w:rPr>
          <w:i/>
          <w:sz w:val="22"/>
          <w:szCs w:val="22"/>
          <w:lang w:val="uk-UA"/>
        </w:rPr>
        <w:t>повн</w:t>
      </w:r>
      <w:r w:rsidR="00FD6DD5">
        <w:rPr>
          <w:i/>
          <w:sz w:val="22"/>
          <w:szCs w:val="22"/>
          <w:lang w:val="uk-UA"/>
        </w:rPr>
        <w:t>ого</w:t>
      </w:r>
      <w:r w:rsidR="000124E3" w:rsidRPr="0090114B">
        <w:rPr>
          <w:i/>
          <w:sz w:val="22"/>
          <w:szCs w:val="22"/>
          <w:lang w:val="uk-UA"/>
        </w:rPr>
        <w:t xml:space="preserve"> </w:t>
      </w:r>
      <w:r w:rsidRPr="0090114B">
        <w:rPr>
          <w:i/>
          <w:sz w:val="22"/>
          <w:szCs w:val="22"/>
          <w:lang w:val="uk-UA"/>
        </w:rPr>
        <w:t>замовленн</w:t>
      </w:r>
      <w:r w:rsidR="00FD6DD5">
        <w:rPr>
          <w:i/>
          <w:sz w:val="22"/>
          <w:szCs w:val="22"/>
          <w:lang w:val="uk-UA"/>
        </w:rPr>
        <w:t>я</w:t>
      </w:r>
      <w:r w:rsidRPr="0090114B">
        <w:rPr>
          <w:i/>
          <w:sz w:val="22"/>
          <w:szCs w:val="22"/>
          <w:lang w:val="uk-UA"/>
        </w:rPr>
        <w:t xml:space="preserve"> про потребу у марках акцизного податку) </w:t>
      </w:r>
      <w:r w:rsidR="003D191F" w:rsidRPr="0090114B">
        <w:rPr>
          <w:i/>
          <w:sz w:val="22"/>
          <w:szCs w:val="22"/>
          <w:lang w:eastAsia="ru-RU"/>
        </w:rPr>
        <w:t xml:space="preserve">орієнтовно потрібно </w:t>
      </w:r>
      <w:r w:rsidR="00D542D6" w:rsidRPr="0090114B">
        <w:rPr>
          <w:i/>
          <w:sz w:val="22"/>
          <w:szCs w:val="22"/>
          <w:lang w:val="uk-UA" w:eastAsia="ru-RU"/>
        </w:rPr>
        <w:t>1</w:t>
      </w:r>
      <w:r w:rsidR="00E330D5" w:rsidRPr="0090114B">
        <w:rPr>
          <w:i/>
          <w:sz w:val="22"/>
          <w:szCs w:val="22"/>
          <w:lang w:val="uk-UA" w:eastAsia="ru-RU"/>
        </w:rPr>
        <w:t>4</w:t>
      </w:r>
      <w:r w:rsidR="00D542D6" w:rsidRPr="0090114B">
        <w:rPr>
          <w:i/>
          <w:sz w:val="22"/>
          <w:szCs w:val="22"/>
          <w:lang w:val="uk-UA" w:eastAsia="ru-RU"/>
        </w:rPr>
        <w:t>,5</w:t>
      </w:r>
      <w:r w:rsidR="003D191F" w:rsidRPr="0090114B">
        <w:rPr>
          <w:i/>
          <w:sz w:val="22"/>
          <w:szCs w:val="22"/>
          <w:lang w:eastAsia="ru-RU"/>
        </w:rPr>
        <w:t xml:space="preserve"> годин</w:t>
      </w:r>
      <w:r w:rsidR="0041124C">
        <w:rPr>
          <w:i/>
          <w:sz w:val="22"/>
          <w:szCs w:val="22"/>
          <w:lang w:val="uk-UA" w:eastAsia="ru-RU"/>
        </w:rPr>
        <w:t>и</w:t>
      </w:r>
      <w:bookmarkStart w:id="4" w:name="_GoBack"/>
      <w:bookmarkEnd w:id="4"/>
      <w:r w:rsidR="003D191F" w:rsidRPr="0090114B">
        <w:rPr>
          <w:i/>
          <w:sz w:val="22"/>
          <w:szCs w:val="22"/>
          <w:lang w:val="uk-UA" w:eastAsia="ru-RU"/>
        </w:rPr>
        <w:t>:</w:t>
      </w:r>
    </w:p>
    <w:p w:rsidR="002C6D00" w:rsidRPr="0090114B" w:rsidRDefault="002C6D00" w:rsidP="00910AF8">
      <w:pPr>
        <w:pStyle w:val="a8"/>
        <w:ind w:firstLine="284"/>
        <w:jc w:val="both"/>
        <w:rPr>
          <w:i/>
          <w:sz w:val="22"/>
          <w:szCs w:val="22"/>
          <w:lang w:eastAsia="ru-RU"/>
        </w:rPr>
      </w:pPr>
      <w:r w:rsidRPr="0090114B">
        <w:rPr>
          <w:i/>
          <w:sz w:val="22"/>
          <w:szCs w:val="22"/>
          <w:lang w:eastAsia="ru-RU"/>
        </w:rPr>
        <w:t xml:space="preserve">60 хвилин (1 година) на збір інформації та внесення </w:t>
      </w:r>
      <w:r w:rsidR="00153747" w:rsidRPr="0090114B">
        <w:rPr>
          <w:i/>
          <w:sz w:val="22"/>
          <w:szCs w:val="22"/>
          <w:lang w:eastAsia="ru-RU"/>
        </w:rPr>
        <w:t xml:space="preserve"> до </w:t>
      </w:r>
      <w:r w:rsidR="00153747" w:rsidRPr="0090114B">
        <w:rPr>
          <w:i/>
          <w:sz w:val="22"/>
          <w:szCs w:val="22"/>
        </w:rPr>
        <w:t>заявки-розрахунку на придбання марок акцизного податку</w:t>
      </w:r>
      <w:r w:rsidRPr="0090114B">
        <w:rPr>
          <w:i/>
          <w:sz w:val="22"/>
          <w:szCs w:val="22"/>
        </w:rPr>
        <w:t xml:space="preserve"> (1 особа</w:t>
      </w:r>
      <w:r w:rsidR="00271F10" w:rsidRPr="0090114B">
        <w:rPr>
          <w:i/>
          <w:sz w:val="22"/>
          <w:szCs w:val="22"/>
        </w:rPr>
        <w:t xml:space="preserve"> * 1 годину)= 1 година</w:t>
      </w:r>
      <w:r w:rsidRPr="0090114B">
        <w:rPr>
          <w:i/>
          <w:sz w:val="22"/>
          <w:szCs w:val="22"/>
          <w:lang w:eastAsia="ru-RU"/>
        </w:rPr>
        <w:t>;</w:t>
      </w:r>
    </w:p>
    <w:p w:rsidR="00153747" w:rsidRPr="0090114B" w:rsidRDefault="00153747" w:rsidP="00910AF8">
      <w:pPr>
        <w:pStyle w:val="a8"/>
        <w:ind w:firstLine="284"/>
        <w:jc w:val="both"/>
        <w:rPr>
          <w:i/>
          <w:sz w:val="22"/>
          <w:szCs w:val="22"/>
        </w:rPr>
      </w:pPr>
      <w:r w:rsidRPr="0090114B">
        <w:rPr>
          <w:i/>
          <w:sz w:val="22"/>
          <w:szCs w:val="22"/>
          <w:lang w:eastAsia="ru-RU"/>
        </w:rPr>
        <w:t>30 хвилин (0,5 години) зд</w:t>
      </w:r>
      <w:r w:rsidR="005F75C4" w:rsidRPr="0090114B">
        <w:rPr>
          <w:i/>
          <w:sz w:val="22"/>
          <w:szCs w:val="22"/>
          <w:lang w:eastAsia="ru-RU"/>
        </w:rPr>
        <w:t>ійснення розрахунку акцизного п</w:t>
      </w:r>
      <w:r w:rsidRPr="0090114B">
        <w:rPr>
          <w:i/>
          <w:sz w:val="22"/>
          <w:szCs w:val="22"/>
          <w:lang w:eastAsia="ru-RU"/>
        </w:rPr>
        <w:t xml:space="preserve">одатку </w:t>
      </w:r>
      <w:r w:rsidR="005F75C4" w:rsidRPr="0090114B">
        <w:rPr>
          <w:i/>
          <w:sz w:val="22"/>
          <w:szCs w:val="22"/>
          <w:lang w:eastAsia="ru-RU"/>
        </w:rPr>
        <w:t xml:space="preserve">згідно із внесеної інформації до </w:t>
      </w:r>
      <w:r w:rsidR="005F75C4" w:rsidRPr="0090114B">
        <w:rPr>
          <w:i/>
          <w:sz w:val="22"/>
          <w:szCs w:val="22"/>
        </w:rPr>
        <w:t>заявки-розрахунку на придбання марок акцизного податку (1 особа</w:t>
      </w:r>
      <w:r w:rsidR="00271F10" w:rsidRPr="0090114B">
        <w:rPr>
          <w:i/>
          <w:sz w:val="22"/>
          <w:szCs w:val="22"/>
        </w:rPr>
        <w:t xml:space="preserve"> * 0,5 години</w:t>
      </w:r>
      <w:r w:rsidR="005F75C4" w:rsidRPr="0090114B">
        <w:rPr>
          <w:i/>
          <w:sz w:val="22"/>
          <w:szCs w:val="22"/>
        </w:rPr>
        <w:t>)</w:t>
      </w:r>
      <w:r w:rsidR="00271F10" w:rsidRPr="0090114B">
        <w:rPr>
          <w:i/>
          <w:sz w:val="22"/>
          <w:szCs w:val="22"/>
        </w:rPr>
        <w:t xml:space="preserve"> = </w:t>
      </w:r>
      <w:r w:rsidR="00A648CD" w:rsidRPr="0090114B">
        <w:rPr>
          <w:i/>
          <w:sz w:val="22"/>
          <w:szCs w:val="22"/>
        </w:rPr>
        <w:t>0</w:t>
      </w:r>
      <w:r w:rsidR="00271F10" w:rsidRPr="0090114B">
        <w:rPr>
          <w:i/>
          <w:sz w:val="22"/>
          <w:szCs w:val="22"/>
        </w:rPr>
        <w:t>,5 години</w:t>
      </w:r>
      <w:r w:rsidR="005F75C4" w:rsidRPr="0090114B">
        <w:rPr>
          <w:i/>
          <w:sz w:val="22"/>
          <w:szCs w:val="22"/>
        </w:rPr>
        <w:t>;</w:t>
      </w:r>
    </w:p>
    <w:p w:rsidR="005F75C4" w:rsidRPr="0090114B" w:rsidRDefault="005F75C4" w:rsidP="00910AF8">
      <w:pPr>
        <w:pStyle w:val="a8"/>
        <w:ind w:firstLine="284"/>
        <w:jc w:val="both"/>
        <w:rPr>
          <w:i/>
          <w:sz w:val="22"/>
          <w:szCs w:val="22"/>
        </w:rPr>
      </w:pPr>
      <w:r w:rsidRPr="0090114B">
        <w:rPr>
          <w:i/>
          <w:sz w:val="22"/>
          <w:szCs w:val="22"/>
        </w:rPr>
        <w:t xml:space="preserve">300 хвилин (5 годин) </w:t>
      </w:r>
      <w:r w:rsidR="0087779F" w:rsidRPr="0090114B">
        <w:rPr>
          <w:i/>
          <w:sz w:val="22"/>
          <w:szCs w:val="22"/>
        </w:rPr>
        <w:t>час необхідний на дорогу до/від продавця марок (не менше 2 осіб</w:t>
      </w:r>
      <w:r w:rsidR="00413088" w:rsidRPr="0090114B">
        <w:rPr>
          <w:i/>
          <w:sz w:val="22"/>
          <w:szCs w:val="22"/>
        </w:rPr>
        <w:t xml:space="preserve"> * 5 годин) = 10 годин</w:t>
      </w:r>
      <w:r w:rsidR="0087779F" w:rsidRPr="0090114B">
        <w:rPr>
          <w:i/>
          <w:sz w:val="22"/>
          <w:szCs w:val="22"/>
        </w:rPr>
        <w:t>;</w:t>
      </w:r>
    </w:p>
    <w:p w:rsidR="0087779F" w:rsidRPr="0090114B" w:rsidRDefault="0087779F" w:rsidP="00910AF8">
      <w:pPr>
        <w:pStyle w:val="a8"/>
        <w:ind w:firstLine="284"/>
        <w:jc w:val="both"/>
        <w:rPr>
          <w:i/>
          <w:sz w:val="22"/>
          <w:szCs w:val="22"/>
          <w:lang w:eastAsia="ru-RU"/>
        </w:rPr>
      </w:pPr>
      <w:r w:rsidRPr="0090114B">
        <w:rPr>
          <w:i/>
          <w:sz w:val="22"/>
          <w:szCs w:val="22"/>
        </w:rPr>
        <w:t xml:space="preserve">90 хвилин (1,5 години) час необхідний на </w:t>
      </w:r>
      <w:r w:rsidR="00C9128A" w:rsidRPr="0090114B">
        <w:rPr>
          <w:i/>
          <w:sz w:val="22"/>
          <w:szCs w:val="22"/>
        </w:rPr>
        <w:t xml:space="preserve">отримання та завантаження </w:t>
      </w:r>
      <w:r w:rsidR="00E40044" w:rsidRPr="0090114B">
        <w:rPr>
          <w:i/>
          <w:sz w:val="22"/>
          <w:szCs w:val="22"/>
        </w:rPr>
        <w:t xml:space="preserve">марок акцизного податку </w:t>
      </w:r>
      <w:r w:rsidR="00C9128A" w:rsidRPr="0090114B">
        <w:rPr>
          <w:i/>
          <w:sz w:val="22"/>
          <w:szCs w:val="22"/>
        </w:rPr>
        <w:t>від продавця марок</w:t>
      </w:r>
      <w:r w:rsidR="004C647D" w:rsidRPr="0090114B">
        <w:rPr>
          <w:i/>
          <w:sz w:val="22"/>
          <w:szCs w:val="22"/>
        </w:rPr>
        <w:t xml:space="preserve"> (не менше 2 осіб</w:t>
      </w:r>
      <w:r w:rsidR="00413088" w:rsidRPr="0090114B">
        <w:rPr>
          <w:i/>
          <w:sz w:val="22"/>
          <w:szCs w:val="22"/>
        </w:rPr>
        <w:t xml:space="preserve"> *1,5 години</w:t>
      </w:r>
      <w:r w:rsidR="004C647D" w:rsidRPr="0090114B">
        <w:rPr>
          <w:i/>
          <w:sz w:val="22"/>
          <w:szCs w:val="22"/>
        </w:rPr>
        <w:t>)</w:t>
      </w:r>
      <w:r w:rsidR="00413088" w:rsidRPr="0090114B">
        <w:rPr>
          <w:i/>
          <w:sz w:val="22"/>
          <w:szCs w:val="22"/>
        </w:rPr>
        <w:t xml:space="preserve"> = 3 години</w:t>
      </w:r>
      <w:r w:rsidR="00E40044" w:rsidRPr="0090114B">
        <w:rPr>
          <w:i/>
          <w:sz w:val="22"/>
          <w:szCs w:val="22"/>
        </w:rPr>
        <w:t>.</w:t>
      </w:r>
      <w:r w:rsidR="00C9128A" w:rsidRPr="0090114B">
        <w:rPr>
          <w:i/>
          <w:sz w:val="22"/>
          <w:szCs w:val="22"/>
        </w:rPr>
        <w:t xml:space="preserve"> </w:t>
      </w:r>
    </w:p>
    <w:p w:rsidR="00741155" w:rsidRPr="0090114B" w:rsidRDefault="00C2462E" w:rsidP="00910AF8">
      <w:pPr>
        <w:pStyle w:val="a9"/>
        <w:tabs>
          <w:tab w:val="left" w:pos="720"/>
          <w:tab w:val="left" w:pos="1277"/>
        </w:tabs>
        <w:spacing w:before="0" w:beforeAutospacing="0" w:after="0" w:afterAutospacing="0"/>
        <w:ind w:firstLine="284"/>
        <w:jc w:val="both"/>
        <w:rPr>
          <w:i/>
          <w:sz w:val="22"/>
          <w:szCs w:val="22"/>
          <w:lang w:val="uk-UA" w:eastAsia="ru-RU"/>
        </w:rPr>
      </w:pPr>
      <w:r w:rsidRPr="0090114B">
        <w:rPr>
          <w:i/>
          <w:sz w:val="22"/>
          <w:szCs w:val="22"/>
          <w:lang w:val="uk-UA" w:eastAsia="ru-RU"/>
        </w:rPr>
        <w:t xml:space="preserve">В середньому </w:t>
      </w:r>
      <w:r w:rsidR="008C0D42" w:rsidRPr="0090114B">
        <w:rPr>
          <w:i/>
          <w:sz w:val="22"/>
          <w:szCs w:val="22"/>
          <w:lang w:eastAsia="ru-RU"/>
        </w:rPr>
        <w:t>од</w:t>
      </w:r>
      <w:r w:rsidR="00373CD4" w:rsidRPr="0090114B">
        <w:rPr>
          <w:i/>
          <w:sz w:val="22"/>
          <w:szCs w:val="22"/>
          <w:lang w:val="uk-UA" w:eastAsia="ru-RU"/>
        </w:rPr>
        <w:t xml:space="preserve">не </w:t>
      </w:r>
      <w:r w:rsidR="008C0D42" w:rsidRPr="0090114B">
        <w:rPr>
          <w:i/>
          <w:sz w:val="22"/>
          <w:szCs w:val="22"/>
          <w:lang w:eastAsia="ru-RU"/>
        </w:rPr>
        <w:t>підприємство-виробник/імпортер</w:t>
      </w:r>
      <w:r w:rsidR="00741155" w:rsidRPr="0090114B">
        <w:rPr>
          <w:i/>
          <w:sz w:val="22"/>
          <w:szCs w:val="22"/>
          <w:lang w:val="uk-UA" w:eastAsia="ru-RU"/>
        </w:rPr>
        <w:t>:</w:t>
      </w:r>
    </w:p>
    <w:p w:rsidR="00741155" w:rsidRPr="0090114B" w:rsidRDefault="00741155" w:rsidP="00910AF8">
      <w:pPr>
        <w:pStyle w:val="a9"/>
        <w:tabs>
          <w:tab w:val="left" w:pos="720"/>
          <w:tab w:val="left" w:pos="1277"/>
        </w:tabs>
        <w:spacing w:before="0" w:beforeAutospacing="0" w:after="0" w:afterAutospacing="0"/>
        <w:ind w:firstLine="284"/>
        <w:jc w:val="both"/>
        <w:rPr>
          <w:i/>
          <w:sz w:val="22"/>
          <w:szCs w:val="22"/>
          <w:lang w:val="uk-UA" w:eastAsia="ru-RU"/>
        </w:rPr>
      </w:pPr>
      <w:r w:rsidRPr="0090114B">
        <w:rPr>
          <w:i/>
          <w:sz w:val="22"/>
          <w:szCs w:val="22"/>
          <w:lang w:val="uk-UA" w:eastAsia="ru-RU"/>
        </w:rPr>
        <w:t xml:space="preserve">за місяць </w:t>
      </w:r>
      <w:r w:rsidR="00351AB8" w:rsidRPr="0090114B">
        <w:rPr>
          <w:i/>
          <w:sz w:val="22"/>
          <w:szCs w:val="22"/>
          <w:lang w:val="uk-UA" w:eastAsia="ru-RU"/>
        </w:rPr>
        <w:t>подає</w:t>
      </w:r>
      <w:r w:rsidR="00D24A8B" w:rsidRPr="0090114B">
        <w:rPr>
          <w:i/>
          <w:sz w:val="22"/>
          <w:szCs w:val="22"/>
          <w:lang w:val="uk-UA" w:eastAsia="ru-RU"/>
        </w:rPr>
        <w:t xml:space="preserve"> </w:t>
      </w:r>
      <w:r w:rsidRPr="0090114B">
        <w:rPr>
          <w:i/>
          <w:sz w:val="22"/>
          <w:szCs w:val="22"/>
          <w:lang w:val="uk-UA" w:eastAsia="ru-RU"/>
        </w:rPr>
        <w:t>2 такі заявки</w:t>
      </w:r>
      <w:r w:rsidR="00373CD4" w:rsidRPr="0090114B">
        <w:rPr>
          <w:i/>
          <w:sz w:val="22"/>
          <w:szCs w:val="22"/>
          <w:lang w:val="uk-UA" w:eastAsia="ru-RU"/>
        </w:rPr>
        <w:t xml:space="preserve"> </w:t>
      </w:r>
      <w:r w:rsidR="009D7DDB" w:rsidRPr="0090114B">
        <w:rPr>
          <w:i/>
          <w:sz w:val="22"/>
          <w:szCs w:val="22"/>
          <w:lang w:val="uk-UA" w:eastAsia="ru-RU"/>
        </w:rPr>
        <w:t>(1</w:t>
      </w:r>
      <w:r w:rsidR="00DD6161" w:rsidRPr="0090114B">
        <w:rPr>
          <w:i/>
          <w:sz w:val="22"/>
          <w:szCs w:val="22"/>
          <w:lang w:val="uk-UA" w:eastAsia="ru-RU"/>
        </w:rPr>
        <w:t>4</w:t>
      </w:r>
      <w:r w:rsidR="009D7DDB" w:rsidRPr="0090114B">
        <w:rPr>
          <w:i/>
          <w:sz w:val="22"/>
          <w:szCs w:val="22"/>
          <w:lang w:val="uk-UA" w:eastAsia="ru-RU"/>
        </w:rPr>
        <w:t xml:space="preserve">,5 годин * 2) = </w:t>
      </w:r>
      <w:r w:rsidR="00DD6161" w:rsidRPr="0090114B">
        <w:rPr>
          <w:i/>
          <w:sz w:val="22"/>
          <w:szCs w:val="22"/>
          <w:lang w:val="uk-UA" w:eastAsia="ru-RU"/>
        </w:rPr>
        <w:t>29</w:t>
      </w:r>
      <w:r w:rsidR="009D7DDB" w:rsidRPr="0090114B">
        <w:rPr>
          <w:i/>
          <w:sz w:val="22"/>
          <w:szCs w:val="22"/>
          <w:lang w:val="uk-UA" w:eastAsia="ru-RU"/>
        </w:rPr>
        <w:t xml:space="preserve"> годин/місяць, (</w:t>
      </w:r>
      <w:r w:rsidR="00DD6161" w:rsidRPr="0090114B">
        <w:rPr>
          <w:i/>
          <w:sz w:val="22"/>
          <w:szCs w:val="22"/>
          <w:lang w:val="uk-UA" w:eastAsia="ru-RU"/>
        </w:rPr>
        <w:t>29</w:t>
      </w:r>
      <w:r w:rsidR="009D7DDB" w:rsidRPr="0090114B">
        <w:rPr>
          <w:i/>
          <w:sz w:val="22"/>
          <w:szCs w:val="22"/>
          <w:lang w:val="uk-UA" w:eastAsia="ru-RU"/>
        </w:rPr>
        <w:t xml:space="preserve"> годин/місяць * 40,46</w:t>
      </w:r>
      <w:r w:rsidR="00C153AD" w:rsidRPr="0090114B">
        <w:rPr>
          <w:i/>
          <w:sz w:val="22"/>
          <w:szCs w:val="22"/>
          <w:lang w:val="uk-UA" w:eastAsia="ru-RU"/>
        </w:rPr>
        <w:t> </w:t>
      </w:r>
      <w:r w:rsidR="009D7DDB" w:rsidRPr="0090114B">
        <w:rPr>
          <w:i/>
          <w:sz w:val="22"/>
          <w:szCs w:val="22"/>
          <w:lang w:val="uk-UA" w:eastAsia="ru-RU"/>
        </w:rPr>
        <w:t>гривень)</w:t>
      </w:r>
      <w:r w:rsidR="00C153AD" w:rsidRPr="0090114B">
        <w:rPr>
          <w:i/>
          <w:sz w:val="22"/>
          <w:szCs w:val="22"/>
          <w:lang w:val="uk-UA" w:eastAsia="ru-RU"/>
        </w:rPr>
        <w:t> </w:t>
      </w:r>
      <w:r w:rsidR="009D7DDB" w:rsidRPr="0090114B">
        <w:rPr>
          <w:i/>
          <w:sz w:val="22"/>
          <w:szCs w:val="22"/>
          <w:lang w:val="uk-UA" w:eastAsia="ru-RU"/>
        </w:rPr>
        <w:t xml:space="preserve">= </w:t>
      </w:r>
      <w:r w:rsidR="00D24A8B" w:rsidRPr="0090114B">
        <w:rPr>
          <w:i/>
          <w:sz w:val="22"/>
          <w:szCs w:val="22"/>
          <w:lang w:val="uk-UA" w:eastAsia="ru-RU"/>
        </w:rPr>
        <w:t>1 </w:t>
      </w:r>
      <w:r w:rsidR="002544A6" w:rsidRPr="0090114B">
        <w:rPr>
          <w:i/>
          <w:sz w:val="22"/>
          <w:szCs w:val="22"/>
          <w:lang w:val="uk-UA" w:eastAsia="ru-RU"/>
        </w:rPr>
        <w:t>173</w:t>
      </w:r>
      <w:r w:rsidR="00D24A8B" w:rsidRPr="0090114B">
        <w:rPr>
          <w:i/>
          <w:sz w:val="22"/>
          <w:szCs w:val="22"/>
          <w:lang w:val="uk-UA" w:eastAsia="ru-RU"/>
        </w:rPr>
        <w:t>,</w:t>
      </w:r>
      <w:r w:rsidR="002544A6" w:rsidRPr="0090114B">
        <w:rPr>
          <w:i/>
          <w:sz w:val="22"/>
          <w:szCs w:val="22"/>
          <w:lang w:val="uk-UA" w:eastAsia="ru-RU"/>
        </w:rPr>
        <w:t>34</w:t>
      </w:r>
      <w:r w:rsidR="00D24A8B" w:rsidRPr="0090114B">
        <w:rPr>
          <w:i/>
          <w:sz w:val="22"/>
          <w:szCs w:val="22"/>
          <w:lang w:val="uk-UA" w:eastAsia="ru-RU"/>
        </w:rPr>
        <w:t xml:space="preserve"> грив</w:t>
      </w:r>
      <w:r w:rsidR="00AE2B0F">
        <w:rPr>
          <w:i/>
          <w:sz w:val="22"/>
          <w:szCs w:val="22"/>
          <w:lang w:val="uk-UA" w:eastAsia="ru-RU"/>
        </w:rPr>
        <w:t>ні</w:t>
      </w:r>
      <w:r w:rsidR="00D24A8B" w:rsidRPr="0090114B">
        <w:rPr>
          <w:i/>
          <w:sz w:val="22"/>
          <w:szCs w:val="22"/>
          <w:lang w:val="uk-UA" w:eastAsia="ru-RU"/>
        </w:rPr>
        <w:t>/місяць;</w:t>
      </w:r>
    </w:p>
    <w:p w:rsidR="003D191F" w:rsidRPr="0090114B" w:rsidRDefault="008C0D42" w:rsidP="00910AF8">
      <w:pPr>
        <w:pStyle w:val="a9"/>
        <w:tabs>
          <w:tab w:val="left" w:pos="720"/>
          <w:tab w:val="left" w:pos="1277"/>
        </w:tabs>
        <w:spacing w:before="0" w:beforeAutospacing="0" w:after="0" w:afterAutospacing="0"/>
        <w:ind w:firstLine="284"/>
        <w:jc w:val="both"/>
        <w:rPr>
          <w:i/>
          <w:sz w:val="22"/>
          <w:szCs w:val="22"/>
          <w:lang w:val="uk-UA"/>
        </w:rPr>
      </w:pPr>
      <w:r w:rsidRPr="0090114B">
        <w:rPr>
          <w:i/>
          <w:sz w:val="22"/>
          <w:szCs w:val="22"/>
          <w:lang w:eastAsia="ru-RU"/>
        </w:rPr>
        <w:t xml:space="preserve">за рік </w:t>
      </w:r>
      <w:r w:rsidR="00351AB8" w:rsidRPr="0090114B">
        <w:rPr>
          <w:i/>
          <w:sz w:val="22"/>
          <w:szCs w:val="22"/>
          <w:lang w:val="uk-UA" w:eastAsia="ru-RU"/>
        </w:rPr>
        <w:t>може</w:t>
      </w:r>
      <w:r w:rsidRPr="0090114B">
        <w:rPr>
          <w:i/>
          <w:sz w:val="22"/>
          <w:szCs w:val="22"/>
          <w:lang w:eastAsia="ru-RU"/>
        </w:rPr>
        <w:t xml:space="preserve"> подати </w:t>
      </w:r>
      <w:r w:rsidR="00EB583A" w:rsidRPr="0090114B">
        <w:rPr>
          <w:i/>
          <w:sz w:val="22"/>
          <w:szCs w:val="22"/>
          <w:lang w:val="uk-UA" w:eastAsia="ru-RU"/>
        </w:rPr>
        <w:t xml:space="preserve">24 таких </w:t>
      </w:r>
      <w:r w:rsidR="00F034EC" w:rsidRPr="0090114B">
        <w:rPr>
          <w:i/>
          <w:sz w:val="22"/>
          <w:szCs w:val="22"/>
          <w:lang w:val="uk-UA" w:eastAsia="ru-RU"/>
        </w:rPr>
        <w:t>заявки (</w:t>
      </w:r>
      <w:r w:rsidR="002544A6" w:rsidRPr="0090114B">
        <w:rPr>
          <w:i/>
          <w:sz w:val="22"/>
          <w:szCs w:val="22"/>
          <w:lang w:val="uk-UA" w:eastAsia="ru-RU"/>
        </w:rPr>
        <w:t>29</w:t>
      </w:r>
      <w:r w:rsidR="00F034EC" w:rsidRPr="0090114B">
        <w:rPr>
          <w:i/>
          <w:sz w:val="22"/>
          <w:szCs w:val="22"/>
          <w:lang w:val="uk-UA" w:eastAsia="ru-RU"/>
        </w:rPr>
        <w:t xml:space="preserve"> годин/місяць *12 місяців) = </w:t>
      </w:r>
      <w:r w:rsidR="002544A6" w:rsidRPr="0090114B">
        <w:rPr>
          <w:i/>
          <w:sz w:val="22"/>
          <w:szCs w:val="22"/>
          <w:lang w:val="uk-UA"/>
        </w:rPr>
        <w:t>348</w:t>
      </w:r>
      <w:r w:rsidR="00C93D87" w:rsidRPr="0090114B">
        <w:rPr>
          <w:i/>
          <w:sz w:val="22"/>
          <w:szCs w:val="22"/>
          <w:lang w:val="uk-UA"/>
        </w:rPr>
        <w:t xml:space="preserve"> годин/рік</w:t>
      </w:r>
      <w:r w:rsidR="00C43D26" w:rsidRPr="0090114B">
        <w:rPr>
          <w:i/>
          <w:sz w:val="22"/>
          <w:szCs w:val="22"/>
          <w:lang w:val="uk-UA"/>
        </w:rPr>
        <w:t>, (</w:t>
      </w:r>
      <w:r w:rsidR="002544A6" w:rsidRPr="0090114B">
        <w:rPr>
          <w:i/>
          <w:sz w:val="22"/>
          <w:szCs w:val="22"/>
          <w:lang w:val="uk-UA"/>
        </w:rPr>
        <w:t>348</w:t>
      </w:r>
      <w:r w:rsidR="00C43D26" w:rsidRPr="0090114B">
        <w:rPr>
          <w:i/>
          <w:sz w:val="22"/>
          <w:szCs w:val="22"/>
          <w:lang w:val="uk-UA"/>
        </w:rPr>
        <w:t xml:space="preserve"> годин/рік * 40,46 гривень) = </w:t>
      </w:r>
      <w:r w:rsidR="00ED2614" w:rsidRPr="0090114B">
        <w:rPr>
          <w:i/>
          <w:sz w:val="22"/>
          <w:szCs w:val="22"/>
          <w:lang w:val="uk-UA"/>
        </w:rPr>
        <w:t>1</w:t>
      </w:r>
      <w:r w:rsidR="00A93E04" w:rsidRPr="0090114B">
        <w:rPr>
          <w:i/>
          <w:sz w:val="22"/>
          <w:szCs w:val="22"/>
          <w:lang w:val="uk-UA"/>
        </w:rPr>
        <w:t>4</w:t>
      </w:r>
      <w:r w:rsidR="00ED2614" w:rsidRPr="0090114B">
        <w:rPr>
          <w:i/>
          <w:sz w:val="22"/>
          <w:szCs w:val="22"/>
          <w:lang w:val="uk-UA"/>
        </w:rPr>
        <w:t> </w:t>
      </w:r>
      <w:r w:rsidR="00A93E04" w:rsidRPr="0090114B">
        <w:rPr>
          <w:i/>
          <w:sz w:val="22"/>
          <w:szCs w:val="22"/>
          <w:lang w:val="uk-UA"/>
        </w:rPr>
        <w:t>080</w:t>
      </w:r>
      <w:r w:rsidR="00ED2614" w:rsidRPr="0090114B">
        <w:rPr>
          <w:i/>
          <w:sz w:val="22"/>
          <w:szCs w:val="22"/>
          <w:lang w:val="uk-UA"/>
        </w:rPr>
        <w:t>,</w:t>
      </w:r>
      <w:r w:rsidR="00A93E04" w:rsidRPr="0090114B">
        <w:rPr>
          <w:i/>
          <w:sz w:val="22"/>
          <w:szCs w:val="22"/>
          <w:lang w:val="uk-UA"/>
        </w:rPr>
        <w:t>08 г</w:t>
      </w:r>
      <w:r w:rsidR="00ED2614" w:rsidRPr="0090114B">
        <w:rPr>
          <w:i/>
          <w:sz w:val="22"/>
          <w:szCs w:val="22"/>
          <w:lang w:val="uk-UA"/>
        </w:rPr>
        <w:t>ривень/рік</w:t>
      </w:r>
      <w:r w:rsidR="00A93E04" w:rsidRPr="0090114B">
        <w:rPr>
          <w:i/>
          <w:sz w:val="22"/>
          <w:szCs w:val="22"/>
          <w:lang w:val="uk-UA"/>
        </w:rPr>
        <w:t>.</w:t>
      </w:r>
    </w:p>
    <w:p w:rsidR="00A40DE2" w:rsidRPr="0090114B" w:rsidRDefault="00EF3E64" w:rsidP="00A211D6">
      <w:pPr>
        <w:pStyle w:val="a8"/>
        <w:ind w:firstLine="284"/>
        <w:jc w:val="both"/>
        <w:rPr>
          <w:i/>
          <w:sz w:val="22"/>
          <w:szCs w:val="22"/>
          <w:lang w:eastAsia="ru-RU"/>
        </w:rPr>
      </w:pPr>
      <w:r w:rsidRPr="0090114B">
        <w:rPr>
          <w:i/>
          <w:sz w:val="22"/>
          <w:szCs w:val="22"/>
          <w:lang w:eastAsia="ru-RU"/>
        </w:rPr>
        <w:t>Р</w:t>
      </w:r>
      <w:r w:rsidR="00A009ED" w:rsidRPr="0090114B">
        <w:rPr>
          <w:i/>
          <w:sz w:val="22"/>
          <w:szCs w:val="22"/>
          <w:lang w:eastAsia="ru-RU"/>
        </w:rPr>
        <w:t xml:space="preserve">азом </w:t>
      </w:r>
      <w:r w:rsidR="00A40DE2" w:rsidRPr="0090114B">
        <w:rPr>
          <w:i/>
          <w:sz w:val="22"/>
          <w:szCs w:val="22"/>
          <w:lang w:eastAsia="ru-RU"/>
        </w:rPr>
        <w:t>одним економічним оператором – виробником/імпортером за рік потрібно подати 24</w:t>
      </w:r>
      <w:r w:rsidRPr="0090114B">
        <w:rPr>
          <w:i/>
          <w:sz w:val="22"/>
          <w:szCs w:val="22"/>
          <w:lang w:eastAsia="ru-RU"/>
        </w:rPr>
        <w:t> </w:t>
      </w:r>
      <w:r w:rsidR="00A40DE2" w:rsidRPr="0090114B">
        <w:rPr>
          <w:i/>
          <w:sz w:val="22"/>
          <w:szCs w:val="22"/>
          <w:lang w:eastAsia="ru-RU"/>
        </w:rPr>
        <w:t xml:space="preserve">таких </w:t>
      </w:r>
      <w:r w:rsidR="00F000BC" w:rsidRPr="0090114B">
        <w:rPr>
          <w:i/>
          <w:sz w:val="22"/>
          <w:szCs w:val="22"/>
          <w:lang w:eastAsia="ru-RU"/>
        </w:rPr>
        <w:t>заяв</w:t>
      </w:r>
      <w:r w:rsidR="00050D26">
        <w:rPr>
          <w:i/>
          <w:sz w:val="22"/>
          <w:szCs w:val="22"/>
          <w:lang w:eastAsia="ru-RU"/>
        </w:rPr>
        <w:t>ки</w:t>
      </w:r>
      <w:r w:rsidR="00A40DE2" w:rsidRPr="0090114B">
        <w:rPr>
          <w:i/>
          <w:sz w:val="22"/>
          <w:szCs w:val="22"/>
          <w:lang w:eastAsia="ru-RU"/>
        </w:rPr>
        <w:t xml:space="preserve"> (24</w:t>
      </w:r>
      <w:r w:rsidR="005F0144" w:rsidRPr="0090114B">
        <w:rPr>
          <w:i/>
          <w:sz w:val="22"/>
          <w:szCs w:val="22"/>
          <w:lang w:eastAsia="ru-RU"/>
        </w:rPr>
        <w:t xml:space="preserve"> години</w:t>
      </w:r>
      <w:r w:rsidR="00581A4B" w:rsidRPr="0090114B">
        <w:rPr>
          <w:i/>
          <w:sz w:val="22"/>
          <w:szCs w:val="22"/>
          <w:lang w:eastAsia="ru-RU"/>
        </w:rPr>
        <w:t>/рік</w:t>
      </w:r>
      <w:r w:rsidR="005F0144" w:rsidRPr="0090114B">
        <w:rPr>
          <w:i/>
          <w:sz w:val="22"/>
          <w:szCs w:val="22"/>
          <w:lang w:eastAsia="ru-RU"/>
        </w:rPr>
        <w:t xml:space="preserve"> +</w:t>
      </w:r>
      <w:r w:rsidR="000344B4" w:rsidRPr="0090114B">
        <w:rPr>
          <w:i/>
          <w:sz w:val="22"/>
          <w:szCs w:val="22"/>
          <w:lang w:eastAsia="ru-RU"/>
        </w:rPr>
        <w:t>348</w:t>
      </w:r>
      <w:r w:rsidR="005F0144" w:rsidRPr="0090114B">
        <w:rPr>
          <w:i/>
          <w:sz w:val="22"/>
          <w:szCs w:val="22"/>
          <w:lang w:eastAsia="ru-RU"/>
        </w:rPr>
        <w:t xml:space="preserve"> годин</w:t>
      </w:r>
      <w:r w:rsidR="00581A4B" w:rsidRPr="0090114B">
        <w:rPr>
          <w:i/>
          <w:sz w:val="22"/>
          <w:szCs w:val="22"/>
          <w:lang w:eastAsia="ru-RU"/>
        </w:rPr>
        <w:t>/рік</w:t>
      </w:r>
      <w:r w:rsidR="00A40DE2" w:rsidRPr="0090114B">
        <w:rPr>
          <w:i/>
          <w:sz w:val="22"/>
          <w:szCs w:val="22"/>
          <w:lang w:eastAsia="ru-RU"/>
        </w:rPr>
        <w:t xml:space="preserve">)= </w:t>
      </w:r>
      <w:r w:rsidR="00A009ED" w:rsidRPr="0090114B">
        <w:rPr>
          <w:i/>
          <w:sz w:val="22"/>
          <w:szCs w:val="22"/>
          <w:lang w:eastAsia="ru-RU"/>
        </w:rPr>
        <w:t>372</w:t>
      </w:r>
      <w:r w:rsidR="009F05AD" w:rsidRPr="0090114B">
        <w:rPr>
          <w:i/>
          <w:sz w:val="22"/>
          <w:szCs w:val="22"/>
          <w:lang w:eastAsia="ru-RU"/>
        </w:rPr>
        <w:t xml:space="preserve"> </w:t>
      </w:r>
      <w:r w:rsidR="00A40DE2" w:rsidRPr="0090114B">
        <w:rPr>
          <w:i/>
          <w:sz w:val="22"/>
          <w:szCs w:val="22"/>
          <w:lang w:eastAsia="ru-RU"/>
        </w:rPr>
        <w:t>годин</w:t>
      </w:r>
      <w:r w:rsidR="00050D26">
        <w:rPr>
          <w:i/>
          <w:sz w:val="22"/>
          <w:szCs w:val="22"/>
          <w:lang w:eastAsia="ru-RU"/>
        </w:rPr>
        <w:t>и</w:t>
      </w:r>
      <w:r w:rsidR="00A40DE2" w:rsidRPr="0090114B">
        <w:rPr>
          <w:i/>
          <w:sz w:val="22"/>
          <w:szCs w:val="22"/>
          <w:lang w:eastAsia="ru-RU"/>
        </w:rPr>
        <w:t>/рік</w:t>
      </w:r>
      <w:r w:rsidR="00A009ED" w:rsidRPr="0090114B">
        <w:rPr>
          <w:i/>
          <w:sz w:val="22"/>
          <w:szCs w:val="22"/>
          <w:lang w:eastAsia="ru-RU"/>
        </w:rPr>
        <w:t xml:space="preserve">, </w:t>
      </w:r>
      <w:r w:rsidR="009253E3" w:rsidRPr="0090114B">
        <w:rPr>
          <w:i/>
          <w:sz w:val="22"/>
          <w:szCs w:val="22"/>
          <w:lang w:eastAsia="ru-RU"/>
        </w:rPr>
        <w:t xml:space="preserve">за вказаний час витрати на оплату праці складуть в середньому </w:t>
      </w:r>
      <w:r w:rsidR="00A009ED" w:rsidRPr="0090114B">
        <w:rPr>
          <w:i/>
          <w:sz w:val="22"/>
          <w:szCs w:val="22"/>
          <w:lang w:eastAsia="ru-RU"/>
        </w:rPr>
        <w:t>(372 годин</w:t>
      </w:r>
      <w:r w:rsidR="00050D26">
        <w:rPr>
          <w:i/>
          <w:sz w:val="22"/>
          <w:szCs w:val="22"/>
          <w:lang w:eastAsia="ru-RU"/>
        </w:rPr>
        <w:t>и</w:t>
      </w:r>
      <w:r w:rsidR="00A009ED" w:rsidRPr="0090114B">
        <w:rPr>
          <w:i/>
          <w:sz w:val="22"/>
          <w:szCs w:val="22"/>
          <w:lang w:eastAsia="ru-RU"/>
        </w:rPr>
        <w:t>/рік * 40,46</w:t>
      </w:r>
      <w:r w:rsidR="009253E3" w:rsidRPr="0090114B">
        <w:rPr>
          <w:i/>
          <w:sz w:val="22"/>
          <w:szCs w:val="22"/>
          <w:lang w:eastAsia="ru-RU"/>
        </w:rPr>
        <w:t> </w:t>
      </w:r>
      <w:r w:rsidR="00A009ED" w:rsidRPr="0090114B">
        <w:rPr>
          <w:i/>
          <w:sz w:val="22"/>
          <w:szCs w:val="22"/>
          <w:lang w:eastAsia="ru-RU"/>
        </w:rPr>
        <w:t xml:space="preserve">гривень) = </w:t>
      </w:r>
      <w:r w:rsidR="009253E3" w:rsidRPr="0090114B">
        <w:rPr>
          <w:i/>
          <w:sz w:val="22"/>
          <w:szCs w:val="22"/>
          <w:lang w:eastAsia="ru-RU"/>
        </w:rPr>
        <w:t>15 051,12 грив</w:t>
      </w:r>
      <w:r w:rsidR="00050D26">
        <w:rPr>
          <w:i/>
          <w:sz w:val="22"/>
          <w:szCs w:val="22"/>
          <w:lang w:eastAsia="ru-RU"/>
        </w:rPr>
        <w:t>ня</w:t>
      </w:r>
      <w:r w:rsidR="009253E3" w:rsidRPr="0090114B">
        <w:rPr>
          <w:i/>
          <w:sz w:val="22"/>
          <w:szCs w:val="22"/>
          <w:lang w:eastAsia="ru-RU"/>
        </w:rPr>
        <w:t>/рік.</w:t>
      </w:r>
    </w:p>
    <w:p w:rsidR="0024102B" w:rsidRPr="0090114B" w:rsidRDefault="0024102B" w:rsidP="00A211D6">
      <w:pPr>
        <w:shd w:val="clear" w:color="auto" w:fill="FFFFFF"/>
        <w:spacing w:after="150"/>
        <w:ind w:firstLine="284"/>
        <w:jc w:val="both"/>
        <w:rPr>
          <w:i/>
          <w:sz w:val="20"/>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3168"/>
        <w:gridCol w:w="2257"/>
        <w:gridCol w:w="1904"/>
        <w:gridCol w:w="1053"/>
        <w:gridCol w:w="1281"/>
      </w:tblGrid>
      <w:tr w:rsidR="0024102B" w:rsidRPr="0090114B" w:rsidTr="001C6CC3">
        <w:trPr>
          <w:tblHeader/>
        </w:trPr>
        <w:tc>
          <w:tcPr>
            <w:tcW w:w="1639" w:type="pct"/>
            <w:hideMark/>
          </w:tcPr>
          <w:p w:rsidR="0024102B" w:rsidRPr="0090114B" w:rsidRDefault="0024102B" w:rsidP="001C6CC3">
            <w:pPr>
              <w:pStyle w:val="a8"/>
              <w:jc w:val="center"/>
              <w:rPr>
                <w:rFonts w:eastAsia="Times New Roman"/>
                <w:lang w:eastAsia="ru-RU"/>
              </w:rPr>
            </w:pPr>
            <w:bookmarkStart w:id="5" w:name="n184"/>
            <w:bookmarkEnd w:id="5"/>
            <w:r w:rsidRPr="0090114B">
              <w:rPr>
                <w:rFonts w:eastAsia="Times New Roman"/>
                <w:lang w:eastAsia="ru-RU"/>
              </w:rPr>
              <w:t>Вид витрат</w:t>
            </w:r>
          </w:p>
        </w:tc>
        <w:tc>
          <w:tcPr>
            <w:tcW w:w="1168"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на адміністрування заходів державного нагляду (контролю) (за рік)</w:t>
            </w:r>
          </w:p>
        </w:tc>
        <w:tc>
          <w:tcPr>
            <w:tcW w:w="985"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на оплату штрафних санкцій та усунення виявлених порушень (за рік)</w:t>
            </w:r>
          </w:p>
        </w:tc>
        <w:tc>
          <w:tcPr>
            <w:tcW w:w="545"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Разом за рік</w:t>
            </w:r>
          </w:p>
        </w:tc>
        <w:tc>
          <w:tcPr>
            <w:tcW w:w="663"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за п’ять років</w:t>
            </w:r>
          </w:p>
        </w:tc>
      </w:tr>
      <w:tr w:rsidR="0024102B" w:rsidRPr="0090114B" w:rsidTr="00E02440">
        <w:tc>
          <w:tcPr>
            <w:tcW w:w="1639" w:type="pct"/>
            <w:hideMark/>
          </w:tcPr>
          <w:p w:rsidR="0024102B" w:rsidRPr="0090114B" w:rsidRDefault="0024102B" w:rsidP="00770109">
            <w:pPr>
              <w:pStyle w:val="a8"/>
              <w:jc w:val="both"/>
              <w:rPr>
                <w:rFonts w:eastAsia="Times New Roman"/>
                <w:lang w:eastAsia="ru-RU"/>
              </w:rPr>
            </w:pPr>
            <w:r w:rsidRPr="0090114B">
              <w:rPr>
                <w:rFonts w:eastAsia="Times New Roman"/>
                <w:lang w:eastAsia="ru-RU"/>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168" w:type="pct"/>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c>
          <w:tcPr>
            <w:tcW w:w="985" w:type="pct"/>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c>
          <w:tcPr>
            <w:tcW w:w="545" w:type="pct"/>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c>
          <w:tcPr>
            <w:tcW w:w="663" w:type="pct"/>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r>
    </w:tbl>
    <w:p w:rsidR="0024102B" w:rsidRPr="0090114B" w:rsidRDefault="0024102B" w:rsidP="00A211D6">
      <w:pPr>
        <w:pStyle w:val="a8"/>
        <w:rPr>
          <w:rFonts w:eastAsia="Times New Roman"/>
          <w:lang w:eastAsia="ru-RU"/>
        </w:rPr>
      </w:pPr>
      <w:bookmarkStart w:id="6" w:name="n18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3698"/>
        <w:gridCol w:w="1558"/>
        <w:gridCol w:w="464"/>
        <w:gridCol w:w="1380"/>
        <w:gridCol w:w="690"/>
        <w:gridCol w:w="690"/>
        <w:gridCol w:w="1183"/>
      </w:tblGrid>
      <w:tr w:rsidR="0024102B" w:rsidRPr="0090114B" w:rsidTr="00D5469F">
        <w:tc>
          <w:tcPr>
            <w:tcW w:w="1913" w:type="pct"/>
            <w:vAlign w:val="center"/>
            <w:hideMark/>
          </w:tcPr>
          <w:p w:rsidR="0024102B" w:rsidRPr="0090114B" w:rsidRDefault="0024102B" w:rsidP="00770109">
            <w:pPr>
              <w:pStyle w:val="a8"/>
              <w:jc w:val="center"/>
              <w:rPr>
                <w:rFonts w:eastAsia="Times New Roman"/>
                <w:lang w:eastAsia="ru-RU"/>
              </w:rPr>
            </w:pPr>
            <w:bookmarkStart w:id="7" w:name="n186"/>
            <w:bookmarkEnd w:id="7"/>
            <w:r w:rsidRPr="0090114B">
              <w:rPr>
                <w:rFonts w:eastAsia="Times New Roman"/>
                <w:lang w:eastAsia="ru-RU"/>
              </w:rPr>
              <w:t>Вид витрат</w:t>
            </w:r>
          </w:p>
        </w:tc>
        <w:tc>
          <w:tcPr>
            <w:tcW w:w="806"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на проходження відповідних процедур (витрати часу, витрати на експертизи, тощо)</w:t>
            </w:r>
          </w:p>
        </w:tc>
        <w:tc>
          <w:tcPr>
            <w:tcW w:w="954" w:type="pct"/>
            <w:gridSpan w:val="2"/>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безпосередньо на дозволи, ліцензії, сертифікати, страхові поліси (за рік - стартовий)</w:t>
            </w:r>
          </w:p>
        </w:tc>
        <w:tc>
          <w:tcPr>
            <w:tcW w:w="714" w:type="pct"/>
            <w:gridSpan w:val="2"/>
            <w:hideMark/>
          </w:tcPr>
          <w:p w:rsidR="0024102B" w:rsidRPr="0090114B" w:rsidRDefault="0024102B" w:rsidP="001C6CC3">
            <w:pPr>
              <w:pStyle w:val="a8"/>
              <w:jc w:val="center"/>
              <w:rPr>
                <w:rFonts w:eastAsia="Times New Roman"/>
                <w:lang w:eastAsia="ru-RU"/>
              </w:rPr>
            </w:pPr>
            <w:r w:rsidRPr="0090114B">
              <w:rPr>
                <w:rFonts w:eastAsia="Times New Roman"/>
                <w:lang w:eastAsia="ru-RU"/>
              </w:rPr>
              <w:t>Разом за рік (стартовий)</w:t>
            </w:r>
          </w:p>
        </w:tc>
        <w:tc>
          <w:tcPr>
            <w:tcW w:w="612"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за п’ять років</w:t>
            </w:r>
          </w:p>
        </w:tc>
      </w:tr>
      <w:tr w:rsidR="0024102B" w:rsidRPr="0090114B" w:rsidTr="00D5469F">
        <w:tc>
          <w:tcPr>
            <w:tcW w:w="1913" w:type="pct"/>
            <w:hideMark/>
          </w:tcPr>
          <w:p w:rsidR="0024102B" w:rsidRPr="0090114B" w:rsidRDefault="0024102B" w:rsidP="00770109">
            <w:pPr>
              <w:pStyle w:val="a8"/>
              <w:jc w:val="both"/>
              <w:rPr>
                <w:rFonts w:eastAsia="Times New Roman"/>
                <w:lang w:eastAsia="ru-RU"/>
              </w:rPr>
            </w:pPr>
            <w:r w:rsidRPr="0090114B">
              <w:rPr>
                <w:rFonts w:eastAsia="Times New Roman"/>
                <w:lang w:eastAsia="ru-RU"/>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806" w:type="pct"/>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c>
          <w:tcPr>
            <w:tcW w:w="954" w:type="pct"/>
            <w:gridSpan w:val="2"/>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c>
          <w:tcPr>
            <w:tcW w:w="714" w:type="pct"/>
            <w:gridSpan w:val="2"/>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c>
          <w:tcPr>
            <w:tcW w:w="612" w:type="pct"/>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r>
      <w:tr w:rsidR="0024102B" w:rsidRPr="0090114B" w:rsidTr="00D5469F">
        <w:tc>
          <w:tcPr>
            <w:tcW w:w="1913" w:type="pct"/>
            <w:hideMark/>
          </w:tcPr>
          <w:p w:rsidR="0024102B" w:rsidRPr="0090114B" w:rsidRDefault="0024102B" w:rsidP="001C6CC3">
            <w:pPr>
              <w:pStyle w:val="a8"/>
              <w:jc w:val="center"/>
              <w:rPr>
                <w:rFonts w:eastAsia="Times New Roman"/>
                <w:lang w:eastAsia="ru-RU"/>
              </w:rPr>
            </w:pPr>
            <w:bookmarkStart w:id="8" w:name="n187"/>
            <w:bookmarkEnd w:id="8"/>
            <w:r w:rsidRPr="0090114B">
              <w:rPr>
                <w:rFonts w:eastAsia="Times New Roman"/>
                <w:lang w:eastAsia="ru-RU"/>
              </w:rPr>
              <w:t>Вид витрат</w:t>
            </w:r>
          </w:p>
        </w:tc>
        <w:tc>
          <w:tcPr>
            <w:tcW w:w="1046" w:type="pct"/>
            <w:gridSpan w:val="2"/>
            <w:hideMark/>
          </w:tcPr>
          <w:p w:rsidR="0024102B" w:rsidRPr="0090114B" w:rsidRDefault="0024102B" w:rsidP="001C6CC3">
            <w:pPr>
              <w:pStyle w:val="a8"/>
              <w:jc w:val="center"/>
              <w:rPr>
                <w:rFonts w:eastAsia="Times New Roman"/>
                <w:lang w:eastAsia="ru-RU"/>
              </w:rPr>
            </w:pPr>
            <w:r w:rsidRPr="0090114B">
              <w:rPr>
                <w:rFonts w:eastAsia="Times New Roman"/>
                <w:lang w:eastAsia="ru-RU"/>
              </w:rPr>
              <w:t>За рік (стартовий)</w:t>
            </w:r>
          </w:p>
        </w:tc>
        <w:tc>
          <w:tcPr>
            <w:tcW w:w="1071" w:type="pct"/>
            <w:gridSpan w:val="2"/>
            <w:hideMark/>
          </w:tcPr>
          <w:p w:rsidR="0024102B" w:rsidRPr="0090114B" w:rsidRDefault="0024102B" w:rsidP="001C6CC3">
            <w:pPr>
              <w:pStyle w:val="a8"/>
              <w:jc w:val="center"/>
              <w:rPr>
                <w:rFonts w:eastAsia="Times New Roman"/>
                <w:lang w:eastAsia="ru-RU"/>
              </w:rPr>
            </w:pPr>
            <w:r w:rsidRPr="0090114B">
              <w:rPr>
                <w:rFonts w:eastAsia="Times New Roman"/>
                <w:lang w:eastAsia="ru-RU"/>
              </w:rPr>
              <w:t>Періодичні</w:t>
            </w:r>
            <w:r w:rsidRPr="0090114B">
              <w:rPr>
                <w:rFonts w:eastAsia="Times New Roman"/>
                <w:lang w:eastAsia="ru-RU"/>
              </w:rPr>
              <w:br/>
              <w:t>(за наступний рік)</w:t>
            </w:r>
          </w:p>
        </w:tc>
        <w:tc>
          <w:tcPr>
            <w:tcW w:w="969" w:type="pct"/>
            <w:gridSpan w:val="2"/>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за п’ять років</w:t>
            </w:r>
          </w:p>
        </w:tc>
      </w:tr>
      <w:tr w:rsidR="0024102B" w:rsidRPr="0090114B" w:rsidTr="00D5469F">
        <w:tc>
          <w:tcPr>
            <w:tcW w:w="1913" w:type="pct"/>
            <w:hideMark/>
          </w:tcPr>
          <w:p w:rsidR="0024102B" w:rsidRPr="0090114B" w:rsidRDefault="0024102B" w:rsidP="00770109">
            <w:pPr>
              <w:pStyle w:val="a8"/>
              <w:jc w:val="both"/>
              <w:rPr>
                <w:rFonts w:eastAsia="Times New Roman"/>
                <w:lang w:eastAsia="ru-RU"/>
              </w:rPr>
            </w:pPr>
            <w:r w:rsidRPr="0090114B">
              <w:rPr>
                <w:rFonts w:eastAsia="Times New Roman"/>
                <w:lang w:eastAsia="ru-RU"/>
              </w:rPr>
              <w:t>Витрати на оборотні активи (матеріали, канцелярські товари тощо)</w:t>
            </w:r>
          </w:p>
        </w:tc>
        <w:tc>
          <w:tcPr>
            <w:tcW w:w="1046" w:type="pct"/>
            <w:gridSpan w:val="2"/>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c>
          <w:tcPr>
            <w:tcW w:w="1071" w:type="pct"/>
            <w:gridSpan w:val="2"/>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c>
          <w:tcPr>
            <w:tcW w:w="969" w:type="pct"/>
            <w:gridSpan w:val="2"/>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r>
    </w:tbl>
    <w:p w:rsidR="0024102B" w:rsidRPr="0090114B" w:rsidRDefault="0024102B" w:rsidP="00770109">
      <w:pPr>
        <w:pStyle w:val="a8"/>
        <w:rPr>
          <w:rFonts w:eastAsia="Times New Roman"/>
          <w:lang w:eastAsia="ru-RU"/>
        </w:rPr>
      </w:pPr>
      <w:bookmarkStart w:id="9" w:name="n18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3697"/>
        <w:gridCol w:w="4192"/>
        <w:gridCol w:w="1774"/>
      </w:tblGrid>
      <w:tr w:rsidR="0024102B" w:rsidRPr="0090114B" w:rsidTr="00D5469F">
        <w:tc>
          <w:tcPr>
            <w:tcW w:w="1913"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Вид витрат</w:t>
            </w:r>
          </w:p>
        </w:tc>
        <w:tc>
          <w:tcPr>
            <w:tcW w:w="2169"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на оплату праці додатково найманого персоналу (за рік)</w:t>
            </w:r>
          </w:p>
        </w:tc>
        <w:tc>
          <w:tcPr>
            <w:tcW w:w="918" w:type="pct"/>
            <w:hideMark/>
          </w:tcPr>
          <w:p w:rsidR="0024102B" w:rsidRPr="0090114B" w:rsidRDefault="0024102B" w:rsidP="001C6CC3">
            <w:pPr>
              <w:pStyle w:val="a8"/>
              <w:jc w:val="center"/>
              <w:rPr>
                <w:rFonts w:eastAsia="Times New Roman"/>
                <w:lang w:eastAsia="ru-RU"/>
              </w:rPr>
            </w:pPr>
            <w:r w:rsidRPr="0090114B">
              <w:rPr>
                <w:rFonts w:eastAsia="Times New Roman"/>
                <w:lang w:eastAsia="ru-RU"/>
              </w:rPr>
              <w:t>Витрати за</w:t>
            </w:r>
            <w:r w:rsidRPr="0090114B">
              <w:rPr>
                <w:rFonts w:eastAsia="Times New Roman"/>
                <w:lang w:eastAsia="ru-RU"/>
              </w:rPr>
              <w:br/>
              <w:t>п’ять років</w:t>
            </w:r>
          </w:p>
        </w:tc>
      </w:tr>
      <w:tr w:rsidR="0024102B" w:rsidRPr="007C2D32" w:rsidTr="00D5469F">
        <w:tc>
          <w:tcPr>
            <w:tcW w:w="1913" w:type="pct"/>
            <w:hideMark/>
          </w:tcPr>
          <w:p w:rsidR="0024102B" w:rsidRPr="0090114B" w:rsidRDefault="0024102B" w:rsidP="00770109">
            <w:pPr>
              <w:pStyle w:val="a8"/>
              <w:jc w:val="both"/>
              <w:rPr>
                <w:rFonts w:eastAsia="Times New Roman"/>
                <w:lang w:eastAsia="ru-RU"/>
              </w:rPr>
            </w:pPr>
            <w:r w:rsidRPr="0090114B">
              <w:rPr>
                <w:rFonts w:eastAsia="Times New Roman"/>
                <w:lang w:eastAsia="ru-RU"/>
              </w:rPr>
              <w:t xml:space="preserve">Витрати, пов’язані із </w:t>
            </w:r>
            <w:proofErr w:type="spellStart"/>
            <w:r w:rsidRPr="0090114B">
              <w:rPr>
                <w:rFonts w:eastAsia="Times New Roman"/>
                <w:lang w:eastAsia="ru-RU"/>
              </w:rPr>
              <w:t>наймом</w:t>
            </w:r>
            <w:proofErr w:type="spellEnd"/>
            <w:r w:rsidRPr="0090114B">
              <w:rPr>
                <w:rFonts w:eastAsia="Times New Roman"/>
                <w:lang w:eastAsia="ru-RU"/>
              </w:rPr>
              <w:t xml:space="preserve"> додаткового персоналу</w:t>
            </w:r>
          </w:p>
        </w:tc>
        <w:tc>
          <w:tcPr>
            <w:tcW w:w="2169" w:type="pct"/>
            <w:vAlign w:val="center"/>
            <w:hideMark/>
          </w:tcPr>
          <w:p w:rsidR="0024102B" w:rsidRPr="0090114B" w:rsidRDefault="00672304" w:rsidP="00D5469F">
            <w:pPr>
              <w:pStyle w:val="a8"/>
              <w:jc w:val="center"/>
              <w:rPr>
                <w:rFonts w:eastAsia="Times New Roman"/>
                <w:lang w:eastAsia="ru-RU"/>
              </w:rPr>
            </w:pPr>
            <w:r w:rsidRPr="0090114B">
              <w:rPr>
                <w:rFonts w:eastAsia="Times New Roman"/>
                <w:lang w:eastAsia="ru-RU"/>
              </w:rPr>
              <w:t>-</w:t>
            </w:r>
          </w:p>
        </w:tc>
        <w:tc>
          <w:tcPr>
            <w:tcW w:w="918" w:type="pct"/>
            <w:vAlign w:val="center"/>
            <w:hideMark/>
          </w:tcPr>
          <w:p w:rsidR="0024102B" w:rsidRPr="007C2D32" w:rsidRDefault="00672304" w:rsidP="00D5469F">
            <w:pPr>
              <w:pStyle w:val="a8"/>
              <w:jc w:val="center"/>
              <w:rPr>
                <w:rFonts w:eastAsia="Times New Roman"/>
                <w:lang w:eastAsia="ru-RU"/>
              </w:rPr>
            </w:pPr>
            <w:r w:rsidRPr="0090114B">
              <w:rPr>
                <w:rFonts w:eastAsia="Times New Roman"/>
                <w:lang w:eastAsia="ru-RU"/>
              </w:rPr>
              <w:t>-</w:t>
            </w:r>
          </w:p>
        </w:tc>
      </w:tr>
    </w:tbl>
    <w:p w:rsidR="00DB0CAE" w:rsidRDefault="00DB0CAE" w:rsidP="00770109">
      <w:pPr>
        <w:pStyle w:val="a8"/>
      </w:pPr>
    </w:p>
    <w:sectPr w:rsidR="00DB0CAE" w:rsidSect="00A02422">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1EB" w:rsidRDefault="003131EB" w:rsidP="00A02422">
      <w:r>
        <w:separator/>
      </w:r>
    </w:p>
  </w:endnote>
  <w:endnote w:type="continuationSeparator" w:id="0">
    <w:p w:rsidR="003131EB" w:rsidRDefault="003131EB" w:rsidP="00A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1EB" w:rsidRDefault="003131EB" w:rsidP="00A02422">
      <w:r>
        <w:separator/>
      </w:r>
    </w:p>
  </w:footnote>
  <w:footnote w:type="continuationSeparator" w:id="0">
    <w:p w:rsidR="003131EB" w:rsidRDefault="003131EB" w:rsidP="00A0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631767"/>
      <w:docPartObj>
        <w:docPartGallery w:val="Page Numbers (Top of Page)"/>
        <w:docPartUnique/>
      </w:docPartObj>
    </w:sdtPr>
    <w:sdtEndPr/>
    <w:sdtContent>
      <w:p w:rsidR="00A02422" w:rsidRDefault="00A02422">
        <w:pPr>
          <w:pStyle w:val="a3"/>
          <w:jc w:val="center"/>
        </w:pPr>
        <w:r>
          <w:fldChar w:fldCharType="begin"/>
        </w:r>
        <w:r>
          <w:instrText>PAGE   \* MERGEFORMAT</w:instrText>
        </w:r>
        <w:r>
          <w:fldChar w:fldCharType="separate"/>
        </w:r>
        <w:r w:rsidR="0041124C" w:rsidRPr="0041124C">
          <w:rPr>
            <w:noProof/>
            <w:lang w:val="ru-RU"/>
          </w:rPr>
          <w:t>2</w:t>
        </w:r>
        <w:r>
          <w:fldChar w:fldCharType="end"/>
        </w:r>
      </w:p>
    </w:sdtContent>
  </w:sdt>
  <w:p w:rsidR="00A02422" w:rsidRDefault="00A024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2B"/>
    <w:rsid w:val="000124E3"/>
    <w:rsid w:val="000344B4"/>
    <w:rsid w:val="00050D26"/>
    <w:rsid w:val="000853CE"/>
    <w:rsid w:val="000B2C93"/>
    <w:rsid w:val="000E576C"/>
    <w:rsid w:val="000F38FB"/>
    <w:rsid w:val="00125640"/>
    <w:rsid w:val="00136CE6"/>
    <w:rsid w:val="001465B5"/>
    <w:rsid w:val="00153747"/>
    <w:rsid w:val="001C6CC3"/>
    <w:rsid w:val="001D048D"/>
    <w:rsid w:val="00211580"/>
    <w:rsid w:val="0024102B"/>
    <w:rsid w:val="00247AEE"/>
    <w:rsid w:val="002544A6"/>
    <w:rsid w:val="00271F10"/>
    <w:rsid w:val="002C692A"/>
    <w:rsid w:val="002C6D00"/>
    <w:rsid w:val="003131EB"/>
    <w:rsid w:val="003210FD"/>
    <w:rsid w:val="0033289C"/>
    <w:rsid w:val="003451B0"/>
    <w:rsid w:val="00351AB8"/>
    <w:rsid w:val="00373CD4"/>
    <w:rsid w:val="00393755"/>
    <w:rsid w:val="003C2C80"/>
    <w:rsid w:val="003D191F"/>
    <w:rsid w:val="003E6694"/>
    <w:rsid w:val="003F40AC"/>
    <w:rsid w:val="00400D01"/>
    <w:rsid w:val="0041124C"/>
    <w:rsid w:val="00412F80"/>
    <w:rsid w:val="00413088"/>
    <w:rsid w:val="00430999"/>
    <w:rsid w:val="0043611D"/>
    <w:rsid w:val="00480B63"/>
    <w:rsid w:val="00493E2D"/>
    <w:rsid w:val="004C11B4"/>
    <w:rsid w:val="004C647D"/>
    <w:rsid w:val="004D129F"/>
    <w:rsid w:val="004F086F"/>
    <w:rsid w:val="00504831"/>
    <w:rsid w:val="005130B0"/>
    <w:rsid w:val="00526C99"/>
    <w:rsid w:val="00527E7F"/>
    <w:rsid w:val="00581A4B"/>
    <w:rsid w:val="005970B9"/>
    <w:rsid w:val="005F0144"/>
    <w:rsid w:val="005F75C4"/>
    <w:rsid w:val="0063213C"/>
    <w:rsid w:val="00650066"/>
    <w:rsid w:val="0065720A"/>
    <w:rsid w:val="00672304"/>
    <w:rsid w:val="0067402F"/>
    <w:rsid w:val="006912B8"/>
    <w:rsid w:val="006C6A35"/>
    <w:rsid w:val="00741155"/>
    <w:rsid w:val="00743E15"/>
    <w:rsid w:val="00770109"/>
    <w:rsid w:val="0079038B"/>
    <w:rsid w:val="007D442E"/>
    <w:rsid w:val="007F7B89"/>
    <w:rsid w:val="00864447"/>
    <w:rsid w:val="00876B84"/>
    <w:rsid w:val="0087779F"/>
    <w:rsid w:val="008A1254"/>
    <w:rsid w:val="008A75B7"/>
    <w:rsid w:val="008B2E63"/>
    <w:rsid w:val="008C0D42"/>
    <w:rsid w:val="008C5DF2"/>
    <w:rsid w:val="008E3638"/>
    <w:rsid w:val="0090114B"/>
    <w:rsid w:val="00910AF8"/>
    <w:rsid w:val="009253E3"/>
    <w:rsid w:val="00956DFE"/>
    <w:rsid w:val="00957FDA"/>
    <w:rsid w:val="0096130E"/>
    <w:rsid w:val="00980266"/>
    <w:rsid w:val="009A203B"/>
    <w:rsid w:val="009B5BCF"/>
    <w:rsid w:val="009D6D08"/>
    <w:rsid w:val="009D7DDB"/>
    <w:rsid w:val="009F05AD"/>
    <w:rsid w:val="009F7F2F"/>
    <w:rsid w:val="00A009ED"/>
    <w:rsid w:val="00A02422"/>
    <w:rsid w:val="00A074FB"/>
    <w:rsid w:val="00A14203"/>
    <w:rsid w:val="00A211D6"/>
    <w:rsid w:val="00A22B9E"/>
    <w:rsid w:val="00A40524"/>
    <w:rsid w:val="00A40DE2"/>
    <w:rsid w:val="00A648CD"/>
    <w:rsid w:val="00A93E04"/>
    <w:rsid w:val="00A95483"/>
    <w:rsid w:val="00AB2EFE"/>
    <w:rsid w:val="00AB6125"/>
    <w:rsid w:val="00AE2B0F"/>
    <w:rsid w:val="00B31F10"/>
    <w:rsid w:val="00B81D81"/>
    <w:rsid w:val="00BA3A01"/>
    <w:rsid w:val="00BA6E38"/>
    <w:rsid w:val="00BE64E6"/>
    <w:rsid w:val="00C13EE3"/>
    <w:rsid w:val="00C153AD"/>
    <w:rsid w:val="00C2462E"/>
    <w:rsid w:val="00C36872"/>
    <w:rsid w:val="00C43D26"/>
    <w:rsid w:val="00C9128A"/>
    <w:rsid w:val="00C92537"/>
    <w:rsid w:val="00C93D87"/>
    <w:rsid w:val="00CB52FD"/>
    <w:rsid w:val="00CD2BA0"/>
    <w:rsid w:val="00CE38B5"/>
    <w:rsid w:val="00D24A8B"/>
    <w:rsid w:val="00D46762"/>
    <w:rsid w:val="00D542D6"/>
    <w:rsid w:val="00D5469F"/>
    <w:rsid w:val="00D80A81"/>
    <w:rsid w:val="00DB0CAE"/>
    <w:rsid w:val="00DD6161"/>
    <w:rsid w:val="00E010A5"/>
    <w:rsid w:val="00E02440"/>
    <w:rsid w:val="00E12CDA"/>
    <w:rsid w:val="00E330D5"/>
    <w:rsid w:val="00E40044"/>
    <w:rsid w:val="00E56A8A"/>
    <w:rsid w:val="00E605C8"/>
    <w:rsid w:val="00E9256D"/>
    <w:rsid w:val="00EB583A"/>
    <w:rsid w:val="00ED2614"/>
    <w:rsid w:val="00EE525E"/>
    <w:rsid w:val="00EF3E64"/>
    <w:rsid w:val="00F000BC"/>
    <w:rsid w:val="00F034EC"/>
    <w:rsid w:val="00F05F64"/>
    <w:rsid w:val="00F57B09"/>
    <w:rsid w:val="00FD6D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02B"/>
    <w:pPr>
      <w:spacing w:after="0" w:line="240" w:lineRule="auto"/>
    </w:pPr>
    <w:rPr>
      <w:rFonts w:ascii="Times New Roman" w:eastAsiaTheme="minorEastAsia"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71">
    <w:name w:val="font171"/>
    <w:basedOn w:val="a0"/>
    <w:rsid w:val="0024102B"/>
    <w:rPr>
      <w:rFonts w:ascii="Times New Roman" w:hAnsi="Times New Roman" w:cs="Times New Roman" w:hint="default"/>
      <w:sz w:val="28"/>
      <w:szCs w:val="28"/>
    </w:rPr>
  </w:style>
  <w:style w:type="paragraph" w:styleId="a3">
    <w:name w:val="header"/>
    <w:basedOn w:val="a"/>
    <w:link w:val="a4"/>
    <w:uiPriority w:val="99"/>
    <w:unhideWhenUsed/>
    <w:rsid w:val="00A02422"/>
    <w:pPr>
      <w:tabs>
        <w:tab w:val="center" w:pos="4819"/>
        <w:tab w:val="right" w:pos="9639"/>
      </w:tabs>
    </w:pPr>
  </w:style>
  <w:style w:type="character" w:customStyle="1" w:styleId="a4">
    <w:name w:val="Верхний колонтитул Знак"/>
    <w:basedOn w:val="a0"/>
    <w:link w:val="a3"/>
    <w:uiPriority w:val="99"/>
    <w:rsid w:val="00A02422"/>
    <w:rPr>
      <w:rFonts w:ascii="Times New Roman" w:eastAsiaTheme="minorEastAsia" w:hAnsi="Times New Roman" w:cs="Times New Roman"/>
      <w:sz w:val="24"/>
      <w:szCs w:val="24"/>
      <w:lang w:eastAsia="uk-UA"/>
    </w:rPr>
  </w:style>
  <w:style w:type="paragraph" w:styleId="a5">
    <w:name w:val="footer"/>
    <w:basedOn w:val="a"/>
    <w:link w:val="a6"/>
    <w:uiPriority w:val="99"/>
    <w:unhideWhenUsed/>
    <w:rsid w:val="00A02422"/>
    <w:pPr>
      <w:tabs>
        <w:tab w:val="center" w:pos="4819"/>
        <w:tab w:val="right" w:pos="9639"/>
      </w:tabs>
    </w:pPr>
  </w:style>
  <w:style w:type="character" w:customStyle="1" w:styleId="a6">
    <w:name w:val="Нижний колонтитул Знак"/>
    <w:basedOn w:val="a0"/>
    <w:link w:val="a5"/>
    <w:uiPriority w:val="99"/>
    <w:rsid w:val="00A02422"/>
    <w:rPr>
      <w:rFonts w:ascii="Times New Roman" w:eastAsiaTheme="minorEastAsia" w:hAnsi="Times New Roman" w:cs="Times New Roman"/>
      <w:sz w:val="24"/>
      <w:szCs w:val="24"/>
      <w:lang w:eastAsia="uk-UA"/>
    </w:rPr>
  </w:style>
  <w:style w:type="table" w:styleId="a7">
    <w:name w:val="Table Grid"/>
    <w:basedOn w:val="a1"/>
    <w:uiPriority w:val="59"/>
    <w:rsid w:val="000F3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0F38FB"/>
    <w:pPr>
      <w:spacing w:after="0" w:line="240" w:lineRule="auto"/>
    </w:pPr>
    <w:rPr>
      <w:rFonts w:ascii="Times New Roman" w:eastAsiaTheme="minorEastAsia" w:hAnsi="Times New Roman" w:cs="Times New Roman"/>
      <w:sz w:val="24"/>
      <w:szCs w:val="24"/>
      <w:lang w:eastAsia="uk-UA"/>
    </w:rPr>
  </w:style>
  <w:style w:type="paragraph" w:styleId="a9">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
    <w:link w:val="1"/>
    <w:qFormat/>
    <w:rsid w:val="00980266"/>
    <w:pPr>
      <w:spacing w:before="100" w:beforeAutospacing="1" w:after="100" w:afterAutospacing="1"/>
    </w:pPr>
    <w:rPr>
      <w:rFonts w:eastAsia="Times New Roman"/>
      <w:lang w:val="x-none" w:eastAsia="x-none"/>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Обычный (Web Знак"/>
    <w:link w:val="a9"/>
    <w:rsid w:val="00980266"/>
    <w:rPr>
      <w:rFonts w:ascii="Times New Roman" w:eastAsia="Times New Roman" w:hAnsi="Times New Roman" w:cs="Times New Roman"/>
      <w:sz w:val="24"/>
      <w:szCs w:val="24"/>
      <w:lang w:val="x-none" w:eastAsia="x-none"/>
    </w:rPr>
  </w:style>
  <w:style w:type="paragraph" w:styleId="aa">
    <w:name w:val="Balloon Text"/>
    <w:basedOn w:val="a"/>
    <w:link w:val="ab"/>
    <w:uiPriority w:val="99"/>
    <w:semiHidden/>
    <w:unhideWhenUsed/>
    <w:rsid w:val="009B5BCF"/>
    <w:rPr>
      <w:rFonts w:ascii="Tahoma" w:hAnsi="Tahoma" w:cs="Tahoma"/>
      <w:sz w:val="16"/>
      <w:szCs w:val="16"/>
    </w:rPr>
  </w:style>
  <w:style w:type="character" w:customStyle="1" w:styleId="ab">
    <w:name w:val="Текст выноски Знак"/>
    <w:basedOn w:val="a0"/>
    <w:link w:val="aa"/>
    <w:uiPriority w:val="99"/>
    <w:semiHidden/>
    <w:rsid w:val="009B5BCF"/>
    <w:rPr>
      <w:rFonts w:ascii="Tahoma" w:eastAsiaTheme="minorEastAsia"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02B"/>
    <w:pPr>
      <w:spacing w:after="0" w:line="240" w:lineRule="auto"/>
    </w:pPr>
    <w:rPr>
      <w:rFonts w:ascii="Times New Roman" w:eastAsiaTheme="minorEastAsia"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71">
    <w:name w:val="font171"/>
    <w:basedOn w:val="a0"/>
    <w:rsid w:val="0024102B"/>
    <w:rPr>
      <w:rFonts w:ascii="Times New Roman" w:hAnsi="Times New Roman" w:cs="Times New Roman" w:hint="default"/>
      <w:sz w:val="28"/>
      <w:szCs w:val="28"/>
    </w:rPr>
  </w:style>
  <w:style w:type="paragraph" w:styleId="a3">
    <w:name w:val="header"/>
    <w:basedOn w:val="a"/>
    <w:link w:val="a4"/>
    <w:uiPriority w:val="99"/>
    <w:unhideWhenUsed/>
    <w:rsid w:val="00A02422"/>
    <w:pPr>
      <w:tabs>
        <w:tab w:val="center" w:pos="4819"/>
        <w:tab w:val="right" w:pos="9639"/>
      </w:tabs>
    </w:pPr>
  </w:style>
  <w:style w:type="character" w:customStyle="1" w:styleId="a4">
    <w:name w:val="Верхний колонтитул Знак"/>
    <w:basedOn w:val="a0"/>
    <w:link w:val="a3"/>
    <w:uiPriority w:val="99"/>
    <w:rsid w:val="00A02422"/>
    <w:rPr>
      <w:rFonts w:ascii="Times New Roman" w:eastAsiaTheme="minorEastAsia" w:hAnsi="Times New Roman" w:cs="Times New Roman"/>
      <w:sz w:val="24"/>
      <w:szCs w:val="24"/>
      <w:lang w:eastAsia="uk-UA"/>
    </w:rPr>
  </w:style>
  <w:style w:type="paragraph" w:styleId="a5">
    <w:name w:val="footer"/>
    <w:basedOn w:val="a"/>
    <w:link w:val="a6"/>
    <w:uiPriority w:val="99"/>
    <w:unhideWhenUsed/>
    <w:rsid w:val="00A02422"/>
    <w:pPr>
      <w:tabs>
        <w:tab w:val="center" w:pos="4819"/>
        <w:tab w:val="right" w:pos="9639"/>
      </w:tabs>
    </w:pPr>
  </w:style>
  <w:style w:type="character" w:customStyle="1" w:styleId="a6">
    <w:name w:val="Нижний колонтитул Знак"/>
    <w:basedOn w:val="a0"/>
    <w:link w:val="a5"/>
    <w:uiPriority w:val="99"/>
    <w:rsid w:val="00A02422"/>
    <w:rPr>
      <w:rFonts w:ascii="Times New Roman" w:eastAsiaTheme="minorEastAsia" w:hAnsi="Times New Roman" w:cs="Times New Roman"/>
      <w:sz w:val="24"/>
      <w:szCs w:val="24"/>
      <w:lang w:eastAsia="uk-UA"/>
    </w:rPr>
  </w:style>
  <w:style w:type="table" w:styleId="a7">
    <w:name w:val="Table Grid"/>
    <w:basedOn w:val="a1"/>
    <w:uiPriority w:val="59"/>
    <w:rsid w:val="000F3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0F38FB"/>
    <w:pPr>
      <w:spacing w:after="0" w:line="240" w:lineRule="auto"/>
    </w:pPr>
    <w:rPr>
      <w:rFonts w:ascii="Times New Roman" w:eastAsiaTheme="minorEastAsia" w:hAnsi="Times New Roman" w:cs="Times New Roman"/>
      <w:sz w:val="24"/>
      <w:szCs w:val="24"/>
      <w:lang w:eastAsia="uk-UA"/>
    </w:rPr>
  </w:style>
  <w:style w:type="paragraph" w:styleId="a9">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
    <w:link w:val="1"/>
    <w:qFormat/>
    <w:rsid w:val="00980266"/>
    <w:pPr>
      <w:spacing w:before="100" w:beforeAutospacing="1" w:after="100" w:afterAutospacing="1"/>
    </w:pPr>
    <w:rPr>
      <w:rFonts w:eastAsia="Times New Roman"/>
      <w:lang w:val="x-none" w:eastAsia="x-none"/>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Обычный (Web Знак"/>
    <w:link w:val="a9"/>
    <w:rsid w:val="00980266"/>
    <w:rPr>
      <w:rFonts w:ascii="Times New Roman" w:eastAsia="Times New Roman" w:hAnsi="Times New Roman" w:cs="Times New Roman"/>
      <w:sz w:val="24"/>
      <w:szCs w:val="24"/>
      <w:lang w:val="x-none" w:eastAsia="x-none"/>
    </w:rPr>
  </w:style>
  <w:style w:type="paragraph" w:styleId="aa">
    <w:name w:val="Balloon Text"/>
    <w:basedOn w:val="a"/>
    <w:link w:val="ab"/>
    <w:uiPriority w:val="99"/>
    <w:semiHidden/>
    <w:unhideWhenUsed/>
    <w:rsid w:val="009B5BCF"/>
    <w:rPr>
      <w:rFonts w:ascii="Tahoma" w:hAnsi="Tahoma" w:cs="Tahoma"/>
      <w:sz w:val="16"/>
      <w:szCs w:val="16"/>
    </w:rPr>
  </w:style>
  <w:style w:type="character" w:customStyle="1" w:styleId="ab">
    <w:name w:val="Текст выноски Знак"/>
    <w:basedOn w:val="a0"/>
    <w:link w:val="aa"/>
    <w:uiPriority w:val="99"/>
    <w:semiHidden/>
    <w:rsid w:val="009B5BCF"/>
    <w:rPr>
      <w:rFonts w:ascii="Tahoma" w:eastAsiaTheme="minorEastAsia"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B8636-0BD7-4B59-A9D0-804E22D8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3999</Words>
  <Characters>2280</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СТОРОЖЧУК ВОЛОДИМИР МИКОЛАЙОВИЧ</dc:creator>
  <cp:lastModifiedBy>ЗАВЕРУХА ОЛЕКСІЙ ОЛЕКСАНДРОВИЧ</cp:lastModifiedBy>
  <cp:revision>6</cp:revision>
  <cp:lastPrinted>2023-12-19T08:52:00Z</cp:lastPrinted>
  <dcterms:created xsi:type="dcterms:W3CDTF">2023-12-19T12:24:00Z</dcterms:created>
  <dcterms:modified xsi:type="dcterms:W3CDTF">2023-12-20T11:46:00Z</dcterms:modified>
</cp:coreProperties>
</file>