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pacing w:lineRule="auto" w:line="240" w:before="240" w:after="240" w:beforeAutospacing="0" w:afterAutospacing="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Додаток 3</w:t>
      </w:r>
    </w:p>
    <w:p>
      <w:pPr>
        <w:spacing w:lineRule="auto" w:line="240" w:before="240" w:after="240" w:beforeAutospacing="0" w:afterAutospacing="0"/>
        <w:jc w:val="right"/>
        <w:rPr>
          <w:rFonts w:ascii="Times New Roman" w:hAnsi="Times New Roman"/>
          <w:color w:val="000000"/>
          <w:sz w:val="28"/>
          <w:szCs w:val="28"/>
          <w:lang w:val="ru"/>
        </w:rPr>
      </w:pPr>
      <w:r>
        <w:rPr>
          <w:rFonts w:ascii="Times New Roman" w:hAnsi="Times New Roman"/>
          <w:color w:val="000000"/>
          <w:sz w:val="28"/>
          <w:szCs w:val="28"/>
          <w:lang w:val="ru"/>
        </w:rPr>
        <w:t>до Стратегії</w:t>
      </w:r>
    </w:p>
    <w:p>
      <w:pPr>
        <w:shd w:val="clear" w:fill="FFFFFF"/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b w:val="1"/>
          <w:color w:val="000000"/>
          <w:sz w:val="28"/>
          <w:szCs w:val="28"/>
          <w:lang w:val="ru"/>
        </w:rPr>
      </w:pPr>
      <w:bookmarkStart w:id="0" w:name="_opyg149u2vwe"/>
      <w:bookmarkEnd w:id="0"/>
      <w:r>
        <w:rPr>
          <w:rFonts w:ascii="Times New Roman" w:hAnsi="Times New Roman"/>
          <w:b w:val="1"/>
          <w:color w:val="000000"/>
          <w:sz w:val="28"/>
          <w:szCs w:val="28"/>
          <w:lang w:val="ru"/>
        </w:rPr>
        <w:t>Показники моніторингу досягнення цілей Державної стратегії регіонального розвитку на 2021-2027 роки</w:t>
      </w:r>
    </w:p>
    <w:tbl>
      <w:tblPr>
        <w:tblW w:w="9930" w:type="dxa"/>
        <w:tblInd w:w="-10" w:type="dxa"/>
        <w:tblLayout w:type="fixed"/>
        <w:tblLook w:val="0600"/>
      </w:tblPr>
      <w:tblGrid/>
      <w:tr>
        <w:trPr>
          <w:trHeight w:hRule="atLeast" w:val="930"/>
          <w:tblHeader/>
        </w:trPr>
        <w:tc>
          <w:tcPr>
            <w:tcW w:w="3686" w:type="dxa"/>
            <w:tcBorders>
              <w:top w:val="single" w:sz="8" w:space="0" w:shadow="0" w:frame="0" w:color="000000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-708" w:right="-749"/>
              <w:jc w:val="center"/>
              <w:rPr>
                <w:rFonts w:ascii="Times New Roman" w:hAnsi="Times New Roman"/>
                <w:b w:val="1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  <w:szCs w:val="16"/>
                <w:lang w:val="ru"/>
              </w:rPr>
              <w:t>Індикатор</w:t>
            </w:r>
          </w:p>
        </w:tc>
        <w:tc>
          <w:tcPr>
            <w:tcW w:w="1080" w:type="dxa"/>
            <w:tcBorders>
              <w:top w:val="single" w:sz="8" w:space="0" w:shadow="0" w:frame="0" w:color="000000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141" w:right="105"/>
              <w:jc w:val="center"/>
              <w:rPr>
                <w:rFonts w:ascii="Times New Roman" w:hAnsi="Times New Roman"/>
                <w:b w:val="1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  <w:szCs w:val="16"/>
                <w:lang w:val="ru"/>
              </w:rPr>
              <w:t>Одиниця виміру показника</w:t>
            </w:r>
          </w:p>
        </w:tc>
        <w:tc>
          <w:tcPr>
            <w:tcW w:w="1620" w:type="dxa"/>
            <w:tcBorders>
              <w:top w:val="single" w:sz="8" w:space="0" w:shadow="0" w:frame="0" w:color="000000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141" w:right="74"/>
              <w:jc w:val="center"/>
              <w:rPr>
                <w:rFonts w:ascii="Times New Roman" w:hAnsi="Times New Roman"/>
                <w:b w:val="1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  <w:szCs w:val="16"/>
                <w:lang w:val="ru"/>
              </w:rPr>
              <w:t>Територіальний рівень</w:t>
            </w:r>
          </w:p>
        </w:tc>
        <w:tc>
          <w:tcPr>
            <w:tcW w:w="1935" w:type="dxa"/>
            <w:tcBorders>
              <w:top w:val="single" w:sz="8" w:space="0" w:shadow="0" w:frame="0" w:color="000000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141" w:right="62"/>
              <w:jc w:val="center"/>
              <w:rPr>
                <w:rFonts w:ascii="Times New Roman" w:hAnsi="Times New Roman"/>
                <w:b w:val="1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  <w:szCs w:val="16"/>
                <w:lang w:val="ru"/>
              </w:rPr>
              <w:t>Описове прогнозоване</w:t>
              <w:br w:type="textWrapping"/>
              <w:t xml:space="preserve"> цільове значення показника у</w:t>
              <w:br w:type="textWrapping"/>
              <w:t xml:space="preserve"> 2027 році</w:t>
            </w:r>
          </w:p>
        </w:tc>
        <w:tc>
          <w:tcPr>
            <w:tcW w:w="1609" w:type="dxa"/>
            <w:tcBorders>
              <w:top w:val="single" w:sz="8" w:space="0" w:shadow="0" w:frame="0" w:color="000000"/>
              <w:left w:val="nil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-708" w:right="-749"/>
              <w:jc w:val="center"/>
              <w:rPr>
                <w:rFonts w:ascii="Times New Roman" w:hAnsi="Times New Roman"/>
                <w:b w:val="1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b w:val="1"/>
                <w:color w:val="000000"/>
                <w:sz w:val="16"/>
                <w:szCs w:val="16"/>
                <w:lang w:val="ru"/>
              </w:rPr>
              <w:t>Джерело даних</w:t>
            </w:r>
          </w:p>
        </w:tc>
      </w:tr>
      <w:tr>
        <w:trPr>
          <w:trHeight w:hRule="atLeast" w:val="612"/>
        </w:trPr>
        <w:tc>
          <w:tcPr>
            <w:tcW w:w="9930" w:type="dxa"/>
            <w:gridSpan w:val="5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141" w:right="62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 ціль 1.1. Відновлення інфраструктури, економічної активності та балансу екосистем, створення безпекових умов життєдіяльності на територіях відновлення</w:t>
            </w:r>
          </w:p>
        </w:tc>
      </w:tr>
      <w:tr>
        <w:trPr>
          <w:trHeight w:hRule="atLeast" w:val="1927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1. Частка відновлених об’єктів зруйнованої та/або пошкодженої інфраструктури - за видами (на підконтрольних Україні територіях)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left="141"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left="141"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left="141"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left="141"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left="141"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30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2. Відношення зареєстрованих субʼєктів господарювання (фізичних та юридичних осіб) в територіальних громадах, віднесених до територій відновлення, протягом року до кількості діючих в базовому році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Rule="auto" w:line="240" w:before="400" w:after="400" w:beforeAutospacing="0" w:afterAutospacing="0"/>
              <w:ind w:left="141"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Мінюст</w:t>
            </w:r>
          </w:p>
        </w:tc>
      </w:tr>
      <w:tr>
        <w:trPr>
          <w:trHeight w:hRule="atLeast" w:val="151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3. Рівень вторинного використання відходів (відходів руйнувань)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Державна екологічна інспеція України</w:t>
            </w:r>
          </w:p>
        </w:tc>
      </w:tr>
      <w:tr>
        <w:trPr>
          <w:trHeight w:hRule="atLeast" w:val="151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4. Частка території, яка потребує обстеження щодо мінування та забруднення вибухонебезпечними предметами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зниження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ДСНС</w:t>
            </w:r>
          </w:p>
        </w:tc>
      </w:tr>
      <w:tr>
        <w:trPr>
          <w:trHeight w:hRule="atLeast" w:val="151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5. Частка територіальних громад, віднесених до територій відновлення, з індексом податкоспроможності 0,45 і нижче (у поточному році)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зменшення показника у кожній області та кожному ФТТ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308"/>
        </w:trPr>
        <w:tc>
          <w:tcPr>
            <w:tcW w:w="9930" w:type="dxa"/>
            <w:gridSpan w:val="5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141"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 ціль 1.2. Підтримка та ефективне використання потенціалу територій з особливими умовами для розвитку</w:t>
            </w:r>
          </w:p>
        </w:tc>
      </w:tr>
      <w:tr>
        <w:trPr>
          <w:trHeight w:hRule="atLeast" w:val="60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1. Частка територіальних громад, віднесених до територій з особливими умовами для розвитку, з індексом податкоспроможності 0,45 і нижче (у поточному році)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зменшення показника у кожній області та кожному ФТТ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2. Частка територіальних громад, віднесених до територій з особливими умовами для розвитку, які мають рівень капітальних видатків місцевих бюджетів нижчий, ніж в середньому по країні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зменшення показника у кожній області та кожному ФТТ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3. Відношення зареєстрованих субʼєктів господарювання (фізичних та юридичних осіб) в територіальних громадах, віднесених до територій з особливими умовами для розвитку, протягом року до кількості діючих в базовому році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Мінюст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4. Частка територіальних громад, віднесених до територій з особливими умовами для розвитку, в яких зросла кількість адміністративних послуг населенню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5. Частка територій та об’єктів природно-заповідного фонду у відношенні до площі держави (регіону)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для досягнення показника 15 % до 2027 року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Міндовкілля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6. Частка площі територій національної екологічної мережі у загальній території України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Міндовкілля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7. Лісистість території України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в кожній області з урахуванням показників регіональних нормативів оптимальної лісистості для досягнення показника щонайменше 17 %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Державне агентство лісових ресурсів; Державний земельний кадастр</w:t>
            </w:r>
          </w:p>
        </w:tc>
      </w:tr>
      <w:tr>
        <w:trPr>
          <w:trHeight w:hRule="atLeast" w:val="188"/>
        </w:trPr>
        <w:tc>
          <w:tcPr>
            <w:tcW w:w="9930" w:type="dxa"/>
            <w:gridSpan w:val="5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 ціль 1.3. Поширення позитивного впливу регіональних полюсів зростання та територій сталого розвитку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1. Кількість діючих договорів ММС між РПЗ та суміжними територіальними громадами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од.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2. Частка територіальних громад, віднесених до РПЗ, з індексом податкоспроможності 1,1 і вище (у поточному році)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стабільності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3. Відношення зареєстрованих субʼєктів господарювання (фізичних та юридичних осіб) в РПЗ, протягом року до кількості діючих в базовому році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Мінюст</w:t>
            </w:r>
          </w:p>
        </w:tc>
      </w:tr>
      <w:tr>
        <w:trPr>
          <w:trHeight w:hRule="atLeast" w:val="285"/>
        </w:trPr>
        <w:tc>
          <w:tcPr>
            <w:tcW w:w="9930" w:type="dxa"/>
            <w:gridSpan w:val="5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 ціль 1.4. Формування згуртованого інформаційно-культурного та соціального простору в межах всієї території України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1. Кількість пам’яток, на яких проведені ремонтно-реставраційні роботи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одиниць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70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МКІП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2. Частка працевлаштованих ВПО до усіх ВПО працездатного віку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dotted" w:sz="2" w:space="0" w:shadow="0" w:frame="0" w:color="000000"/>
              <w:right w:val="dotted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dotted" w:sz="2" w:space="0" w:shadow="0" w:frame="0" w:color="000000"/>
              <w:right w:val="dotted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Мінсоцполітики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3. Частка ВПО, розселених з місць тимчасового проживання в альтернативні житлові рішення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dotted" w:sz="2" w:space="0" w:shadow="0" w:frame="0" w:color="000000"/>
              <w:right w:val="dotted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dotted" w:sz="2" w:space="0" w:shadow="0" w:frame="0" w:color="000000"/>
              <w:right w:val="dotted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Мінреінтеграції</w:t>
            </w:r>
          </w:p>
        </w:tc>
      </w:tr>
      <w:tr>
        <w:trPr>
          <w:trHeight w:hRule="atLeast" w:val="285"/>
        </w:trPr>
        <w:tc>
          <w:tcPr>
            <w:tcW w:w="9930" w:type="dxa"/>
            <w:gridSpan w:val="5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spacing w:lineRule="auto" w:line="276" w:after="0" w:beforeAutospacing="0" w:afterAutospacing="0"/>
              <w:jc w:val="center"/>
              <w:rPr>
                <w:rFonts w:ascii="Arial" w:hAnsi="Arial"/>
                <w:color w:val="000000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 ціль 2.1. Створення умов для відновлення та розвитку людського капіталу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 xml:space="preserve">1. Частка осіб, які не склали Національний мультипредметний тест 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сільська місцевість</w:t>
            </w:r>
          </w:p>
          <w:p>
            <w:pP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міська місцевість</w:t>
            </w:r>
          </w:p>
          <w:p>
            <w:pP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  <w:p>
            <w:pP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сільська місцевість</w:t>
            </w:r>
          </w:p>
          <w:p>
            <w:pP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міська місцевість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зниження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МОН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2. Частка випускників базової середньої школи, які не продовжують навчання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зниження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-“-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3. Частка охоплення дітей віком 5 років закладами дошкільної освіти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сільська місцевість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міська місцевість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сільська місцевість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міська місцевість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 та типу місцевості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-“-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4. Смертність дітей у віці до 5 років, випадків на 1 000 живонароджених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зниження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 xml:space="preserve">МОЗ 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5. Кількість випадків материнської смерті, на 100 000 живонароджених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зниження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 xml:space="preserve">МОЗ 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6. Частка громадян, які декларують знання принаймні однієї з мов країн ЄС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сільська місцевість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міська місцевість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та наближення показника для сільської місцевості до показника для міської місцевості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 xml:space="preserve">МОН 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7. Частка громадян, рівень володіння цифровими компетентностями (цифрової грамотності) яких не нижче базового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сільська місцевість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- міська місцевість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та наближення показника для сільської місцевості до показника для міської місцевостіі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Мінцифри, НКРЗІ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</w:p>
        </w:tc>
      </w:tr>
      <w:tr>
        <w:trPr>
          <w:trHeight w:hRule="atLeast" w:val="285"/>
        </w:trPr>
        <w:tc>
          <w:tcPr>
            <w:tcW w:w="9930" w:type="dxa"/>
            <w:gridSpan w:val="5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 ціль 2.2. Відновлення та стимулювання розвитку регіональних та місцевих економік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1. Відношення зміни чисельності платників єдиного соціального внеску (далі - ЄСВ) в поточному році до чисельності платників ЄСВ в попередньому році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п’ять регіонів із найнижчим значенням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показник має тенденцію до збільшення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наближення показника у регіонах до середнього в Україні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ПФУ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2. Частка платників ЄСВ, розмір річного доходу від зайнятості яких перевищує 12 мінімальних середньомісячних зарплат найманих працівників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п’ять регіонів із найнижчим значенням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показник має тенденцію до збільшення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наближення показника у регіонах до середнього в Україні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ПФУ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3. Відношення зареєстрованих субʼєктів господарювання (фізичних та юридичних осіб) протягом року до кількості діючих в базовому році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Держстат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4.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Частка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суб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єктів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господарювання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фізичних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юридичних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осіб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),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які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функціонують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більше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року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з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01.01.2022)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Держстат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5. Приріст обсягу експорту товарів та послуг по відношенню до обсягів базового року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Держстат</w:t>
            </w:r>
          </w:p>
        </w:tc>
      </w:tr>
      <w:tr>
        <w:trPr>
          <w:trHeight w:hRule="atLeast" w:val="285"/>
        </w:trPr>
        <w:tc>
          <w:tcPr>
            <w:tcW w:w="9930" w:type="dxa"/>
            <w:gridSpan w:val="5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 ціль 2.3. Розвиток сталої, інклюзивної та стійкої до безпекових загроз інфраструктури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1. Частка населення, що має доступ до мобільних мереж 4G, 5G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Мінцифри, НКРЗІ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(ЦСР ООН)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2. Частка соціальних закладів (школи, центри надання адміністративних послуг, заклади первинної медичної допомоги, заклади вторинної медичної допомоги, заклади професійно-технічної освіти, заклади культури, заклади соціального захисту населення, інклюзивно-ресурсні центри, пожежно-рятувальні команди, пожежно-рятувальні частини, відомчі заклади МВС, дошкільні навчальні заклади, спортивно-оздоровчі заклади), що використовують фіксований широкосмуговий доступ до Інтернету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100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100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Мінцифри, НКРЗІ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3. Кількість</w:t>
            </w:r>
            <w:r>
              <w:rPr>
                <w:rFonts w:ascii="Times New Roman" w:hAnsi="Times New Roman"/>
                <w:smallCaps w:val="0"/>
                <w:color w:val="000000"/>
                <w:sz w:val="16"/>
                <w:szCs w:val="22"/>
                <w:cs w:val="0"/>
                <w:spacing w:val="0"/>
                <w:w w:val="100"/>
                <w:position w:val="0"/>
                <w:snapToGrid w:val="1"/>
                <w:lang w:val="ru"/>
              </w:rPr>
              <w:t xml:space="preserve"> захисних споруд цивільного захисту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 xml:space="preserve"> (за класами) на 1000 мешканців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dotted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Од.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dotted" w:sz="2" w:space="0" w:shadow="0" w:frame="0" w:color="000000"/>
              <w:right w:val="dotted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ДСНС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4. Частка сільського населення, яке проживає на відстані понад 3 км від дороги з твердим покриттям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dotted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зменшення показника у кожній області та кожному ФТТ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dotted" w:sz="2" w:space="0" w:shadow="0" w:frame="0" w:color="000000"/>
              <w:right w:val="dotted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Держстат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>
            <w:pPr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40" w:before="400" w:after="400" w:beforeAutospacing="0" w:afterAutospacing="0"/>
              <w:ind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5. Частка об’єктів громадського та цивільного призначення, благоустрою, облаштованих з урахуванням потреб осіб з інвалідністю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000000"/>
              <w:bottom w:val="dotted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000000"/>
              <w:bottom w:val="dotted" w:sz="2" w:space="0" w:shadow="0" w:frame="0" w:color="000000"/>
              <w:right w:val="dotted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Rule="auto" w:line="240" w:before="400" w:after="400" w:beforeAutospacing="0" w:afterAutospacing="0"/>
              <w:ind w:right="1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c>
          <w:tcPr>
            <w:tcW w:w="9930" w:type="dxa"/>
            <w:gridSpan w:val="5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141"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 ціль 2.4. Сприяння інноваційному розвитку регіональних економік</w:t>
            </w:r>
          </w:p>
        </w:tc>
      </w:tr>
      <w:tr>
        <w:trPr>
          <w:trHeight w:hRule="atLeast" w:val="28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1. Частка експорту товарів з використанням у виробництві технологій високого та середньовисокого рівня в загальному обсязі експорту товарів, % (групи «Продукція хімічної та пов’язаних з нею галузей промисловості», «Полімерні матеріали, пластмаси та вироби з них», «Машини, обладнання та механізми; електротехнічне обладнання», «Засоби наземного транспорту, літальні апарати, плавучі засоби», 90-та підгрупа групи «Прилади та апарати оптичні, фотографічні» (згідно з УКТЗЕД))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Держстат</w:t>
            </w:r>
          </w:p>
        </w:tc>
      </w:tr>
      <w:tr>
        <w:trPr>
          <w:trHeight w:hRule="atLeast" w:val="57"/>
        </w:trPr>
        <w:tc>
          <w:tcPr>
            <w:tcW w:w="9930" w:type="dxa"/>
            <w:gridSpan w:val="5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0" w:type="dxa"/>
              <w:left w:w="20" w:type="dxa"/>
              <w:bottom w:w="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141"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 ціль 3.1. Забезпечення стійкості та ефективності публічного управління відповідно до безпекових, демографічних та економічних викликів</w:t>
            </w:r>
          </w:p>
        </w:tc>
      </w:tr>
      <w:tr>
        <w:trPr>
          <w:trHeight w:hRule="atLeast" w:val="151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1. Частка територіальних громад, які мають актуальні документи стратегічного планування державної регіональної політики (відповідно до Закону України “Про засади державної регіональної політики”)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spacing w:lineRule="auto" w:line="276" w:after="0" w:beforeAutospacing="0" w:afterAutospacing="0"/>
              <w:jc w:val="center"/>
              <w:rPr>
                <w:rFonts w:ascii="Arial" w:hAnsi="Arial"/>
                <w:color w:val="000000"/>
                <w:lang w:val="ru"/>
              </w:rPr>
            </w:pPr>
            <w:r>
              <w:rPr>
                <w:rFonts w:ascii="Arial" w:hAnsi="Arial"/>
                <w:color w:val="000000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3) ФТТ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100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100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100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c>
          <w:tcPr>
            <w:tcW w:w="3686" w:type="dxa"/>
            <w:tcBorders>
              <w:top w:val="single" w:sz="2" w:space="0" w:shadow="0" w:frame="0" w:color="CCCCCC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 xml:space="preserve">2. Частка територіальних громад з індексом податкоспроможності 0,45 і нижче  (у поточному році)</w:t>
            </w:r>
          </w:p>
        </w:tc>
        <w:tc>
          <w:tcPr>
            <w:tcW w:w="108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spacing w:lineRule="auto" w:line="276" w:after="0" w:beforeAutospacing="0" w:afterAutospacing="0"/>
              <w:jc w:val="center"/>
              <w:rPr>
                <w:rFonts w:ascii="Arial" w:hAnsi="Arial"/>
                <w:color w:val="000000"/>
                <w:lang w:val="ru"/>
              </w:rPr>
            </w:pPr>
            <w:r>
              <w:rPr>
                <w:rFonts w:ascii="Arial" w:hAnsi="Arial"/>
                <w:color w:val="000000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3) ФТТ</w:t>
            </w:r>
          </w:p>
        </w:tc>
        <w:tc>
          <w:tcPr>
            <w:tcW w:w="1935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зменшення показника у кожній області та кожному ФТТ</w:t>
            </w:r>
          </w:p>
        </w:tc>
        <w:tc>
          <w:tcPr>
            <w:tcW w:w="1609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1425"/>
        </w:trPr>
        <w:tc>
          <w:tcPr>
            <w:tcW w:w="3686" w:type="dxa"/>
            <w:tcBorders>
              <w:top w:val="single" w:sz="2" w:space="0" w:shadow="0" w:frame="0" w:color="CCCCCC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3. Частка територіальних громад, які мають рівень місцевих податків і зборів у власних доходах вищий, ніж в середньому по країні</w:t>
            </w:r>
          </w:p>
        </w:tc>
        <w:tc>
          <w:tcPr>
            <w:tcW w:w="108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spacing w:lineRule="auto" w:line="276" w:after="0" w:beforeAutospacing="0" w:afterAutospacing="0"/>
              <w:jc w:val="center"/>
              <w:rPr>
                <w:rFonts w:ascii="Arial" w:hAnsi="Arial"/>
                <w:color w:val="000000"/>
                <w:lang w:val="ru"/>
              </w:rPr>
            </w:pPr>
            <w:r>
              <w:rPr>
                <w:rFonts w:ascii="Arial" w:hAnsi="Arial"/>
                <w:color w:val="000000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3) ФТТ</w:t>
            </w:r>
          </w:p>
        </w:tc>
        <w:tc>
          <w:tcPr>
            <w:tcW w:w="1935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 та кожному ФТТ</w:t>
            </w:r>
          </w:p>
        </w:tc>
        <w:tc>
          <w:tcPr>
            <w:tcW w:w="1609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540"/>
        </w:trPr>
        <w:tc>
          <w:tcPr>
            <w:tcW w:w="3686" w:type="dxa"/>
            <w:tcBorders>
              <w:top w:val="single" w:sz="2" w:space="0" w:shadow="0" w:frame="0" w:color="CCCCCC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4. Частка громадян, які використовують Інтернет для контактів з органами державної влади чи органами місцевого самоврядування</w:t>
            </w:r>
          </w:p>
        </w:tc>
        <w:tc>
          <w:tcPr>
            <w:tcW w:w="108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spacing w:lineRule="auto" w:line="276" w:after="0" w:beforeAutospacing="0" w:afterAutospacing="0"/>
              <w:jc w:val="center"/>
              <w:rPr>
                <w:rFonts w:ascii="Arial" w:hAnsi="Arial"/>
                <w:color w:val="000000"/>
                <w:lang w:val="ru"/>
              </w:rPr>
            </w:pPr>
            <w:r>
              <w:rPr>
                <w:rFonts w:ascii="Arial" w:hAnsi="Arial"/>
                <w:color w:val="000000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 та кожному ФТТ</w:t>
            </w:r>
          </w:p>
        </w:tc>
        <w:tc>
          <w:tcPr>
            <w:tcW w:w="1609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Мінцифри</w:t>
            </w:r>
          </w:p>
        </w:tc>
      </w:tr>
      <w:tr>
        <w:trPr>
          <w:trHeight w:hRule="atLeast" w:val="765"/>
        </w:trPr>
        <w:tc>
          <w:tcPr>
            <w:tcW w:w="3686" w:type="dxa"/>
            <w:tcBorders>
              <w:top w:val="single" w:sz="2" w:space="0" w:shadow="0" w:frame="0" w:color="CCCCCC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5. Частка жінок на керівних посадах органах місцевого самоврядування різного рівня</w:t>
            </w:r>
          </w:p>
        </w:tc>
        <w:tc>
          <w:tcPr>
            <w:tcW w:w="108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spacing w:lineRule="auto" w:line="276" w:after="0" w:beforeAutospacing="0" w:afterAutospacing="0"/>
              <w:jc w:val="center"/>
              <w:rPr>
                <w:rFonts w:ascii="Arial" w:hAnsi="Arial"/>
                <w:color w:val="000000"/>
                <w:lang w:val="ru"/>
              </w:rPr>
            </w:pPr>
            <w:r>
              <w:rPr>
                <w:rFonts w:ascii="Arial" w:hAnsi="Arial"/>
                <w:color w:val="000000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218"/>
        </w:trPr>
        <w:tc>
          <w:tcPr>
            <w:tcW w:w="9930" w:type="dxa"/>
            <w:gridSpan w:val="5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141" w:right="145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ціль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3.2.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Підвищення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ефективності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підзвітності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публічного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інвестування</w:t>
            </w:r>
          </w:p>
        </w:tc>
      </w:tr>
      <w:tr>
        <w:trPr>
          <w:trHeight w:hRule="atLeast" w:val="76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1. Частка територіальних громад, які мають діючі договори про співробітництво територіальних громад (відповідно до Закону України “Про співробітництво територіальних громад”)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3) ФТТ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 та кожному ФТТ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765"/>
        </w:trPr>
        <w:tc>
          <w:tcPr>
            <w:tcW w:w="3686" w:type="dxa"/>
            <w:tcBorders>
              <w:top w:val="single" w:sz="2" w:space="0" w:shadow="0" w:frame="0" w:color="CCCCCC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2. Частка територіальних громад, які мають рівень капітальних видатків місцевих бюджетів нижчий, ніж в середньому по країні</w:t>
            </w:r>
          </w:p>
        </w:tc>
        <w:tc>
          <w:tcPr>
            <w:tcW w:w="108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3) ФТТ</w:t>
            </w:r>
          </w:p>
        </w:tc>
        <w:tc>
          <w:tcPr>
            <w:tcW w:w="1935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зменшення показника у кожній області та кожному ФТТ</w:t>
            </w:r>
          </w:p>
        </w:tc>
        <w:tc>
          <w:tcPr>
            <w:tcW w:w="1609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218"/>
        </w:trPr>
        <w:tc>
          <w:tcPr>
            <w:tcW w:w="9930" w:type="dxa"/>
            <w:gridSpan w:val="5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141"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 ціль 3.3. Відновлення системи публічного управління та надання послуг на деокупованих територіях</w:t>
            </w:r>
          </w:p>
        </w:tc>
      </w:tr>
      <w:tr>
        <w:trPr>
          <w:trHeight w:hRule="atLeast" w:val="76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1. Частка територіальних громад (з числа деокупованих) в яких відновлено місцеве самоврядування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765"/>
        </w:trPr>
        <w:tc>
          <w:tcPr>
            <w:tcW w:w="3686" w:type="dxa"/>
            <w:tcBorders>
              <w:top w:val="single" w:sz="2" w:space="0" w:shadow="0" w:frame="0" w:color="CCCCCC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2. Частка закладів загальної середньої освіти, що відновили свою роботу після деокупації</w:t>
            </w:r>
          </w:p>
        </w:tc>
        <w:tc>
          <w:tcPr>
            <w:tcW w:w="108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МОН</w:t>
            </w:r>
          </w:p>
        </w:tc>
      </w:tr>
      <w:tr>
        <w:trPr>
          <w:trHeight w:hRule="atLeast" w:val="765"/>
        </w:trPr>
        <w:tc>
          <w:tcPr>
            <w:tcW w:w="9930" w:type="dxa"/>
            <w:gridSpan w:val="5"/>
            <w:tcBorders>
              <w:top w:val="nil"/>
              <w:left w:val="single" w:sz="8" w:space="0" w:shadow="0" w:frame="0" w:color="000000"/>
              <w:bottom w:val="single" w:sz="8" w:space="0" w:shadow="0" w:frame="0" w:color="000000"/>
              <w:right w:val="single" w:sz="8" w:space="0" w:shadow="0" w:fram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>
            <w:pPr>
              <w:spacing w:lineRule="auto" w:line="240" w:before="400" w:after="400" w:beforeAutospacing="0" w:afterAutospacing="0"/>
              <w:ind w:left="141" w:right="145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Оперативна ціль 3.4. Наближення системи управління регіональним розвитком до процедур та кращих практик ЄС</w:t>
            </w:r>
          </w:p>
        </w:tc>
      </w:tr>
      <w:tr>
        <w:trPr>
          <w:trHeight w:hRule="atLeast" w:val="765"/>
        </w:trPr>
        <w:tc>
          <w:tcPr>
            <w:tcW w:w="3686" w:type="dxa"/>
            <w:tcBorders>
              <w:top w:val="single" w:sz="2" w:space="0" w:shadow="0" w:frame="0" w:color="000000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1. Частка територіальних громад, які беруть участь в міжнародних партнерствах з муніципалітетами держав-членів ЄС</w:t>
            </w:r>
          </w:p>
        </w:tc>
        <w:tc>
          <w:tcPr>
            <w:tcW w:w="1080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000000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Мінінфраструктури</w:t>
            </w:r>
          </w:p>
        </w:tc>
      </w:tr>
      <w:tr>
        <w:trPr>
          <w:trHeight w:hRule="atLeast" w:val="765"/>
        </w:trPr>
        <w:tc>
          <w:tcPr>
            <w:tcW w:w="3686" w:type="dxa"/>
            <w:tcBorders>
              <w:top w:val="single" w:sz="2" w:space="0" w:shadow="0" w:frame="0" w:color="CCCCCC"/>
              <w:left w:val="single" w:sz="2" w:space="0" w:shadow="0" w:frame="0" w:color="000000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2.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Частка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посадових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осіб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місцевого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самоврядування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які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декларують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знання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принаи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̆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мні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однієі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̈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з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мов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краі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̈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н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ЄС</w:t>
            </w:r>
          </w:p>
        </w:tc>
        <w:tc>
          <w:tcPr>
            <w:tcW w:w="108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%</w:t>
            </w:r>
          </w:p>
        </w:tc>
        <w:tc>
          <w:tcPr>
            <w:tcW w:w="1620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1) Україна</w:t>
            </w:r>
          </w:p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2) регіони</w:t>
            </w:r>
          </w:p>
        </w:tc>
        <w:tc>
          <w:tcPr>
            <w:tcW w:w="1935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тенденція до зростання показника у кожній області</w:t>
            </w:r>
          </w:p>
        </w:tc>
        <w:tc>
          <w:tcPr>
            <w:tcW w:w="1609" w:type="dxa"/>
            <w:tcBorders>
              <w:top w:val="single" w:sz="2" w:space="0" w:shadow="0" w:frame="0" w:color="CCCCCC"/>
              <w:left w:val="single" w:sz="2" w:space="0" w:shadow="0" w:frame="0" w:color="CCCCCC"/>
              <w:bottom w:val="single" w:sz="2" w:space="0" w:shadow="0" w:frame="0" w:color="000000"/>
              <w:right w:val="single" w:sz="2" w:space="0" w:shadow="0" w:fram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 w:val="0"/>
              <w:pBdr>
                <w:top w:val="nil" w:sz="0" w:space="0" w:shadow="0" w:frame="0" w:color="auto"/>
                <w:left w:val="nil" w:sz="0" w:space="0" w:shadow="0" w:frame="0" w:color="auto"/>
                <w:bottom w:val="nil" w:sz="0" w:space="0" w:shadow="0" w:frame="0" w:color="auto"/>
                <w:right w:val="nil" w:sz="0" w:space="0" w:shadow="0" w:frame="0" w:color="auto"/>
                <w:between w:val="nil" w:sz="0" w:space="0" w:shadow="0" w:frame="0" w:color="auto"/>
              </w:pBdr>
              <w:spacing w:lineRule="auto" w:line="276" w:after="0" w:beforeAutospacing="0" w:afterAutospacing="0"/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ru"/>
              </w:rPr>
              <w:t>Мінінфраструктур</w:t>
            </w:r>
            <w:r>
              <w:rPr>
                <w:rFonts w:ascii="Times New Roman" w:hAnsi="Times New Roman"/>
                <w:smallCaps w:val="0"/>
                <w:color w:val="000000"/>
                <w:sz w:val="16"/>
                <w:szCs w:val="22"/>
                <w:cs w:val="0"/>
                <w:spacing w:val="0"/>
                <w:w w:val="100"/>
                <w:position w:val="0"/>
                <w:snapToGrid w:val="1"/>
                <w:lang w:val="ru"/>
              </w:rPr>
              <w:t>и</w:t>
            </w:r>
          </w:p>
        </w:tc>
      </w:tr>
    </w:tbl>
    <w:p>
      <w:pPr>
        <w:spacing w:lineRule="auto" w:line="240" w:before="240" w:after="240" w:beforeAutospacing="0" w:afterAutospacing="0"/>
        <w:ind w:right="-749"/>
        <w:rPr>
          <w:rFonts w:ascii="Times New Roman" w:hAnsi="Times New Roman"/>
          <w:color w:val="000000"/>
          <w:sz w:val="16"/>
          <w:szCs w:val="16"/>
          <w:lang w:val="ru"/>
        </w:rPr>
      </w:pPr>
    </w:p>
    <w:p>
      <w:pPr>
        <w:spacing w:lineRule="auto" w:line="240" w:before="240" w:after="240" w:beforeAutospacing="0" w:afterAutospacing="0"/>
        <w:ind w:left="-708" w:right="-749"/>
        <w:jc w:val="center"/>
        <w:rPr>
          <w:lang w:val="ru-RU"/>
        </w:rPr>
      </w:pPr>
      <w:r>
        <w:rPr>
          <w:rFonts w:ascii="Times New Roman" w:hAnsi="Times New Roman"/>
          <w:color w:val="000000"/>
          <w:sz w:val="16"/>
          <w:szCs w:val="16"/>
          <w:lang w:val="ru"/>
        </w:rPr>
        <w:t>__________________________________________</w:t>
      </w:r>
    </w:p>
    <w:sectPr>
      <w:headerReference xmlns:r="http://schemas.openxmlformats.org/officeDocument/2006/relationships" w:type="first" r:id="RelHdr1"/>
      <w:headerReference xmlns:r="http://schemas.openxmlformats.org/officeDocument/2006/relationships" w:type="default" r:id="RelHdr2"/>
      <w:headerReference xmlns:r="http://schemas.openxmlformats.org/officeDocument/2006/relationships" w:type="even" r:id="RelHdr3"/>
      <w:footerReference xmlns:r="http://schemas.openxmlformats.org/officeDocument/2006/relationships" w:type="default" r:id="RelFtr1"/>
      <w:footnotePr/>
      <w:endnotePr/>
      <w:type w:val="nextPage"/>
      <w:pgSz w:w="11909" w:h="16834" w:code="0"/>
      <w:pgMar w:left="1417" w:right="569" w:top="993" w:bottom="851" w:header="720" w:footer="720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noProof w:val="1"/>
        <w:lang w:val="uk-UA"/>
      </w:rPr>
      <w:t>#</w:t>
    </w:r>
    <w:r>
      <w:fldChar w:fldCharType="end"/>
    </w:r>
  </w:p>
  <w:p>
    <w:pPr>
      <w:pStyle w:val="P2"/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</w:footnotes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jc w:val="center"/>
    </w:pPr>
  </w:p>
  <w:p>
    <w:pPr>
      <w:pStyle w:val="P1"/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 xml:space="preserve">                             </w:t>
    </w:r>
  </w:p>
  <w:p>
    <w:pPr>
      <w:pStyle w:val="P1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  Продовження </w:t>
    </w:r>
    <w:r>
      <w:rPr>
        <w:rFonts w:ascii="Times New Roman" w:hAnsi="Times New Roman"/>
        <w:smallCaps w:val="0"/>
        <w:sz w:val="28"/>
        <w:szCs w:val="22"/>
        <w:cs w:val="0"/>
        <w:spacing w:val="0"/>
        <w:w w:val="100"/>
        <w:position w:val="0"/>
        <w:snapToGrid w:val="1"/>
      </w:rPr>
      <w:t>д</w:t>
    </w:r>
    <w:r>
      <w:rPr>
        <w:rFonts w:ascii="Times New Roman" w:hAnsi="Times New Roman"/>
        <w:sz w:val="28"/>
        <w:szCs w:val="28"/>
      </w:rPr>
      <w:t>одатка 3</w:t>
    </w:r>
  </w:p>
  <w:p>
    <w:pPr>
      <w:pStyle w:val="P1"/>
      <w:jc w:val="right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"/>
      <w:jc w:val="center"/>
      <w:rPr>
        <w:lang w:val="ru-RU"/>
      </w:rPr>
    </w:pPr>
    <w:r>
      <w:rPr>
        <w:lang w:val="ru-RU"/>
      </w:rPr>
      <w:t>8</w:t>
    </w:r>
  </w:p>
  <w:p>
    <w:pPr>
      <w:pStyle w:val="P1"/>
      <w:jc w:val="right"/>
      <w:rPr>
        <w:rFonts w:ascii="Times New Roman" w:hAnsi="Times New Roman"/>
        <w:sz w:val="28"/>
        <w:szCs w:val="28"/>
        <w:lang w:val="ru-RU"/>
      </w:rPr>
    </w:pPr>
    <w:r>
      <w:rPr>
        <w:lang w:val="ru-RU"/>
      </w:rPr>
      <w:t xml:space="preserve">  </w:t>
    </w:r>
    <w:r>
      <w:rPr>
        <w:rFonts w:ascii="Times New Roman" w:hAnsi="Times New Roman"/>
        <w:sz w:val="28"/>
        <w:szCs w:val="28"/>
        <w:lang w:val="ru-RU"/>
      </w:rPr>
      <w:t>Продовження Додатка 3</w:t>
    </w:r>
  </w:p>
  <w:p>
    <w:pPr>
      <w:pStyle w:val="P1"/>
      <w:jc w:val="right"/>
      <w:rPr>
        <w:rFonts w:ascii="Times New Roman" w:hAnsi="Times New Roman"/>
        <w:sz w:val="28"/>
        <w:szCs w:val="28"/>
        <w:lang w:val="ru-RU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844" w:leader="none"/>
        <w:tab w:val="right" w:pos="9689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844" w:leader="none"/>
        <w:tab w:val="right" w:pos="9689" w:leader="none"/>
      </w:tabs>
      <w:spacing w:lineRule="auto" w:line="240" w:after="0" w:beforeAutospacing="0" w:afterAutospacing="0"/>
    </w:pPr>
    <w:rPr/>
  </w:style>
  <w:style w:type="paragraph" w:styleId="P3">
    <w:name w:val="footnote text"/>
    <w:link w:val="C6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4">
    <w:name w:val="end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link w:val="P1"/>
    <w:rPr/>
  </w:style>
  <w:style w:type="character" w:styleId="C4">
    <w:name w:val="Нижній колонтитул Знак"/>
    <w:basedOn w:val="C0"/>
    <w:link w:val="P2"/>
    <w:rPr/>
  </w:style>
  <w:style w:type="character" w:styleId="C5">
    <w:name w:val="footnote reference"/>
    <w:semiHidden/>
    <w:rPr>
      <w:vertAlign w:val="superscript"/>
    </w:rPr>
  </w:style>
  <w:style w:type="character" w:styleId="C6">
    <w:name w:val="Footnote Text Char"/>
    <w:link w:val="P3"/>
    <w:semiHidden/>
    <w:rPr>
      <w:sz w:val="20"/>
      <w:szCs w:val="20"/>
    </w:rPr>
  </w:style>
  <w:style w:type="character" w:styleId="C7">
    <w:name w:val="endnote reference"/>
    <w:semiHidden/>
    <w:rPr>
      <w:vertAlign w:val="superscript"/>
    </w:rPr>
  </w:style>
  <w:style w:type="character" w:styleId="C8">
    <w:name w:val="Endnote Text Char"/>
    <w:link w:val="P4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_rels/header3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Хомич Олена Сергіївна</dc:creator>
  <dcterms:created xsi:type="dcterms:W3CDTF">2023-12-04T13:32:00Z</dcterms:created>
  <cp:lastModifiedBy>askod</cp:lastModifiedBy>
  <dcterms:modified xsi:type="dcterms:W3CDTF">2023-12-04T16:15:39Z</dcterms:modified>
  <cp:revision>7</cp:revision>
</cp:coreProperties>
</file>