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Додаток 2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До Стратегії </w:t>
      </w:r>
    </w:p>
    <w:p w:rsidR="002C7984" w:rsidRDefault="00323B1E">
      <w:pPr>
        <w:spacing w:after="12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ru"/>
        </w:rPr>
      </w:pPr>
      <w:bookmarkStart w:id="0" w:name="_ui3pfz5ogj4"/>
      <w:bookmarkEnd w:id="0"/>
      <w:r>
        <w:rPr>
          <w:rFonts w:ascii="Times New Roman" w:hAnsi="Times New Roman"/>
          <w:b/>
          <w:color w:val="000000"/>
          <w:sz w:val="28"/>
          <w:szCs w:val="28"/>
          <w:lang w:val="ru"/>
        </w:rPr>
        <w:t>Оперативні цілі та основні завдання, що забезпечують досягнення стратегічних цілей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"/>
        </w:rPr>
        <w:t xml:space="preserve">Стратегічна ціль І. Формування згуртованої держави в соціальному, гуманітарному, економічному, кліматичному, екологічному, безпековому та </w:t>
      </w:r>
      <w:r>
        <w:rPr>
          <w:rFonts w:ascii="Times New Roman" w:hAnsi="Times New Roman"/>
          <w:b/>
          <w:color w:val="000000"/>
          <w:sz w:val="28"/>
          <w:szCs w:val="28"/>
          <w:lang w:val="ru"/>
        </w:rPr>
        <w:t>просторовому вимірах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"/>
        </w:rPr>
        <w:t>Оперативна ціль 1.1. Відновлення інфраструктури, економічної активності та балансу екосистем, створення безпекових умов життєдіяльності на територіях відновлення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1.1.1. Розроблення стратегічних та планувальних документів для відновленн</w:t>
      </w:r>
      <w:r>
        <w:rPr>
          <w:rFonts w:ascii="Times New Roman" w:hAnsi="Times New Roman"/>
          <w:color w:val="000000"/>
          <w:sz w:val="28"/>
          <w:szCs w:val="28"/>
          <w:lang w:val="ru"/>
        </w:rPr>
        <w:t>я та розвитку на місцевому та регіональному рівнях, зокрема із врахуванням заходів щодо відновлення (збереження) балансу екосистем та адаптації до зміни клімату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1.1.2. Здійснення першочергових заходів щодо ст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ворення (відновлення) умов щодо безпеки життєді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яльності в територіальних громадах, віднесених до територій відновлення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1.1.3. Відновлення інфраструктури, знищеної внаслідок збройної агресії російської федерації, з урахуванням сучасних підходів до пріоритезації проєктів, за принципом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краще, ніж було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»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(build back better)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1.1.4. Створення умов для </w:t>
      </w:r>
      <w:hyperlink r:id="rId6" w:anchor="n10">
        <w:r>
          <w:rPr>
            <w:rFonts w:ascii="Times New Roman" w:hAnsi="Times New Roman"/>
            <w:color w:val="000000"/>
            <w:sz w:val="28"/>
            <w:szCs w:val="28"/>
            <w:highlight w:val="white"/>
            <w:lang w:val="ru"/>
          </w:rPr>
          <w:t>поводження з відходами, що утворились у зв’язку з пошкодженням (руйнуванням) будівель та споруд внаслідок бойових дій, терористи</w:t>
        </w:r>
        <w:r>
          <w:rPr>
            <w:rFonts w:ascii="Times New Roman" w:hAnsi="Times New Roman"/>
            <w:color w:val="000000"/>
            <w:sz w:val="28"/>
            <w:szCs w:val="28"/>
            <w:highlight w:val="white"/>
            <w:lang w:val="ru"/>
          </w:rPr>
          <w:t>чних актів, диверсій або проведенням робіт з ліквідації їх наслідків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за підходами циркулярної економіки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1.1.5. Сприяння відновленню житлових умов, в тому числі через надання компенсацій для відновлення окремих категорій об’єктів нерухомого майна, пошкодже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єВідновлення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».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1.1.6. Створення умов для відновлення та стимулювання економічної активності в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територіальних громадах, віднесених до територій відновлення.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1.1.7. Створення умов для пришвидшення процесу нетехнічного та технічного обстеження територій, гуманітарного розмінування та знешкодження 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highlight w:val="white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одатка 2</w:t>
      </w:r>
    </w:p>
    <w:p w:rsidR="002C7984" w:rsidRDefault="00323B1E">
      <w:pPr>
        <w:spacing w:before="240" w:after="24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вибухонебезпечних предметів, шля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хом збільшення кількості залучених субʼєктів.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1.1.8.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  <w:lang w:val="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Сприяння залученню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  <w:lang w:val="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коштів міжнародної технічної допомоги та міжнародних фінансових організацій для реалізації проєктів відновлення в територіальних громадах, віднесених до територій відновлення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"/>
        </w:rPr>
        <w:t>Оператив</w:t>
      </w:r>
      <w:r>
        <w:rPr>
          <w:rFonts w:ascii="Times New Roman" w:hAnsi="Times New Roman"/>
          <w:b/>
          <w:color w:val="000000"/>
          <w:sz w:val="28"/>
          <w:szCs w:val="28"/>
          <w:lang w:val="ru"/>
        </w:rPr>
        <w:t>на ціль 1.2. Підтримка та ефективне використання потенціалу територій з особливими умовами для розвитку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 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Протидія кризам на територіях з низьким рівнем соціально-економічного розвитку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1.2.1. Розвиток транспортної, цифрової, виробничої, логістичної та соціальної інфраструктури з урахуванням потреб різних груп населення, прогнозу демографічних змін та споживання 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1.2.2.  Сприяння реалізації відповідних позадержавних проєктів та програм пі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дтримки щодо здійснення заходів стосовно професійного навчання/перенавчання, підтримки зайнятості і самозайнятості населення, створення нових робочих місць. 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1.2.3.  Стимулювання та створення умов для осіб працездатного віку до постійного проживання осіб (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зокрема ВПО) в територіальні громади з низьким рівнем соціально-економічного розвитку.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Забезпечення стійкості та обороноздатності на територіях з міжнародними, безпековими обмеженнями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1.2.4. Вжиття заходів для підвищення доступності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населення до фонду захисних споруд цивільного захисту з урахуванням принципів інклюзивності та безбар'єрності.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1.2.5. Здійснення заходів щодо проведення навчань з питань безпеки та підготовки мешканців територіальних громад до участі в русі національного с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противу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1.2.6. Визначення стратегічних орієнтирів та створення умов для послідовної зміни структури економіки, забезпечення стійкості та обороноздатності на територіях з безпековими обмеженнями.</w:t>
      </w:r>
    </w:p>
    <w:p w:rsidR="006D2BE1" w:rsidRDefault="006D2BE1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lang w:val="ru"/>
        </w:rPr>
        <w:lastRenderedPageBreak/>
        <w:t>П</w:t>
      </w: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1.2.7. Формування системи стимулів для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залучення інвестицій, в тому числі створення пільгових умов інвесторам, що здійснюють інвестиційну діяльність у найбільш важливих для задоволення суспільних потреб напрямах, створенні нових робочих місць для мешканців.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1.2.8. Забезпечення надання правової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та гуманітарної допомоги (із залученням міжнародної допомоги), зокрема надання медичних та соціальних послуг, в тому числі шляхом створення мобільних аптечних пунктів, мобільних пунктів підтримки, мобільних пунктів обігріву тощо. 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1.2.9. Забезпечення можл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ивості отримання адміністративних послуг та послуг у сфері соціального захисту через онлайн-сервіси громадянами України, які проживають на тимчасово окупованій території та у населених пунктах, що розташовані на лінії розмежування.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1.2.10. Забезпечення реа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лізації права громадян України, які проживають на тимчасово окупованій території, у населених пунктах на лінії зіткнення, на здобуття або продовження здобуття дошкільної, позашкільної, загальної середньої, професійної (професійно-технічної), фахової передв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ищої та вищої освіти за будь-якою формою здобуття освіти, визначеною законодавством.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Стале використання потенціалу територій з природними обмеженнями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</w:t>
      </w:r>
      <w:r>
        <w:rPr>
          <w:rFonts w:ascii="Times New Roman" w:hAnsi="Times New Roman"/>
          <w:color w:val="000000"/>
          <w:sz w:val="28"/>
          <w:szCs w:val="28"/>
          <w:lang w:val="ru"/>
        </w:rPr>
        <w:t>11. Формування стратегічних напрямів відновлення та розвитку Приазовського макр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орегіону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1.2.12. Здійснення заходів щодо відновлення, розвитку та збалансованого використання природоохоронних територій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1.2.13. Стимулювання розвитку економічного середовища та сфери зайнятості населення навколо природоохоронних та заліснених територій,</w:t>
      </w: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 у тому числі визначення економічного механізму їх сталого використання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1.2.14. Створення умов для розвитку рекреаційно-туристичного потенціалу територій, враховуючи наявність природних обмежень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1.2.15. </w:t>
      </w:r>
      <w:r>
        <w:rPr>
          <w:rFonts w:ascii="Times New Roman" w:hAnsi="Times New Roman"/>
          <w:color w:val="000000"/>
          <w:sz w:val="28"/>
          <w:szCs w:val="28"/>
          <w:lang w:val="ru"/>
        </w:rPr>
        <w:t>Створення належної системи управління та відновленн</w:t>
      </w:r>
      <w:r>
        <w:rPr>
          <w:rFonts w:ascii="Times New Roman" w:hAnsi="Times New Roman"/>
          <w:color w:val="000000"/>
          <w:sz w:val="28"/>
          <w:szCs w:val="28"/>
          <w:lang w:val="ru"/>
        </w:rPr>
        <w:t>я прибережних та морських екосистем, сприяння розвитку марикультури (промислового розведення та вирощування морських водних живих ресурсів) у прибережних районах, які не шкодять навколишньому природному середовищу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1.2.16. Забезпеченн</w:t>
      </w: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я доступу населення до питної води та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відновлення об’єктів інженерної інфраструктури меліоративних (зрошувальних) систем в Одеській, Миколаївській, Запорізькій та Херсонській областях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Сталий розвиток гірських територій Українських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Карпат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1.2.17. Визначення пріоритетних напрямів сталого розвитку гірських територій та створення необхідних умов для комплексного розв'язання наявних проблем в економічній сфері шляхом розроблення та реалізації Державної програми розвитку регіону українсь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ких Карпат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1.2.18. Забезпечення екологічної безпеки та сталого розвитку транскордонного Карпатського регіону шляхом створення ефективної системи співпраці держав, регіонів та територіальних громад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1.2.19. Підвищення рівня доступності території Українськи</w:t>
      </w:r>
      <w:r>
        <w:rPr>
          <w:rFonts w:ascii="Times New Roman" w:hAnsi="Times New Roman"/>
          <w:color w:val="000000"/>
          <w:sz w:val="28"/>
          <w:szCs w:val="28"/>
          <w:lang w:val="ru"/>
        </w:rPr>
        <w:t>х Карпат шляхом розвитку транспортної, прикордонної та інформаційно-комунікаційної інфраструктури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1.2.20. Стимулювання підприємництва у традиційних для регіону Українських Карпат видах господарської діяльності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CE5CD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1.2.21.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Сприяння збереженню, відновленню та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популяризації історико-культурної спадщини Українських Карпат, в тому числі нематеріальної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Розвиток територій української частини Дунайського регіону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1.2.22. Урахування у секторальних стратегіях, державних та регіональних програмах </w:t>
      </w:r>
      <w:r>
        <w:rPr>
          <w:rFonts w:ascii="Times New Roman" w:hAnsi="Times New Roman"/>
          <w:color w:val="000000"/>
          <w:sz w:val="28"/>
          <w:szCs w:val="28"/>
          <w:lang w:val="ru"/>
        </w:rPr>
        <w:t>розвитку пріоритетів та цілей Стратегії ЄС для Дунайського регіону з метою забезпечення їх реалізації.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1.2.23. Забезпечення участі представників України в заходах та ініціативах, що здійснюються в рамках Стратегії ЄС для Дунайського регіону, та участі у її</w:t>
      </w: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 координації спільно з державами -учасницями Стратегії.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1.2.24. Створення умов для соціально-економічного та екологічного розвитку територій української частини Дунайського регіону, зокрема, розвитку інфраструктури транспортного сполучення з придунайськими</w:t>
      </w: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 державами та перетину державного кордону, вирішення питання забезпечення якісним водопостачанням та протипаводкового захисту відповідних територій.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1.2.25. Сприяння активній участі України в Програмах ЄС, до яких Україна має доступ, 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з метою сталого розвитку української частини Дунайського регіону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1.2.26. Підтримка розвитку транспортно-логістичного потенціалу морських і річкових портів у Дунайському регіоні, забезпечення їх зв’язку та доступу через інтеграцію всіх видів транспорту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За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Розвиток сільських територій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1.2.27. Створення законодавчих та стратегічних засад для реалізації ефективної державної політики сільського розвитку з урахуванням критеріїв членства у Європейському Союзі та міжнародно-правових зобов’язан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ь України у сфері європейської інтеграції.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1.2.28. Розвиток транспортної доступності сільських населених пунктів до адміністративних центрів територіальних громад та районів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1.2.29. Стимулювання розвитку інформаційно-комунікаційних технологій в сільських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територіях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1.2.30. Підтримка диверсифікації сільської економіки та сприяння розвитку різних форм кооперації, фермерства, інфраструктури для переробки та зберігання сільськогосподарської продукції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1.2.31. Запровадження підтримки інтегрованих проєктів розв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итку сільських територій, обов’язковою складовою яких є забезпечення сільських населених пунктів водопостачанням та водовідведенням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1.2.32. Забезпечення доступу для жителів сільської місцевості, зокрема віддалених населених пунктів, до соціальних та адмін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істративних послуг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Подолання наслідків та відновлення територій техногенних та екологічних катастроф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1.2.33. Визначення стратегічних пріоритетів відновлення та розвитку територій,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які постраждали внаслідок руйнування греблі Каховськ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ої ГЕС</w:t>
      </w:r>
      <w:r>
        <w:rPr>
          <w:rFonts w:ascii="Times New Roman" w:hAnsi="Times New Roman"/>
          <w:color w:val="000000"/>
          <w:sz w:val="28"/>
          <w:szCs w:val="28"/>
          <w:lang w:val="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1.2.34. Розроблення системи комплексного моніторингу територій техногенних та екологічних катастроф,визначення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а можливості проживання населення на такій території чи об’єкті, провадження на ній господарської діяльності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6D2BE1" w:rsidRDefault="006D2BE1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1.2.35. Забезпечення соціально-економічного розвитку територій, прилеглих до централізованого сховища відпрацьованого ядерного палива (зокрема, Славутицької, Іванківської та Поліської територіальних громад Київської області)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Економіч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на реструктуризація територіальних громад та регіонів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1.2.36. Визначення стратегічних пріоритетів та механізмів диверсифікації місцевих економік, сталого соціально-економічного розвитку вугільних територіальних громад шляхом розроблення та реалізації Держ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авної цільової програми справедливої трансформації вугільних регіонів України до 2030 року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1.2.37.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Сприяння залученню інвестиційних ресурсів, коштів міжнародної технічної допомоги та міжнародних фінансових організацій для реалізації проєктів економічної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реструктуризації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"/>
        </w:rPr>
        <w:t>Оперативна ціль 1.3. Поширення позитивного впливу регіональних полюсів зростання та територій сталого розвитку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1.3.1. Визначення пріоритетів та механізмів використання потенціалу регіональних полюсів зростання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1.3.2. Сприяння реалізації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спільних проєктів регіональних полюсів зростання та суміжних територіальних громад. </w:t>
      </w:r>
    </w:p>
    <w:p w:rsidR="002C7984" w:rsidRDefault="00323B1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1.3.3. Створення умов для промислового інвестування та розвитку кластерів різної спеціалізації.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1.3.4. Сприяння впровадженню освітніх програм для професійної підготовки, п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ерепідготовки, та підвищення кваліфікації кадрів з урахуванням специфіки та актуальних потреб  місцевих ринків праці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1.3.5. Запровадження стратегічного планування розвитку транспортних систем, систем життєзабезпечення агломерацій, регіональних полюсів зро</w:t>
      </w:r>
      <w:r>
        <w:rPr>
          <w:rFonts w:ascii="Times New Roman" w:hAnsi="Times New Roman"/>
          <w:color w:val="000000"/>
          <w:sz w:val="28"/>
          <w:szCs w:val="28"/>
          <w:lang w:val="ru"/>
        </w:rPr>
        <w:t>стання та суміжних територіальних громад з урахуванням принципів інклюзивності, сталої мобільності та кліматичної нейтральності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1.3.6. Стимулювання реновацій та ефективного використання залишених територій і виробничих об’єктів в регіональних полюсах зрос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тання.</w:t>
      </w:r>
    </w:p>
    <w:p w:rsidR="002C7984" w:rsidRDefault="002C7984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1.3.7. Створення законодавчої основи функціонування та розвитку агломерацій, забезпечення збалансованого просторового розвитку територій, що входять до їх складу.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"/>
        </w:rPr>
        <w:t xml:space="preserve">Оперативна ціль 1.4. Формування згуртованого </w:t>
      </w:r>
      <w:r>
        <w:rPr>
          <w:rFonts w:ascii="Times New Roman" w:hAnsi="Times New Roman"/>
          <w:b/>
          <w:color w:val="000000"/>
          <w:sz w:val="28"/>
          <w:szCs w:val="28"/>
          <w:lang w:val="ru"/>
        </w:rPr>
        <w:t>інформаційно-культурного та соціального простору в межах всієї території України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1.4.1. Удосконалення нормативно-правової бази у сфері міжрегіонального співробітництва для координації зусиль з відновлення та модернізації територіальних громад та регіон</w:t>
      </w:r>
      <w:r>
        <w:rPr>
          <w:rFonts w:ascii="Times New Roman" w:hAnsi="Times New Roman"/>
          <w:color w:val="000000"/>
          <w:sz w:val="28"/>
          <w:szCs w:val="28"/>
          <w:lang w:val="ru"/>
        </w:rPr>
        <w:t>ів.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D0E0E3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1.4.2</w:t>
      </w:r>
      <w:r>
        <w:rPr>
          <w:rFonts w:ascii="Times New Roman" w:hAnsi="Times New Roman"/>
          <w:color w:val="000000"/>
          <w:sz w:val="28"/>
          <w:szCs w:val="28"/>
          <w:lang w:val="ru"/>
        </w:rPr>
        <w:t>. Сприяння розбудові партнерств та обміну досвідом між органами місцевого самоврядування та іншими субʼєктами регіональної політики щодо ефективності управління та інноваційних методів роботи.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1.4.3.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Реалізація на регіональному та місцевому рівні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державної політики у сфері утвердження української національної та громадянської ідентичності, створення умов для національно-патріотичного, військово-патріотичного виховання та громадянської освіти населення на рівні регіонів, територіальних громад, зокре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ма шляхом розроблення та реалізації відповідних програм, створення та розширення мережі відповідних центрів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1.4.4. Зміцнення статусу української мови, сприяння її розвитку та популяризації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1.4.5. Реалізація проєктів і заходів щодо зміцнення соціальної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згуртованості населення на регіональному і міжрегіональному рівнях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Інтеграція внутрішньо переміщених осіб у територіальні громади за місцем їх перебування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 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1.4.6. Зменшення впливу негативних наслідків та здійснення заходів для розв’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язання проблем, пов’язаних з внутрішнім переміщенням, зумовленого збройною агресією російської федерації, шляхом виконання на регіональному та місцевому рівні завдань, визначених Стратегією державної політики щодо внутрішнього переміщення на період до 2025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1.4.7. Створення ефективного та прозорого механізму обліку, розподілу та використання житлових чи інших приміщень, придатних для тимчасового розміщення внутрішньо переміщених осіб, державної та комунальної власності.</w:t>
      </w:r>
    </w:p>
    <w:p w:rsidR="006D2BE1" w:rsidRDefault="006D2BE1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1.4.8.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Створення умов для поетапного розселення внутрішньо переміщених осіб, які проживають в місцях компактного поселення, з урахуванням потреб регіонів у людських ресурсах, а також особливостей потреб окремих категорій осіб (осіб з інвалідністю, багатодітних сі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мей, літніх людей, представників національних меншин тощо) та принципу єдності родин.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1.4.9. Розробка та впровадження місцевих програм з адаптації та інтеграції внутрішньо переміщених осіб до соціального та економічного середовища на території їх проживанн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Посилення соціальної захищеності ветеранів війни та членів їх сімей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1.4.10. Створення умов на місцевому та регіональному рівні для ефективної реадаптації та соціально-економічної реінтеграції ветерані війни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1.4.11. Сприяння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реалізації кредитно-фінансових механізмів для забезпечення ветеранів війни та членів їх сімей постійним та доступним житлом з пільговими умовами фінансування будівництва та придбання житла.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1.4.12. Створення умов для підготовки, перепідготовки, підвищення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кваліфікації та професійного розвитку ветеранів війни та членів їх сімей з урахуванням потреб ринку праці.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1.4.13. Стимулювання розвитку підприємницької ініціативи серед ветеранів війни та членів їх сімей.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Розвиток внутрішнього туризм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у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1.4.14. Забезпечення розробки регіональних та місцевих програм розвитку та використання рекреаційно-туристичного потенціалу територій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1.4.15. Створення сприятливих умов для залучення інвестицій у розбудову туристичної інфраструктури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1.4.16. Сприяння н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алежному облаштуванню туристичних маршрутів та об’єктів туристичних відвідувань, їх цифровізації, створенню комфортних і безпечних умов для туристів (відпочивальників).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1.4.17. Сприяння формуванню локальних туристичних брендів та популяризації туристичного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потенціалу регіонів та територіальних громад, у тому числі з використанням цифрових технологій.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1.4.18. Створення єдиного туристичного порталу України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Збереження та ефективне використання економічного потенціалу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 культурної спадщини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1.4.19. Сприяння відновленню об’єктів культурної спадщини в регіонах та територіальних громадах, знищених чи пошкоджених внаслідок збройної агресії російської федерації проти України.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1.4.20. Активізація роботи з номінування об’єктів,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цінність яких є унікальною та які потенційно можуть належати до всесвітньої спадщини ЮНЕСКО.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1.4.21. Сприяння залученню коштів міжнародної технічної допомоги та міжнародних організацій з метою забезпечення охорони культурної спадщини.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"/>
        </w:rPr>
        <w:t>Стратегічна ціль II.</w:t>
      </w:r>
      <w:r>
        <w:rPr>
          <w:rFonts w:ascii="Times New Roman" w:hAnsi="Times New Roman"/>
          <w:b/>
          <w:color w:val="000000"/>
          <w:sz w:val="28"/>
          <w:szCs w:val="28"/>
          <w:lang w:val="ru"/>
        </w:rPr>
        <w:t xml:space="preserve"> Підвищення рівня конкурентоспроможності регіонів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"/>
        </w:rPr>
        <w:t>Оперативна ціль 2.1. Створення умов для відновлення та розвитку людського капіталу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Уповільнення динаміки демографічних втрат в територіальних громадах та регіонах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2.1.1. Розроблення у</w:t>
      </w: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 співпраці з міжнародними організаціями та органами державної влади інших країн заходів із повернення громадян України з-за кордону на територію України, а також їх швидкої інтеграції в освітній, медичний, соціальний простір, регіональні та місцеві ринки п</w:t>
      </w:r>
      <w:r>
        <w:rPr>
          <w:rFonts w:ascii="Times New Roman" w:hAnsi="Times New Roman"/>
          <w:color w:val="000000"/>
          <w:sz w:val="28"/>
          <w:szCs w:val="28"/>
          <w:lang w:val="ru"/>
        </w:rPr>
        <w:t>раці.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2.1.2. Здійснення комплексної оцінки реальної чисельності та структури населення, з урахуванням міграційних процесів та внутрішнього переміщення осіб з початку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збройної агресії російської федерації проти України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2.1.3. Врахування в регіональних </w:t>
      </w:r>
      <w:r>
        <w:rPr>
          <w:rFonts w:ascii="Times New Roman" w:hAnsi="Times New Roman"/>
          <w:color w:val="000000"/>
          <w:sz w:val="28"/>
          <w:szCs w:val="28"/>
          <w:lang w:val="ru"/>
        </w:rPr>
        <w:t>стратегіях заходів щодо протидії демографічним втратам в територіальних громадах, де є висока смертність, низький рівень народжуваності та скорочення населення за рахунок міграції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2C7984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Створення безперешкодного життєвого середовища та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забезпечення рівних можливостей для розвитку всіх груп населення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2.1.4. Створення безбарʼєрного середовища для всіх груп населення в регіонах та територіальних громадах, забезпечення   рівних можливостей кожній людині реалізовувати с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вої права, отримувати послуги на рівні з іншими шляхом реалізації заходів Національної стратегії із створення безбар’єрного простору в Україні на період до 2030 року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2.1.5. Створення умов на регіональному та місцевому рівнях для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досягнення рівних прав та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рівних можливостей жінок і чоловіків у всіх сферах життя суспільства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2.1.6. Посилення заходів щодо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запобігання та протидії домашньому насильству та у сфері запобігання та протидії насильству за ознакою статі, медико-соціальної реабілітації постраждалих ос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іб шляхом </w:t>
      </w:r>
      <w:r>
        <w:rPr>
          <w:rFonts w:ascii="Times New Roman" w:hAnsi="Times New Roman"/>
          <w:color w:val="000000"/>
          <w:sz w:val="28"/>
          <w:szCs w:val="28"/>
          <w:lang w:val="ru"/>
        </w:rPr>
        <w:t>шляхом координації зусиль усіх заінтересованих сторін на національному, регіональному та місцевому рівнях.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Підвищення якості та конкурентоспроможності вищої, фахової передвищої та професійної (професійно-технічної) освіти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2.1.7. Сприяння розвитку мережі закладів професійної (професійно-технічної) освіти у відповідності до потреб регіональних та міжрегіональних ринків праці.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2.1.8. Створення механізмів стимулювання участі представників бізнесу в оновлені матеріально-технічно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ї і навчально-виробничої бази закладів вищої, фахової передвищої та професійно-технічної освіти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2.1.9. Поширення ефективних профорієнтаційних заходів у закладах загальної середньої освіти та соціальної реклами для популяризації робітничих професій, підвищ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ення престижності професійної (професійно-технічної) освіти серед різних груп населення, зокрема жінок.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2.1.10. Сприяння </w:t>
      </w: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здобуттю професійної підготовки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за дуальною формою навчання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2.1.11. Створення рівних можливостей для особистісного та професійного ро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звитку особи впродовж життя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Завдання за напрямом “Розвиток загальної середньої, дошкільної та позашкільної освіти”</w:t>
      </w:r>
    </w:p>
    <w:p w:rsidR="002C7984" w:rsidRDefault="002C7984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2.1.12. Сприяння створенню оптимальної мережі закладів загальної середньої освіти з урахуванням демографічних прогно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зів, яка забезпечить здобуття третього рівня повної загальної середньої освіти. 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2.1.13. Підвищення матеріально-технічної бази навчальних закладів, забезпечення якості освітніх послуг, зокрема у сільській місцевості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2.1.14. Удосконалення механізмів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розвитку кадрового потенціалу у сфері освіти на регіональному і місцевому рівнях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2.1.15. Забезпечення функціонування оптимальної мережі різних типів надавачів освітніх послуг для дітей раннього і дошкільного віку у безпечних умовах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2.1.16. Сприяння розви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тку позашкільної освіти відповідно до вільного, різнобічного розвитку особистості, інтелектуальних і творчих здібностей, фізичних якостей  вихованців, учнів і слухачів  і принципу гендерної рівност</w:t>
      </w:r>
      <w:r>
        <w:rPr>
          <w:rFonts w:ascii="Times New Roman" w:hAnsi="Times New Roman"/>
          <w:color w:val="000000"/>
          <w:sz w:val="28"/>
          <w:szCs w:val="28"/>
          <w:lang w:val="ru"/>
        </w:rPr>
        <w:t>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2.1.17. Забезпечення доступності, розумного пристосуванн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я та універсального дизайну для задоволення освітніх потреб дітей з особливими освітніми потребами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Формування доступної та спроможної мережі закладів охорони здоров'я для надання якісних медичних послуг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2.1.18. Забезпечення функціон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ування спроможної системи громадського здоров’я в регіонах та територіальних громадах.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2.1.19. Створення умов для профілактики інфекційних та неінфекційних хвороб, забезпечення імунізації населення відповідно до календаря профілактичних щеплень в територіа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льних громадах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2.1.20. Створення Єдиного порталу вакантних посад у державних та комунальних закладах охорони здоров’я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red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2.1.21. Забезпечення </w:t>
      </w:r>
      <w:hyperlink r:id="rId7">
        <w:r>
          <w:rPr>
            <w:rFonts w:ascii="Times New Roman" w:hAnsi="Times New Roman"/>
            <w:color w:val="000000"/>
            <w:sz w:val="28"/>
            <w:szCs w:val="28"/>
            <w:highlight w:val="white"/>
            <w:lang w:val="ru"/>
          </w:rPr>
          <w:t xml:space="preserve">доступу до необхідних медичних послуг, лікарських засобів та медичних виробів за програмою медичних гарантій на основі </w:t>
        </w:r>
      </w:hyperlink>
      <w:hyperlink r:id="rId8">
        <w:r>
          <w:rPr>
            <w:rFonts w:ascii="Times New Roman" w:hAnsi="Times New Roman"/>
            <w:color w:val="000000"/>
            <w:sz w:val="28"/>
            <w:szCs w:val="28"/>
            <w:highlight w:val="white"/>
            <w:lang w:val="ru"/>
          </w:rPr>
          <w:t xml:space="preserve"> аналізу і прогнозування потреб населення України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2.1.22. Організація спроможної кластерних та надкластерних закладів охорони здоров’я (в т.ч. зі створенням реабілітаційних відділень)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2.1.23. Покращення доступності до послуг з охорони психічного здоров’я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Формування здорової нації та створення належних умов для розвитку системи закладів фізичної культури і спорту, у тому числі для осіб з інвалідністю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2.1.24. Забезпечення розвитку фізичної культури та спорту на рівні територіальних громад, зокрема шляхом ро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зширення мережі закладів та створення інклюзивної спортивної інфраструктури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2.1.25. Створення умов для залучення осіб та дітей з інвалідністю, у тому числі тих тих, отримали її внаслідок збройної агресії рф, до занять фізичною культурою, спортом та фізкул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ьтурно-спортивною реабілітацією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Формування всебічно розвиненого молодого покоління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2.1.26. Створення умов для розвитку та успішної самореалізації молоді, в тому числі шляхом реалізації в регіонах та територіальних громадах Національ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ної молодіжної стратегії до 2030 року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2.1.27. Сприяння розвитку громадянської освіти та підвищення рівня соціальної інтеграції молоді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2.1.28. Сприяння розвитку молодіжних центрів та забезпечення якості послуг, що ними надаються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"/>
        </w:rPr>
        <w:t>Оперативна ціль 2.2. Відн</w:t>
      </w:r>
      <w:r>
        <w:rPr>
          <w:rFonts w:ascii="Times New Roman" w:hAnsi="Times New Roman"/>
          <w:b/>
          <w:color w:val="000000"/>
          <w:sz w:val="28"/>
          <w:szCs w:val="28"/>
          <w:lang w:val="ru"/>
        </w:rPr>
        <w:t>овлення та стимулювання розвитку регіональних та місцевих економік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2.2.1. Стимулювання підприємницької активності в регіонах, шляхом стимулювання внутрішньо переміщених осіб працездатного віку, ветеранів, безробітних осіб до працевлаштування, заснування вл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асного бізнесу. 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2.2.2. Підвищення інвестиційної привабливості територій, підтримка залучення інвестицій, популяризація інвестиційних можливостей регіонів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2.2.3. Сприяння використанню інструментів страхування інвестицій від ризиків, що можуть бути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спричинені збройною агресією рф, бойовими діями та/або тероризмом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2.2.4. Стимулювання створення та діяльності індустріальних парків та підприємств оборонного-промислового комплексу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2C7984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2.2.5. Створення умов для відновлення та розвитку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експортного потенціалу регіонів з урахуванням унікальних компетенцій та ресурсів, а також необхідності розвитку технологій та ланцюгів виробництва, що підтримують перехід до кліматично нейтральної економіки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2.2.6. Підтримка реалізації економічних проектів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у ключових секторах - енергетика, переробка аграрної продукції, транспорт та експортна логістика, виробництво критичних матеріалів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2.2.7. Сприяння діяльності виробників крафтової та локальної продукції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2.2.8. Покращення доступу населення до ринків праці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через підвищення трудової мобільності та адаптації до місцевих потреб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strike/>
          <w:color w:val="000000"/>
          <w:sz w:val="28"/>
          <w:szCs w:val="28"/>
          <w:lang w:val="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"/>
        </w:rPr>
        <w:t>Оперативна ціль 2.3. Розвиток сталої, інклюзивної та стійкої до безпекових загроз інфраструктури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lang w:val="ru"/>
        </w:rPr>
        <w:t>Транспортно-логістична інфраструктура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2.3.1. Розбудова якісних 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автомобільних доріг загального користування державного значення відповідно до завдань, визначених Національною транспортною стратегією України на період до 2030 року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2.3.2. Відновлення та розбудова мережі якісних автомобільних доріг загального 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користування місцевого значення.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2.3.3. Підвищення ролі сталих видів громадського транспорту та велосипедної інфраструктури.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2.3.4.  Забезпечення доступу різних груп населення до публічних послуг.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2.3.5. Створення умов для відновлення та розвитку системи е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кспортної логістики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2.3.6. Створення умов для відновлення та розвитку авіаційного транспорту, зокрема реалізації стратегічних проектів в авіації, модернізації та розвитку інфраструктури аеропортів, в тому числі регіональних аеропортів (через 6 місяців піс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ля завершення воєнного стану)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2.3.7. Сприяння розвитку транспортної та прикордонної інфраструктури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Енергетична інфраструктура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2.3.8. Забезпечення енергетичної стійкості територіальних громад та регіонів шляхом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сприяння розвитку розподіленої генерації електричної енергії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2.3.9. Сприяння розвитку генерації електричної енергії з відновлюваних джерел та застосування установок зберігання енергії, в системах централізованого водопостачання та водовідведення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2.3.10.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Стимулювання розвитку енергетичних (в тому числі біоенергетичних) кластерів та виробництва біогазу на базі потужностей з очистки стічних вод та осаду.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2.3.11. Забезпечення місцевого енергетичного планування шляхом розроблення та впровадження муніципальних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і регіональних енергетичних планів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2.3.12. Створення умов для впровадження систем енергетичного менеджменту в органах місцевого самоврядування, комунальних підприємствах та систем енергомоніторингу громадських і житлових будівель.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2.3.13. Сприяння модерн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ізації, підвищенню ефективності, адаптивності та декарбонізації систем централізованого теплопостачання в тому числі через розвиток когенерації, генерації на альтернативному паливі із використанням місцевих енергетичних ресурсів та генерації з використання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м геотермальної енергії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2.3.14. Створення умов для термомодернізації будівель, енергоефективної відбудови пошкоджених будівель та підвищення енергоефективності, в тому числі будівель державної та комунальної власності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2.3.15. Сприяння розвитку інструмент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ів енергосервісу у модернізації об’єктів житлово-комунального господарства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Житлово-комунальна інфраструктура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2.3.16. Удосконалення законодавчої та нормативно-правової бази з метою впровадження нових підходів до забезпечення осіб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житлом на основі міжнародних стандартів з урахуванням кращих практик та досвіду країн ЄС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2.3.17. Забезпечення доступності житла з безпечними, комфортними умовами проживання, особливо для соціальної підтримки вразливих верств населення.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2.3.18. Впровадження сучасних практик містопланування та містобудування для створення інклюзивних та привабливих населених пунктів на основі принципів збалансованого розвитку, інтегрованого планування відповідно до New European Bauhaus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2.3.19. Створе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ння умов щодо розвитку системи самоорганізації споживачів житлово-комунальних послуг об’єднань співвласників багатоквартирних будинків.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2.3.20. Забезпечення державної та муніципальної фінансової підтримки населення щодо термомодернізації будівель житлового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фонду, енергоефективної відбудови пошкоджених будівель та здійснення енергоефективних заходів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2.3.21. Створення умов для структурної модернізації сфери управління побутовими відходами шляхом розвитку роздільного збирання, рециклінгу та повторного викорис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тання побутових відходів за принципами циркулярної економіки.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2.3.22. Забезпечення запровадження комплексу заходів з розвитку, санації та ревіталізації систем централізованого водопостачання та централізованого водовідведення, забезпечення доступності якіс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них послуг у цій сфері, зокрема шляхом будівництва нових систем з використанням новітніх технологій, реконструкції існуючих з урахуванням потреб територіальних громад.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2.3.23. Розробка та схвалення комплексу нормативно-правових актів, спрямованих на стимул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ювання ефективного очищення, транспортування та повторного використання стічних вод та осаду стічних вод.     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ab/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Соціальна інфраструктура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2.3.24. Формування системи надання соціальних послуг відповідно до потреб населення, шляхом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модернізації існуючих і запровадження нових видів соціальних послуг з урахуванням гендерних особливостей, зокрема забезпечення розвитку якісних і доступних послуг з догляду, у тому числі доглядової інфраструктури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2.3.25. Сприяння створенню функціонально т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а організаційно нових моделей закладів культури (центрів культурних послуг, центрів творчості, креативних хабів) для забезпечення діяльності митців, театрально видовищних закладів культури, незалежних театрів, музичних та художніх колективів, ансамблів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>Пр</w:t>
      </w: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2.3.26. Сприяння модернізації та інформатизації бібліотек, запровадженя нових інформаційно-бібліотечних послуг на основі інформаційно-комунікаційних технологій, а також забезпечення цифровізації надання культурних послуг, враховуючи пот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реби та права у сфері культури усіх категорій населення.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2.3.27. Забезпечення формування оптимальної та інклюзивної мережі закладів культури та публічних бібліотек, яка б задовольняла потреби різних груп жінок і чоловіків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Цифрова тра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нсформація та розвиток цифрової інфраструктури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2.3.28.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Забезпечення безперешкодного доступу до високошвидкісного Інтернету всіх населених пунктів (насамперед сільських та малих міст).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3.29.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Забезпечення переведення пріоритетних публічних послуг, у тому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числі відкритих даних та інструментів електронної демократії, в електронну форму.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2.3.30. Підвищення рівня цифрової грамотності населення, зокрема шляхом реалізації проєкту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Дія. Цифрова освіта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»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2.3.31. Забезпечення доступності для осіб з інвалідністю з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порушенням зору, слуху та мовлення офіційних веб-сайтів, реєстрів і електронних послуг, доступ до яких забезпечується через Інтернет, органів виконавчої влади та органів місцевого самоврядування, заснованих ними підприємств, установ та організацій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Завданн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Інфраструктура безпеки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2.3.32. Сприяння розвитку системи централізованого оповіщення та збільшенню фонду захисних споруд цивільного захисту (зокрема, в закладах освіти, охорони здоров'я та соціального захисту) з урахуванням принципів інклюз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ивності та безбарʼєрності.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2.3.33. Сприяння утворенню у територіальних громадах центрів безпеки як інтегрованих структур з єдиною комунікацією відповідно до актів законодавства у сфері захисту населення і територій від пожеж та надзвичайних ситуацій, забез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печення громадського порядку, охорони здоров’я населення (з пожежно-рятувальними підрозділами, поліцейськими станціями та бригадами екстреної (швидкої) медичної допомоги)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2.3.34. Створення (відновлення) безпекових умов в територіальн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их громадах шляхом запровадження та реалізації проєкту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Поліцейський офіцер громади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».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2.3.35. Сприяння утворенню та забезпеченню функціонування органами місцевого самоврядування у територіальних громадах пожежно-рятувальних підрозділів місцевої та добровіл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ьної пожежної охорони (у тому числі у складі центрів безпеки)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2.3.36. Врахування під час розробки містобудівної документації інженерно-технічних заходів цивільного захисту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2.3.37. Забезпечення модернізації, технічного переоснащення та приведення у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відповідність до європейських стандартів регіональних систем гідрометеорологічних спостережень і спостережень за забрудненням навколишнього природного середовища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2.3.38. Запровадження та функціонування національної системи стійкості, що передбачає забезпе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чення функціонування безпеки та захищеності об’єктів критичної інфраструктури з урахуванням нових підходів.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Інфраструктура надання адміністративних послуг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2.3.39. Сприяння розбудові мережі центрів надання адміністративних послуг, зок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рема з урахуванням дотримання принципів інклюзії та безбар’єрності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2.3.40. Проведення реінжинірингу публічних послуг та оптимізація процедур отримання адміністративних послуг.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"/>
        </w:rPr>
        <w:t>Оперативна ціль 2.4. Сприяння інноваційному розвитку регіональних економік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2.4.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1. Сприяння реалізації інноваційних проєктів з метою відновлення та розбудови промислового потенціалу з урахуванням  фактора безпеки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2.4.2. Стимулювання економічного відновлення в регіонах на принципах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подвійного переходу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(“зелений” перехід і цифрові тран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сформації).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2.4.3. Сприяння розвитку регіональних систем інноваційної інфраструктури (наукові та технопарки, хаби цифрових інновацій тощо).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2.4.4. Забезпечення оновлення напрямів смарт-спеціалізації регіонів.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2.4.5. Розроблення та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впровадження механізмів підтримки проєктів регіонального розвитку, спрямованих на розвиток пріоритетних видів економічної діяльності, визначених на засадах смарт-спеціалізації та необхідності переходу до кліматично нейтральної економіки.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"/>
        </w:rPr>
        <w:t>Стратегічна ціль I</w:t>
      </w:r>
      <w:r>
        <w:rPr>
          <w:rFonts w:ascii="Times New Roman" w:hAnsi="Times New Roman"/>
          <w:b/>
          <w:color w:val="000000"/>
          <w:sz w:val="28"/>
          <w:szCs w:val="28"/>
          <w:lang w:val="ru"/>
        </w:rPr>
        <w:t>II. Розбудова ефективного багаторівневого врядування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"/>
        </w:rPr>
        <w:t>Оперативна ціль 3.1. Забезпечення стійкості та ефективності публічного управління відповідно до безпекових, демографічних та економічних викликів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3.1.1. Законодавче вдосконалення діяльності органів місце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вого самоврядування та військових адміністрацій в умовах воєнного стану та повоєнного відновлення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3.1.2.</w:t>
      </w:r>
      <w:r>
        <w:rPr>
          <w:rFonts w:ascii="Times New Roman" w:hAnsi="Times New Roman"/>
          <w:b/>
          <w:color w:val="000000"/>
          <w:sz w:val="28"/>
          <w:szCs w:val="28"/>
          <w:lang w:val="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"/>
        </w:rPr>
        <w:t>Р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озмежування повноважень між органами місцевого самоврядування різних рівнів, а також між органами місцевого самоврядування та місцевими органами вико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навчої влади за принципом субсидіарності та на засадах децентралізації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3.1.3. Запровадження системи здійснення нагляду за дотриманням законності актів органів місцевого самоврядування відповідно до принципів, закладених у Європейській хартії місцевого сам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оврядування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3.1.4. Запровадження механізму координації місцевими державними адміністраціями діяльності територіальних підрозділів центральних органів виконавчої влади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3.1.5. Посилення фінансової спроможності органів місцевого самоврядування, створення ум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ов для забезпечення виконання органами місцевого самоврядування власних та делегованих повноважень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3.1.6. Створення умов для ефективної взаємодії органів місцевого самоврядування різних рівнів, спрямованої на комплексний розвиток територій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"/>
        </w:rPr>
        <w:t xml:space="preserve">Оперативна </w:t>
      </w:r>
      <w:r>
        <w:rPr>
          <w:rFonts w:ascii="Times New Roman" w:hAnsi="Times New Roman"/>
          <w:b/>
          <w:color w:val="000000"/>
          <w:sz w:val="28"/>
          <w:szCs w:val="28"/>
          <w:lang w:val="ru"/>
        </w:rPr>
        <w:t>ціль 3.2. Підвищення ефективності та підзвітності публічного інвестування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3.2.1. Удосконалення механізмів підтримки регіонального та місцевого розвитку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3.2.2. Підвищення ефективності та прозорості Державного фонду регіонального розви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тку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3.2.3. Сприяння розвитку співробітництва територіальних громад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3.2.4. Сприяння публічно-приватному партнерству у частині розбудови інфраструктури та розвитку територій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3.2.5. Удосконалення системи місцевих запозичень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Управління проєктами відбудови через екосистему DREAM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3.2.6 Запровадження єдиної екосистеми цифрового відновлення для підзвітного управління Digital Reconstruction Ecosystem for Accountable Management (DREAM) для всіх проєктів відновлення та розвитку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3.2</w:t>
      </w:r>
      <w:r>
        <w:rPr>
          <w:rFonts w:ascii="Times New Roman" w:hAnsi="Times New Roman"/>
          <w:color w:val="000000"/>
          <w:sz w:val="28"/>
          <w:szCs w:val="28"/>
          <w:lang w:val="ru"/>
        </w:rPr>
        <w:t>.7. Впровадження системного підходу до пріоритизації програм та проєктів, заснованого на даних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3.2.8. Формування Реєстру пошкодженого та знищеного майна як єдиної системи обліку, накопичення та зберігання верифікованої інформації про пошкоджене та знищене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майно, зокрема, задля реалізації державної політики компенсації на його основі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"/>
        </w:rPr>
        <w:t>Оперативна ціль 3.3. Відновлення системи публічного управління та надання послуг на деокупованих територіях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3.3.1. Формування кадрового резерву працівників для організації упр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авління та надання базових послуг на деокупованих територіях.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3.3.2. Відновлення системи державного управління на деокупованих територіях та забезпечення її стійкості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3.3.3. Відновлення базових муніципальних та адміністративних послуг на деокупованих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територіях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3.3.4. Здійснення першочергових заходів щодо економічної та соціальної адаптації та реабілітації громадян на деокупованих територіях.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3.3.5. Створення умов для інтеграції деокупованих територій в єдиний український інформаційний простір, блокув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ання інформаційного впливу рф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3.3.6. Забезпечення подолання наслідків </w:t>
      </w: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ідеології мілітаризації держави-агресора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на всі сфери життя людини на деокупованих територій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3.3.7. Запровадження системи ментальної реінтеграції та психологічної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підтримки жителів деокупованих територій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"/>
        </w:rPr>
        <w:t>Оперативна ціль 3.4. Наближення системи управління регіональним розвитком до процедур та кращих практик ЄС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3.4.1. Створення умов для розвитку інституційної спроможності на національному, регіональному та місцевому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рівнях з урахуванням принципів рівності, недискримінації та потреб різних груп населення.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3.4.2. Сприяння удосконалення системи підвищення рівня професійних навичок та компетенцій державних службовців та посадових осіб місцевого самоврядування, зокрема в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сфері стратегічного планування, надання муніципальних послуг, бюджетування та залучення інвестицій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3.4.3. Створення умов для гармонізації національної статистичної системи з міжнародними та європейськими нормами і стандартами, узгодженню діяльності виробн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иків офіційної статистики з основними принципами діяльності офіційної статистики та Кодексом норм європейської статистики.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3.4.4. Запровадження національної системи територіальної статистичної класифікації відповідно до Номенклатури територіальних одиниць статистики  NUTS.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3.4.5. Запровадження муніципальної статистики, створення інструментів для збору, зберігання та обробки да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них муніципальної статистики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3.4.6. Запровадження єдиної геоінформаційної системи здійснення моніторингу та оцінювання розвитку регіонів і територіальних громад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3.4.7. </w:t>
      </w:r>
      <w:r>
        <w:rPr>
          <w:rFonts w:ascii="Times New Roman" w:hAnsi="Times New Roman"/>
          <w:color w:val="000000"/>
          <w:sz w:val="28"/>
          <w:szCs w:val="28"/>
          <w:lang w:val="ru"/>
        </w:rPr>
        <w:t>Створення умов для підвищення підзвітності та прозорості органів державної влади та мі</w:t>
      </w:r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сцевого самоврядування усіх рівнів, залучення жителів, в тому числі ВПО, до прийняття рішень, поширення кращих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практик створення органів самоорганізації населення, впровадження механізмів електронних публічних консультацій.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Формування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 горизонтальної та вертикальної координації секторальних та державної регіональної політик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>Прод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  <w:lang w:val="ru"/>
        </w:rPr>
        <w:t xml:space="preserve">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3.4.8. Створення скоординованої системи планування просторового розвитку на національному, регіональному та місцевому рівні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3.4.9. Впров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адження Цілей сталого розвитку на національному, регіональному та місцевому рівнях, інтегрованих у формування політик у горизонтальній та вертикальній площинах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3.4.10. Впровадження на всіх рівнях врядування цілісної системи стратегічного планування з урах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уванням середньострокового бюджетного планування, узгодження цілей, завдань,  фінансування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3.4.11. Запровадження системи критеріїв визначення соціальних, економічних та екологічних наслідків впливу пропонованої державної політики та можливості досягнення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Цілей сталого розвитку на регіональному та місцевому рівнях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3.4.12. Забезпечення ефективної діяльності Міжвідомчої координаційної комісії з питань регіонального розвитку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 xml:space="preserve">Завдання за напрямом 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Розвиток міжнародних партнерств та транскордонного співробітни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"/>
        </w:rPr>
        <w:t>цтва</w:t>
      </w:r>
      <w:r>
        <w:rPr>
          <w:rFonts w:ascii="Times New Roman" w:hAnsi="Times New Roman"/>
          <w:i/>
          <w:color w:val="000000"/>
          <w:sz w:val="28"/>
          <w:szCs w:val="28"/>
          <w:highlight w:val="white"/>
          <w:lang w:val="ru-RU"/>
        </w:rPr>
        <w:t>»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3.4.13. Оновлення законодавчої бази у сфері транскордонного співробітництва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3.4.14.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Сприяння розбудові міжнародних партнерств на регіональному та місцевому рівні.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3.4.15. Створення умов для ефективного вирішення завдань місцевого та регіонального роз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витку суб’єктів та учасників транскордонного співробітництва, в тому числі в рамках реалізації Державної програми розвитку транскордонного співробітництва на 2021-2027 роки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3.4.16. Поглиблення розвитку транскордонного співробітництва шляхом створення умов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 для укладення угод про транскордонне співробітництво між місцевими органами виконавчої влади, органами місцевого самоврядування України та відповідними представниками адміністративно-територіальних одиниць інших країн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3.4.17. Сприяння залученню коштів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міжнародної технічної допомоги для реалізації проєктів транскордонного співробітництва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323B1E">
      <w:pPr>
        <w:spacing w:before="240" w:after="24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lastRenderedPageBreak/>
        <w:t xml:space="preserve">Продовження </w:t>
      </w:r>
      <w:r>
        <w:rPr>
          <w:rFonts w:ascii="Times New Roman" w:hAnsi="Times New Roman"/>
          <w:color w:val="000000"/>
          <w:sz w:val="28"/>
          <w:lang w:val="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"/>
        </w:rPr>
        <w:t>одатка 2</w:t>
      </w:r>
    </w:p>
    <w:p w:rsidR="002C7984" w:rsidRDefault="00323B1E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 xml:space="preserve">3.4.18. Забезпечення активної участі та врахування інтересів України під час формування політик та інструментів ЄС, в тому числі у рамках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"/>
        </w:rPr>
        <w:t>підготовки та реалізації макрорегіональної Стратегії ЄС для Карпатського регіону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</w:p>
    <w:p w:rsidR="002C7984" w:rsidRDefault="002C7984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</w:p>
    <w:p w:rsidR="002C7984" w:rsidRDefault="00323B1E">
      <w:pPr>
        <w:spacing w:before="240" w:after="24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__________________</w:t>
      </w:r>
    </w:p>
    <w:p w:rsidR="002C7984" w:rsidRDefault="002C7984">
      <w:pPr>
        <w:rPr>
          <w:lang w:val="ru-RU"/>
        </w:rPr>
      </w:pPr>
    </w:p>
    <w:sectPr w:rsidR="002C7984">
      <w:headerReference w:type="default" r:id="rId9"/>
      <w:pgSz w:w="12240" w:h="15840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B1E" w:rsidRDefault="00323B1E">
      <w:pPr>
        <w:spacing w:after="0" w:line="240" w:lineRule="auto"/>
      </w:pPr>
    </w:p>
  </w:endnote>
  <w:endnote w:type="continuationSeparator" w:id="0">
    <w:p w:rsidR="00323B1E" w:rsidRDefault="00323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B1E" w:rsidRDefault="00323B1E">
      <w:pPr>
        <w:spacing w:after="0" w:line="240" w:lineRule="auto"/>
      </w:pPr>
    </w:p>
  </w:footnote>
  <w:footnote w:type="continuationSeparator" w:id="0">
    <w:p w:rsidR="00323B1E" w:rsidRDefault="00323B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84" w:rsidRDefault="00323B1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D2BE1" w:rsidRPr="006D2BE1">
      <w:rPr>
        <w:noProof/>
        <w:lang w:val="uk-UA"/>
      </w:rPr>
      <w:t>22</w:t>
    </w:r>
    <w:r>
      <w:fldChar w:fldCharType="end"/>
    </w:r>
  </w:p>
  <w:p w:rsidR="002C7984" w:rsidRDefault="002C79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84"/>
    <w:rsid w:val="002C7984"/>
    <w:rsid w:val="00323B1E"/>
    <w:rsid w:val="006D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DA2B"/>
  <w15:docId w15:val="{EE0A4F98-F962-4817-BCC9-20B8AD21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844"/>
        <w:tab w:val="right" w:pos="9689"/>
      </w:tabs>
      <w:spacing w:after="0" w:line="240" w:lineRule="auto"/>
    </w:pPr>
  </w:style>
  <w:style w:type="paragraph" w:styleId="a7">
    <w:name w:val="footnote text"/>
    <w:link w:val="a8"/>
    <w:semiHidden/>
    <w:pPr>
      <w:spacing w:after="0" w:line="240" w:lineRule="auto"/>
    </w:pPr>
    <w:rPr>
      <w:sz w:val="20"/>
      <w:szCs w:val="20"/>
    </w:rPr>
  </w:style>
  <w:style w:type="paragraph" w:styleId="a9">
    <w:name w:val="endnote text"/>
    <w:link w:val="aa"/>
    <w:semiHidden/>
    <w:pPr>
      <w:spacing w:after="0" w:line="240" w:lineRule="auto"/>
    </w:pPr>
    <w:rPr>
      <w:sz w:val="20"/>
      <w:szCs w:val="20"/>
    </w:rPr>
  </w:style>
  <w:style w:type="character" w:styleId="ab">
    <w:name w:val="line number"/>
    <w:basedOn w:val="a0"/>
    <w:semiHidden/>
  </w:style>
  <w:style w:type="character" w:styleId="ac">
    <w:name w:val="Hyperlink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</w:style>
  <w:style w:type="character" w:customStyle="1" w:styleId="a6">
    <w:name w:val="Нижній колонтитул Знак"/>
    <w:basedOn w:val="a0"/>
    <w:link w:val="a5"/>
  </w:style>
  <w:style w:type="character" w:styleId="ad">
    <w:name w:val="footnote reference"/>
    <w:semiHidden/>
    <w:rPr>
      <w:vertAlign w:val="superscript"/>
    </w:rPr>
  </w:style>
  <w:style w:type="character" w:customStyle="1" w:styleId="a8">
    <w:name w:val="Текст виноски Знак"/>
    <w:link w:val="a7"/>
    <w:semiHidden/>
    <w:rPr>
      <w:sz w:val="20"/>
      <w:szCs w:val="20"/>
    </w:rPr>
  </w:style>
  <w:style w:type="character" w:styleId="ae">
    <w:name w:val="endnote reference"/>
    <w:semiHidden/>
    <w:rPr>
      <w:vertAlign w:val="superscript"/>
    </w:rPr>
  </w:style>
  <w:style w:type="character" w:customStyle="1" w:styleId="aa">
    <w:name w:val="Текст кінцевої виноски Знак"/>
    <w:link w:val="a9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t222347?ed=2022_07_01&amp;an=1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ps.ligazakon.net/document/view/t222347?ed=2022_07_01&amp;an=1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073-2022-%D0%B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5925</Words>
  <Characters>33779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Хомич Олена Сергіївна</dc:creator>
  <cp:lastModifiedBy>Хомич Олена Сергіївна</cp:lastModifiedBy>
  <cp:revision>2</cp:revision>
  <dcterms:created xsi:type="dcterms:W3CDTF">2023-12-04T16:13:00Z</dcterms:created>
  <dcterms:modified xsi:type="dcterms:W3CDTF">2023-12-04T16:13:00Z</dcterms:modified>
</cp:coreProperties>
</file>