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AE0" w:rsidRDefault="00846AE0" w:rsidP="00C762F0">
      <w:pPr>
        <w:spacing w:after="160" w:line="259" w:lineRule="auto"/>
        <w:rPr>
          <w:rFonts w:ascii="Times New Roman" w:eastAsia="Times New Roman" w:hAnsi="Times New Roman" w:cs="Times New Roman"/>
          <w:b/>
          <w:sz w:val="20"/>
          <w:szCs w:val="20"/>
          <w:highlight w:val="white"/>
        </w:rPr>
      </w:pPr>
    </w:p>
    <w:p w:rsidR="005D595A" w:rsidRPr="00D26FE3" w:rsidRDefault="00183E3F" w:rsidP="00846AE0">
      <w:pPr>
        <w:spacing w:before="240" w:after="240" w:line="240" w:lineRule="auto"/>
        <w:ind w:left="5385"/>
        <w:rPr>
          <w:rFonts w:ascii="Times New Roman" w:eastAsia="Times New Roman" w:hAnsi="Times New Roman" w:cs="Times New Roman"/>
          <w:color w:val="000000" w:themeColor="text1"/>
          <w:sz w:val="24"/>
          <w:szCs w:val="24"/>
          <w:highlight w:val="white"/>
        </w:rPr>
      </w:pPr>
      <w:r w:rsidRPr="00D26FE3">
        <w:rPr>
          <w:rFonts w:ascii="Times New Roman" w:eastAsia="Times New Roman" w:hAnsi="Times New Roman" w:cs="Times New Roman"/>
          <w:color w:val="000000" w:themeColor="text1"/>
          <w:sz w:val="24"/>
          <w:szCs w:val="24"/>
          <w:highlight w:val="white"/>
        </w:rPr>
        <w:t xml:space="preserve">ЗАТВЕРДЖЕНО </w:t>
      </w:r>
    </w:p>
    <w:p w:rsidR="005D595A" w:rsidRPr="00D26FE3" w:rsidRDefault="00183E3F" w:rsidP="00846AE0">
      <w:pPr>
        <w:spacing w:before="240" w:after="240" w:line="240" w:lineRule="auto"/>
        <w:ind w:left="5385"/>
        <w:rPr>
          <w:rFonts w:ascii="Times New Roman" w:eastAsia="Times New Roman" w:hAnsi="Times New Roman" w:cs="Times New Roman"/>
          <w:color w:val="000000" w:themeColor="text1"/>
          <w:sz w:val="24"/>
          <w:szCs w:val="24"/>
          <w:highlight w:val="white"/>
        </w:rPr>
      </w:pPr>
      <w:r w:rsidRPr="00D26FE3">
        <w:rPr>
          <w:rFonts w:ascii="Times New Roman" w:eastAsia="Times New Roman" w:hAnsi="Times New Roman" w:cs="Times New Roman"/>
          <w:color w:val="000000" w:themeColor="text1"/>
          <w:sz w:val="24"/>
          <w:szCs w:val="24"/>
          <w:highlight w:val="white"/>
        </w:rPr>
        <w:t xml:space="preserve">постановою Кабінету Міністрів України від 5 серпня 2020 р. № 695 </w:t>
      </w:r>
    </w:p>
    <w:p w:rsidR="005D595A" w:rsidRPr="00D26FE3" w:rsidRDefault="00C762F0" w:rsidP="00846AE0">
      <w:pPr>
        <w:spacing w:before="240" w:after="240" w:line="240" w:lineRule="auto"/>
        <w:ind w:left="5385"/>
        <w:rPr>
          <w:rFonts w:ascii="Times New Roman" w:eastAsia="Times New Roman" w:hAnsi="Times New Roman" w:cs="Times New Roman"/>
          <w:color w:val="000000" w:themeColor="text1"/>
          <w:sz w:val="24"/>
          <w:szCs w:val="24"/>
          <w:highlight w:val="white"/>
        </w:rPr>
      </w:pPr>
      <w:r w:rsidRPr="00D26FE3">
        <w:rPr>
          <w:rFonts w:ascii="Times New Roman" w:eastAsia="Times New Roman" w:hAnsi="Times New Roman" w:cs="Times New Roman"/>
          <w:color w:val="000000" w:themeColor="text1"/>
          <w:sz w:val="24"/>
          <w:szCs w:val="24"/>
          <w:highlight w:val="white"/>
        </w:rPr>
        <w:t>(у</w:t>
      </w:r>
      <w:r w:rsidR="00183E3F" w:rsidRPr="00D26FE3">
        <w:rPr>
          <w:rFonts w:ascii="Times New Roman" w:eastAsia="Times New Roman" w:hAnsi="Times New Roman" w:cs="Times New Roman"/>
          <w:color w:val="000000" w:themeColor="text1"/>
          <w:sz w:val="24"/>
          <w:szCs w:val="24"/>
          <w:highlight w:val="white"/>
        </w:rPr>
        <w:t xml:space="preserve"> редакції постанови Кабінету Міністрів України </w:t>
      </w:r>
    </w:p>
    <w:p w:rsidR="005D595A" w:rsidRPr="00D26FE3" w:rsidRDefault="00183E3F" w:rsidP="00846AE0">
      <w:pPr>
        <w:spacing w:before="240" w:after="240" w:line="240" w:lineRule="auto"/>
        <w:ind w:left="5385"/>
        <w:rPr>
          <w:rFonts w:ascii="Times New Roman" w:eastAsia="Times New Roman" w:hAnsi="Times New Roman" w:cs="Times New Roman"/>
          <w:color w:val="000000" w:themeColor="text1"/>
          <w:sz w:val="24"/>
          <w:szCs w:val="24"/>
          <w:highlight w:val="white"/>
        </w:rPr>
      </w:pPr>
      <w:r w:rsidRPr="00D26FE3">
        <w:rPr>
          <w:rFonts w:ascii="Times New Roman" w:eastAsia="Times New Roman" w:hAnsi="Times New Roman" w:cs="Times New Roman"/>
          <w:color w:val="000000" w:themeColor="text1"/>
          <w:sz w:val="24"/>
          <w:szCs w:val="24"/>
          <w:highlight w:val="white"/>
        </w:rPr>
        <w:t>від _________ №_____)</w:t>
      </w:r>
    </w:p>
    <w:p w:rsidR="005D595A" w:rsidRPr="00AD77F3" w:rsidRDefault="005D595A">
      <w:pPr>
        <w:spacing w:before="240" w:after="240" w:line="240" w:lineRule="auto"/>
        <w:ind w:left="5385" w:right="-749"/>
        <w:rPr>
          <w:rFonts w:ascii="Times New Roman" w:eastAsia="Times New Roman" w:hAnsi="Times New Roman" w:cs="Times New Roman"/>
          <w:b/>
          <w:color w:val="000000" w:themeColor="text1"/>
          <w:sz w:val="24"/>
          <w:szCs w:val="24"/>
          <w:highlight w:val="white"/>
        </w:rPr>
      </w:pPr>
    </w:p>
    <w:p w:rsidR="005D595A" w:rsidRPr="00AD77F3" w:rsidRDefault="00183E3F">
      <w:pPr>
        <w:spacing w:before="240" w:after="240" w:line="240" w:lineRule="auto"/>
        <w:ind w:left="-708" w:right="-749"/>
        <w:jc w:val="center"/>
        <w:rPr>
          <w:rFonts w:ascii="Times New Roman" w:eastAsia="Times New Roman" w:hAnsi="Times New Roman" w:cs="Times New Roman"/>
          <w:b/>
          <w:color w:val="000000" w:themeColor="text1"/>
          <w:sz w:val="28"/>
          <w:szCs w:val="28"/>
          <w:highlight w:val="white"/>
        </w:rPr>
      </w:pPr>
      <w:r w:rsidRPr="00AD77F3">
        <w:rPr>
          <w:rFonts w:ascii="Times New Roman" w:eastAsia="Times New Roman" w:hAnsi="Times New Roman" w:cs="Times New Roman"/>
          <w:b/>
          <w:color w:val="000000" w:themeColor="text1"/>
          <w:sz w:val="28"/>
          <w:szCs w:val="28"/>
          <w:highlight w:val="white"/>
        </w:rPr>
        <w:t>ДЕРЖАВНА СТРАТЕГІЯ</w:t>
      </w:r>
    </w:p>
    <w:p w:rsidR="005D595A" w:rsidRPr="00AD77F3" w:rsidRDefault="00183E3F">
      <w:pPr>
        <w:spacing w:before="240" w:after="240" w:line="240" w:lineRule="auto"/>
        <w:ind w:left="-708" w:right="-749"/>
        <w:jc w:val="center"/>
        <w:rPr>
          <w:rFonts w:ascii="Times New Roman" w:eastAsia="Times New Roman" w:hAnsi="Times New Roman" w:cs="Times New Roman"/>
          <w:b/>
          <w:color w:val="000000" w:themeColor="text1"/>
          <w:sz w:val="28"/>
          <w:szCs w:val="28"/>
          <w:highlight w:val="white"/>
        </w:rPr>
      </w:pPr>
      <w:r w:rsidRPr="00AD77F3">
        <w:rPr>
          <w:rFonts w:ascii="Times New Roman" w:eastAsia="Times New Roman" w:hAnsi="Times New Roman" w:cs="Times New Roman"/>
          <w:b/>
          <w:color w:val="000000" w:themeColor="text1"/>
          <w:sz w:val="28"/>
          <w:szCs w:val="28"/>
          <w:highlight w:val="white"/>
        </w:rPr>
        <w:t>регіонального розвитку на 2021-2027 роки</w:t>
      </w:r>
    </w:p>
    <w:p w:rsidR="005D595A" w:rsidRPr="00AD77F3" w:rsidRDefault="005D595A">
      <w:pPr>
        <w:spacing w:before="240" w:after="240" w:line="240" w:lineRule="auto"/>
        <w:ind w:left="-708" w:right="-749"/>
        <w:jc w:val="center"/>
        <w:rPr>
          <w:rFonts w:ascii="Times New Roman" w:eastAsia="Times New Roman" w:hAnsi="Times New Roman" w:cs="Times New Roman"/>
          <w:b/>
          <w:color w:val="000000" w:themeColor="text1"/>
          <w:sz w:val="20"/>
          <w:szCs w:val="20"/>
          <w:highlight w:val="white"/>
        </w:rPr>
      </w:pPr>
    </w:p>
    <w:p w:rsidR="005D595A" w:rsidRPr="00AD77F3" w:rsidRDefault="00183E3F">
      <w:pPr>
        <w:spacing w:before="240" w:after="240" w:line="240" w:lineRule="auto"/>
        <w:ind w:left="-708" w:right="-749"/>
        <w:jc w:val="center"/>
        <w:rPr>
          <w:rFonts w:ascii="Times New Roman" w:eastAsia="Times New Roman" w:hAnsi="Times New Roman" w:cs="Times New Roman"/>
          <w:color w:val="000000" w:themeColor="text1"/>
          <w:sz w:val="20"/>
          <w:szCs w:val="20"/>
          <w:highlight w:val="white"/>
        </w:rPr>
      </w:pPr>
      <w:r w:rsidRPr="00AD77F3">
        <w:rPr>
          <w:rFonts w:ascii="Times New Roman" w:eastAsia="Times New Roman" w:hAnsi="Times New Roman" w:cs="Times New Roman"/>
          <w:color w:val="000000" w:themeColor="text1"/>
          <w:sz w:val="20"/>
          <w:szCs w:val="20"/>
          <w:highlight w:val="white"/>
        </w:rPr>
        <w:t xml:space="preserve"> </w:t>
      </w:r>
    </w:p>
    <w:p w:rsidR="005D595A" w:rsidRPr="00AD77F3" w:rsidRDefault="00183E3F">
      <w:pPr>
        <w:spacing w:before="240" w:after="240" w:line="240" w:lineRule="auto"/>
        <w:ind w:left="-708" w:right="-749"/>
        <w:rPr>
          <w:rFonts w:ascii="Times New Roman" w:eastAsia="Times New Roman" w:hAnsi="Times New Roman" w:cs="Times New Roman"/>
          <w:b/>
          <w:color w:val="000000" w:themeColor="text1"/>
          <w:sz w:val="20"/>
          <w:szCs w:val="20"/>
          <w:highlight w:val="white"/>
        </w:rPr>
      </w:pPr>
      <w:r w:rsidRPr="00AD77F3">
        <w:rPr>
          <w:rFonts w:ascii="Times New Roman" w:eastAsia="Times New Roman" w:hAnsi="Times New Roman" w:cs="Times New Roman"/>
          <w:color w:val="000000" w:themeColor="text1"/>
          <w:sz w:val="20"/>
          <w:szCs w:val="20"/>
          <w:highlight w:val="white"/>
        </w:rPr>
        <w:t xml:space="preserve"> </w:t>
      </w:r>
      <w:r w:rsidRPr="00AD77F3">
        <w:rPr>
          <w:rFonts w:ascii="Times New Roman" w:eastAsia="Times New Roman" w:hAnsi="Times New Roman" w:cs="Times New Roman"/>
          <w:b/>
          <w:color w:val="000000" w:themeColor="text1"/>
          <w:sz w:val="20"/>
          <w:szCs w:val="20"/>
          <w:highlight w:val="white"/>
        </w:rPr>
        <w:t xml:space="preserve"> </w:t>
      </w:r>
    </w:p>
    <w:p w:rsidR="005D595A" w:rsidRPr="00AD77F3" w:rsidRDefault="00183E3F">
      <w:pPr>
        <w:pStyle w:val="1"/>
        <w:keepNext w:val="0"/>
        <w:keepLines w:val="0"/>
        <w:spacing w:before="0" w:line="240" w:lineRule="auto"/>
        <w:ind w:left="-708" w:right="-749"/>
        <w:jc w:val="center"/>
        <w:rPr>
          <w:rFonts w:ascii="Times New Roman" w:eastAsia="Times New Roman" w:hAnsi="Times New Roman" w:cs="Times New Roman"/>
          <w:b/>
          <w:color w:val="000000" w:themeColor="text1"/>
          <w:sz w:val="20"/>
          <w:szCs w:val="20"/>
        </w:rPr>
      </w:pPr>
      <w:bookmarkStart w:id="0" w:name="_a0q0fz9evlf3" w:colFirst="0" w:colLast="0"/>
      <w:bookmarkEnd w:id="0"/>
      <w:r w:rsidRPr="00AD77F3">
        <w:rPr>
          <w:color w:val="000000" w:themeColor="text1"/>
        </w:rPr>
        <w:br w:type="page"/>
      </w:r>
    </w:p>
    <w:p w:rsidR="005D595A" w:rsidRPr="00AD77F3" w:rsidRDefault="00183E3F" w:rsidP="00040BCB">
      <w:pPr>
        <w:pStyle w:val="1"/>
        <w:keepNext w:val="0"/>
        <w:keepLines w:val="0"/>
        <w:spacing w:before="0" w:line="240" w:lineRule="auto"/>
        <w:ind w:left="-708" w:right="-749"/>
        <w:jc w:val="center"/>
        <w:rPr>
          <w:rFonts w:ascii="Times New Roman" w:eastAsia="Times New Roman" w:hAnsi="Times New Roman" w:cs="Times New Roman"/>
          <w:b/>
          <w:color w:val="000000" w:themeColor="text1"/>
          <w:sz w:val="28"/>
          <w:szCs w:val="28"/>
        </w:rPr>
      </w:pPr>
      <w:bookmarkStart w:id="1" w:name="_qykson83wzs1" w:colFirst="0" w:colLast="0"/>
      <w:bookmarkEnd w:id="1"/>
      <w:r w:rsidRPr="00AD77F3">
        <w:rPr>
          <w:rFonts w:ascii="Times New Roman" w:eastAsia="Times New Roman" w:hAnsi="Times New Roman" w:cs="Times New Roman"/>
          <w:b/>
          <w:color w:val="000000" w:themeColor="text1"/>
          <w:sz w:val="28"/>
          <w:szCs w:val="28"/>
        </w:rPr>
        <w:lastRenderedPageBreak/>
        <w:t>Загальна частина</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lang w:val="ru-RU"/>
        </w:rPr>
      </w:pPr>
      <w:r w:rsidRPr="00AD77F3">
        <w:rPr>
          <w:rFonts w:ascii="Times New Roman" w:eastAsia="Times New Roman" w:hAnsi="Times New Roman" w:cs="Times New Roman"/>
          <w:color w:val="000000" w:themeColor="text1"/>
          <w:sz w:val="28"/>
          <w:szCs w:val="28"/>
        </w:rPr>
        <w:t>Ця Стратегія роз</w:t>
      </w:r>
      <w:r w:rsidR="00040BCB" w:rsidRPr="00AD77F3">
        <w:rPr>
          <w:rFonts w:ascii="Times New Roman" w:eastAsia="Times New Roman" w:hAnsi="Times New Roman" w:cs="Times New Roman"/>
          <w:color w:val="000000" w:themeColor="text1"/>
          <w:sz w:val="28"/>
          <w:szCs w:val="28"/>
        </w:rPr>
        <w:t xml:space="preserve">роблена відповідно до законів  України </w:t>
      </w:r>
      <w:r w:rsidR="00040BCB" w:rsidRPr="00AD77F3">
        <w:rPr>
          <w:rFonts w:ascii="Times New Roman" w:eastAsia="Times New Roman" w:hAnsi="Times New Roman" w:cs="Times New Roman"/>
          <w:color w:val="000000" w:themeColor="text1"/>
          <w:sz w:val="28"/>
          <w:szCs w:val="28"/>
          <w:lang w:val="ru-RU"/>
        </w:rPr>
        <w:t>«</w:t>
      </w:r>
      <w:r w:rsidRPr="00AD77F3">
        <w:rPr>
          <w:rFonts w:ascii="Times New Roman" w:eastAsia="Times New Roman" w:hAnsi="Times New Roman" w:cs="Times New Roman"/>
          <w:color w:val="000000" w:themeColor="text1"/>
          <w:sz w:val="28"/>
          <w:szCs w:val="28"/>
        </w:rPr>
        <w:t xml:space="preserve">Про засади </w:t>
      </w:r>
      <w:r w:rsidR="00040BCB" w:rsidRPr="00AD77F3">
        <w:rPr>
          <w:rFonts w:ascii="Times New Roman" w:eastAsia="Times New Roman" w:hAnsi="Times New Roman" w:cs="Times New Roman"/>
          <w:color w:val="000000" w:themeColor="text1"/>
          <w:sz w:val="28"/>
          <w:szCs w:val="28"/>
        </w:rPr>
        <w:t>державної регіональної політики</w:t>
      </w:r>
      <w:r w:rsidR="00040BCB" w:rsidRPr="00AD77F3">
        <w:rPr>
          <w:rFonts w:ascii="Times New Roman" w:eastAsia="Times New Roman" w:hAnsi="Times New Roman" w:cs="Times New Roman"/>
          <w:color w:val="000000" w:themeColor="text1"/>
          <w:sz w:val="28"/>
          <w:szCs w:val="28"/>
          <w:lang w:val="ru-RU"/>
        </w:rPr>
        <w:t>»</w:t>
      </w:r>
      <w:r w:rsidR="00040BCB" w:rsidRPr="00AD77F3">
        <w:rPr>
          <w:rFonts w:ascii="Times New Roman" w:eastAsia="Times New Roman" w:hAnsi="Times New Roman" w:cs="Times New Roman"/>
          <w:color w:val="000000" w:themeColor="text1"/>
          <w:sz w:val="28"/>
          <w:szCs w:val="28"/>
        </w:rPr>
        <w:t xml:space="preserve">, </w:t>
      </w:r>
      <w:r w:rsidR="00040BCB" w:rsidRPr="00AD77F3">
        <w:rPr>
          <w:rFonts w:ascii="Times New Roman" w:eastAsia="Times New Roman" w:hAnsi="Times New Roman" w:cs="Times New Roman"/>
          <w:color w:val="000000" w:themeColor="text1"/>
          <w:sz w:val="28"/>
          <w:szCs w:val="28"/>
          <w:lang w:val="ru-RU"/>
        </w:rPr>
        <w:t>«</w:t>
      </w:r>
      <w:r w:rsidRPr="00AD77F3">
        <w:rPr>
          <w:rFonts w:ascii="Times New Roman" w:eastAsia="Times New Roman" w:hAnsi="Times New Roman" w:cs="Times New Roman"/>
          <w:color w:val="000000" w:themeColor="text1"/>
          <w:sz w:val="28"/>
          <w:szCs w:val="28"/>
          <w:highlight w:val="white"/>
        </w:rPr>
        <w:t>Про забезпечення прав і свобод громадян та правовий режим на тимчасо</w:t>
      </w:r>
      <w:r w:rsidR="00040BCB" w:rsidRPr="00AD77F3">
        <w:rPr>
          <w:rFonts w:ascii="Times New Roman" w:eastAsia="Times New Roman" w:hAnsi="Times New Roman" w:cs="Times New Roman"/>
          <w:color w:val="000000" w:themeColor="text1"/>
          <w:sz w:val="28"/>
          <w:szCs w:val="28"/>
          <w:highlight w:val="white"/>
        </w:rPr>
        <w:t>во окупованій території України</w:t>
      </w:r>
      <w:r w:rsidR="00040BCB" w:rsidRPr="00AD77F3">
        <w:rPr>
          <w:rFonts w:ascii="Times New Roman" w:eastAsia="Times New Roman" w:hAnsi="Times New Roman" w:cs="Times New Roman"/>
          <w:color w:val="000000" w:themeColor="text1"/>
          <w:sz w:val="28"/>
          <w:szCs w:val="28"/>
          <w:lang w:val="ru-RU"/>
        </w:rPr>
        <w:t>»</w:t>
      </w:r>
      <w:r w:rsidR="00040BCB" w:rsidRPr="00AD77F3">
        <w:rPr>
          <w:rFonts w:ascii="Times New Roman" w:eastAsia="Times New Roman" w:hAnsi="Times New Roman" w:cs="Times New Roman"/>
          <w:color w:val="000000" w:themeColor="text1"/>
          <w:sz w:val="28"/>
          <w:szCs w:val="28"/>
        </w:rPr>
        <w:t xml:space="preserve">, </w:t>
      </w:r>
      <w:r w:rsidR="00040BCB" w:rsidRPr="00AD77F3">
        <w:rPr>
          <w:rFonts w:ascii="Times New Roman" w:eastAsia="Times New Roman" w:hAnsi="Times New Roman" w:cs="Times New Roman"/>
          <w:color w:val="000000" w:themeColor="text1"/>
          <w:sz w:val="28"/>
          <w:szCs w:val="28"/>
          <w:lang w:val="ru-RU"/>
        </w:rPr>
        <w:t>«</w:t>
      </w:r>
      <w:r w:rsidRPr="00AD77F3">
        <w:rPr>
          <w:rFonts w:ascii="Times New Roman" w:eastAsia="Times New Roman" w:hAnsi="Times New Roman" w:cs="Times New Roman"/>
          <w:color w:val="000000" w:themeColor="text1"/>
          <w:sz w:val="28"/>
          <w:szCs w:val="28"/>
          <w:highlight w:val="white"/>
        </w:rPr>
        <w:t>Про забезпечення прав і сво</w:t>
      </w:r>
      <w:r w:rsidR="00040BCB" w:rsidRPr="00AD77F3">
        <w:rPr>
          <w:rFonts w:ascii="Times New Roman" w:eastAsia="Times New Roman" w:hAnsi="Times New Roman" w:cs="Times New Roman"/>
          <w:color w:val="000000" w:themeColor="text1"/>
          <w:sz w:val="28"/>
          <w:szCs w:val="28"/>
          <w:highlight w:val="white"/>
        </w:rPr>
        <w:t>бод внутрішньо переміщених осіб</w:t>
      </w:r>
      <w:r w:rsidR="00040BCB" w:rsidRPr="00AD77F3">
        <w:rPr>
          <w:rFonts w:ascii="Times New Roman" w:eastAsia="Times New Roman" w:hAnsi="Times New Roman" w:cs="Times New Roman"/>
          <w:color w:val="000000" w:themeColor="text1"/>
          <w:sz w:val="28"/>
          <w:szCs w:val="28"/>
          <w:highlight w:val="white"/>
          <w:lang w:val="ru-RU"/>
        </w:rPr>
        <w:t>»</w:t>
      </w:r>
      <w:r w:rsidR="00040BCB" w:rsidRPr="00AD77F3">
        <w:rPr>
          <w:rFonts w:ascii="Times New Roman" w:eastAsia="Times New Roman" w:hAnsi="Times New Roman" w:cs="Times New Roman"/>
          <w:color w:val="000000" w:themeColor="text1"/>
          <w:sz w:val="28"/>
          <w:szCs w:val="28"/>
          <w:highlight w:val="white"/>
        </w:rPr>
        <w:t xml:space="preserve">, </w:t>
      </w:r>
      <w:r w:rsidR="00040BCB" w:rsidRPr="00AD77F3">
        <w:rPr>
          <w:rFonts w:ascii="Times New Roman" w:eastAsia="Times New Roman" w:hAnsi="Times New Roman" w:cs="Times New Roman"/>
          <w:color w:val="000000" w:themeColor="text1"/>
          <w:sz w:val="28"/>
          <w:szCs w:val="28"/>
          <w:highlight w:val="white"/>
          <w:lang w:val="ru-RU"/>
        </w:rPr>
        <w:t>«</w:t>
      </w:r>
      <w:r w:rsidRPr="00AD77F3">
        <w:rPr>
          <w:rFonts w:ascii="Times New Roman" w:eastAsia="Times New Roman" w:hAnsi="Times New Roman" w:cs="Times New Roman"/>
          <w:color w:val="000000" w:themeColor="text1"/>
          <w:sz w:val="28"/>
          <w:szCs w:val="28"/>
          <w:highlight w:val="white"/>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w:t>
      </w:r>
      <w:r w:rsidR="00040BCB" w:rsidRPr="00AD77F3">
        <w:rPr>
          <w:rFonts w:ascii="Times New Roman" w:eastAsia="Times New Roman" w:hAnsi="Times New Roman" w:cs="Times New Roman"/>
          <w:color w:val="000000" w:themeColor="text1"/>
          <w:sz w:val="28"/>
          <w:szCs w:val="28"/>
          <w:highlight w:val="white"/>
        </w:rPr>
        <w:t>ійської Федерації проти України</w:t>
      </w:r>
      <w:r w:rsidR="00040BCB" w:rsidRPr="00AD77F3">
        <w:rPr>
          <w:rFonts w:ascii="Times New Roman" w:eastAsia="Times New Roman" w:hAnsi="Times New Roman" w:cs="Times New Roman"/>
          <w:color w:val="000000" w:themeColor="text1"/>
          <w:sz w:val="28"/>
          <w:szCs w:val="28"/>
          <w:highlight w:val="white"/>
          <w:lang w:val="ru-RU"/>
        </w:rPr>
        <w:t>»,</w:t>
      </w:r>
      <w:r w:rsidRPr="00AD77F3">
        <w:rPr>
          <w:rFonts w:ascii="Times New Roman" w:eastAsia="Times New Roman" w:hAnsi="Times New Roman" w:cs="Times New Roman"/>
          <w:color w:val="000000" w:themeColor="text1"/>
          <w:sz w:val="28"/>
          <w:szCs w:val="28"/>
          <w:highlight w:val="white"/>
        </w:rPr>
        <w:t xml:space="preserve"> </w:t>
      </w:r>
      <w:r w:rsidR="00C762F0" w:rsidRPr="00C762F0">
        <w:rPr>
          <w:rFonts w:ascii="Times New Roman" w:eastAsia="Times New Roman" w:hAnsi="Times New Roman" w:cs="Times New Roman"/>
          <w:color w:val="000000" w:themeColor="text1"/>
          <w:sz w:val="28"/>
          <w:szCs w:val="28"/>
        </w:rPr>
        <w:t>постанов Кабінету Міністрів України від 4 серпня 2023 р. № 817 «Деякі питання розроблення Державної стратегії регіонального розвитку України і плану заходів з її реалізації та проведення моніторингу реалізації зазначених Стратегії і плану заходів» (Офіційний вісник України, 2023 р., № 77, ст. 4365), від 30 травня 2023 р. № 600 «Про затвердження Порядку надання компенсації за знищені об’єкти нерухомого майна» (Офіційний вісник України, 2023 р., № 60, ст. 3382), від 27 вересня 2022 р. № 1073 «Про затвердження Порядку поводження з відходами, що утворились у зв’язку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та внесення змін до деяких постанов Кабінету Міністрів України» (Офіційний вісник України, 2022 р., № 80, ст. 4841)</w:t>
      </w:r>
      <w:r w:rsidR="00040BCB" w:rsidRPr="00AD77F3">
        <w:rPr>
          <w:rFonts w:ascii="Times New Roman" w:eastAsia="Times New Roman" w:hAnsi="Times New Roman" w:cs="Times New Roman"/>
          <w:color w:val="000000" w:themeColor="text1"/>
          <w:sz w:val="28"/>
          <w:szCs w:val="28"/>
          <w:lang w:val="ru-RU"/>
        </w:rPr>
        <w:t>.</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highlight w:val="white"/>
        </w:rPr>
      </w:pPr>
      <w:r w:rsidRPr="00AD77F3">
        <w:rPr>
          <w:rFonts w:ascii="Times New Roman" w:eastAsia="Times New Roman" w:hAnsi="Times New Roman" w:cs="Times New Roman"/>
          <w:color w:val="000000" w:themeColor="text1"/>
          <w:sz w:val="28"/>
          <w:szCs w:val="28"/>
          <w:highlight w:val="white"/>
        </w:rPr>
        <w:t>Ця Стратегія визначає генеральний вектор сталого розвитку регіонів та розроблена відповідно до Цілей сталого розвитку України до 2030 року, затверджених Указом Президента України від 30 вересня 2019 року</w:t>
      </w:r>
      <w:hyperlink r:id="rId7">
        <w:r w:rsidRPr="00AD77F3">
          <w:rPr>
            <w:rFonts w:ascii="Times New Roman" w:eastAsia="Times New Roman" w:hAnsi="Times New Roman" w:cs="Times New Roman"/>
            <w:color w:val="000000" w:themeColor="text1"/>
            <w:sz w:val="28"/>
            <w:szCs w:val="28"/>
            <w:highlight w:val="white"/>
          </w:rPr>
          <w:t xml:space="preserve"> </w:t>
        </w:r>
      </w:hyperlink>
      <w:hyperlink r:id="rId8">
        <w:r w:rsidRPr="00AD77F3">
          <w:rPr>
            <w:rFonts w:ascii="Times New Roman" w:eastAsia="Times New Roman" w:hAnsi="Times New Roman" w:cs="Times New Roman"/>
            <w:color w:val="000000" w:themeColor="text1"/>
            <w:sz w:val="28"/>
            <w:szCs w:val="28"/>
            <w:highlight w:val="white"/>
          </w:rPr>
          <w:t>№ 722</w:t>
        </w:r>
      </w:hyperlink>
      <w:r w:rsidRPr="00AD77F3">
        <w:rPr>
          <w:rFonts w:ascii="Times New Roman" w:eastAsia="Times New Roman" w:hAnsi="Times New Roman" w:cs="Times New Roman"/>
          <w:color w:val="000000" w:themeColor="text1"/>
          <w:sz w:val="28"/>
          <w:szCs w:val="28"/>
          <w:highlight w:val="white"/>
        </w:rPr>
        <w:t>.</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highlight w:val="white"/>
        </w:rPr>
        <w:t>В Україні створено юридичну основу та запроваджено нові підходи до стратегічного планування та фінансування регіонального розвитку. Реформа місцевого самоврядування та територіальної організації влади в Україні на засадах децентралізації, яка успішно реалізується з 2015 року, створила нові можливості для розвитку територіальних громад.</w:t>
      </w:r>
      <w:r w:rsidRPr="00AD77F3">
        <w:rPr>
          <w:rFonts w:ascii="Times New Roman" w:eastAsia="Times New Roman" w:hAnsi="Times New Roman" w:cs="Times New Roman"/>
          <w:color w:val="000000" w:themeColor="text1"/>
          <w:sz w:val="28"/>
          <w:szCs w:val="28"/>
        </w:rPr>
        <w:t xml:space="preserve"> Новий адміністративно-територіальний устрій та бюджетна децентралізація суттєво підвищили спроможність місцевого самоврядування.</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Актуалізація Стратегії зумовлена необхідністю врахування:</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Gungsuh" w:hAnsi="Times New Roman" w:cs="Times New Roman"/>
          <w:color w:val="000000" w:themeColor="text1"/>
          <w:sz w:val="28"/>
          <w:szCs w:val="28"/>
        </w:rPr>
        <w:t>−      наслідків повномасштабної війни рф проти України та їх впливу на територіальні громади та регіони, підвищення ролі безпеки та стійкості до зовнішніх чинників;</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highlight w:val="white"/>
        </w:rPr>
      </w:pPr>
      <w:r w:rsidRPr="00AD77F3">
        <w:rPr>
          <w:rFonts w:ascii="Times New Roman" w:eastAsia="Times New Roman" w:hAnsi="Times New Roman" w:cs="Times New Roman"/>
          <w:color w:val="000000" w:themeColor="text1"/>
          <w:sz w:val="28"/>
          <w:szCs w:val="28"/>
          <w:highlight w:val="white"/>
        </w:rPr>
        <w:t>−      набуття Україною статусу кандидата на членство в ЄС, поглиблення ступеня виконання положень Угоди про асоціацію між Україною і ЄС та її д</w:t>
      </w:r>
      <w:r w:rsidR="00040BCB" w:rsidRPr="00AD77F3">
        <w:rPr>
          <w:rFonts w:ascii="Times New Roman" w:eastAsia="Times New Roman" w:hAnsi="Times New Roman" w:cs="Times New Roman"/>
          <w:color w:val="000000" w:themeColor="text1"/>
          <w:sz w:val="28"/>
          <w:szCs w:val="28"/>
          <w:highlight w:val="white"/>
        </w:rPr>
        <w:t xml:space="preserve">ержавами-членами та переходу </w:t>
      </w:r>
      <w:proofErr w:type="gramStart"/>
      <w:r w:rsidR="00040BCB" w:rsidRPr="00AD77F3">
        <w:rPr>
          <w:rFonts w:ascii="Times New Roman" w:eastAsia="Times New Roman" w:hAnsi="Times New Roman" w:cs="Times New Roman"/>
          <w:color w:val="000000" w:themeColor="text1"/>
          <w:sz w:val="28"/>
          <w:szCs w:val="28"/>
          <w:highlight w:val="white"/>
        </w:rPr>
        <w:t xml:space="preserve">до </w:t>
      </w:r>
      <w:r w:rsidRPr="00AD77F3">
        <w:rPr>
          <w:rFonts w:ascii="Times New Roman" w:eastAsia="Times New Roman" w:hAnsi="Times New Roman" w:cs="Times New Roman"/>
          <w:color w:val="000000" w:themeColor="text1"/>
          <w:sz w:val="28"/>
          <w:szCs w:val="28"/>
          <w:highlight w:val="white"/>
        </w:rPr>
        <w:t>початку</w:t>
      </w:r>
      <w:proofErr w:type="gramEnd"/>
      <w:r w:rsidRPr="00AD77F3">
        <w:rPr>
          <w:rFonts w:ascii="Times New Roman" w:eastAsia="Times New Roman" w:hAnsi="Times New Roman" w:cs="Times New Roman"/>
          <w:color w:val="000000" w:themeColor="text1"/>
          <w:sz w:val="28"/>
          <w:szCs w:val="28"/>
          <w:highlight w:val="white"/>
        </w:rPr>
        <w:t xml:space="preserve"> переговорів про вступ України до ЄС;</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Gungsuh" w:hAnsi="Times New Roman" w:cs="Times New Roman"/>
          <w:color w:val="000000" w:themeColor="text1"/>
          <w:sz w:val="28"/>
          <w:szCs w:val="28"/>
        </w:rPr>
        <w:lastRenderedPageBreak/>
        <w:t xml:space="preserve">−      рекомендацій Організації економічного співробітництва та розвитку щодо необхідності оновлення Стратегії для забезпечення її зв’язку з процесом відновлення Україн; </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Gungsuh" w:hAnsi="Times New Roman" w:cs="Times New Roman"/>
          <w:color w:val="000000" w:themeColor="text1"/>
          <w:sz w:val="28"/>
          <w:szCs w:val="28"/>
        </w:rPr>
        <w:t>−      внесення змін до Закону України «Про засади державної регіональної по</w:t>
      </w:r>
      <w:r w:rsidRPr="00AD77F3">
        <w:rPr>
          <w:rFonts w:ascii="Times New Roman" w:eastAsia="Times New Roman" w:hAnsi="Times New Roman" w:cs="Times New Roman"/>
          <w:color w:val="000000" w:themeColor="text1"/>
          <w:sz w:val="28"/>
          <w:szCs w:val="28"/>
        </w:rPr>
        <w:t>літики»;</w:t>
      </w:r>
    </w:p>
    <w:p w:rsidR="00040BCB"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Gungsuh" w:hAnsi="Times New Roman" w:cs="Times New Roman"/>
          <w:color w:val="000000" w:themeColor="text1"/>
          <w:sz w:val="28"/>
          <w:szCs w:val="28"/>
        </w:rPr>
        <w:t xml:space="preserve">−      </w:t>
      </w:r>
      <w:r w:rsidRPr="00AD77F3">
        <w:rPr>
          <w:rFonts w:ascii="Times New Roman" w:eastAsia="Times New Roman" w:hAnsi="Times New Roman" w:cs="Times New Roman"/>
          <w:color w:val="000000" w:themeColor="text1"/>
          <w:sz w:val="28"/>
          <w:szCs w:val="28"/>
        </w:rPr>
        <w:t>кліматичних зобов’язань України, зокрема щодо:</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загальноекономічного зниження викидів парникових газів на 65% до 2030 року порівняно з 1990 роком (Другий Національно визначений внесок України до Паризької угоди);</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 відмови від використання вугілля на державних електростанціях до 2035 року (СОР26, вступ до платформи Powering Past Coal Alliance (PPCA);</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скорочення викидів метану на 30% до 2030 року від рівня 2020 року (СОР26, долучення до ініціативи Global Methane Pledge) та ін.</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highlight w:val="white"/>
        </w:rPr>
      </w:pPr>
      <w:r w:rsidRPr="00AD77F3">
        <w:rPr>
          <w:rFonts w:ascii="Times New Roman" w:eastAsia="Times New Roman" w:hAnsi="Times New Roman" w:cs="Times New Roman"/>
          <w:color w:val="000000" w:themeColor="text1"/>
          <w:sz w:val="28"/>
          <w:szCs w:val="28"/>
          <w:highlight w:val="white"/>
        </w:rPr>
        <w:t>У роботі над актуалізацією Стратегії взяли участь понад 230 представників неурядових організацій, аналітичних центрів, міжнародних організацій, незалежних експертів, дослідників та громадських активістів. Такий підхід забезпечив інклюзивність та відкритість процесу.</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highlight w:val="white"/>
        </w:rPr>
      </w:pPr>
      <w:r w:rsidRPr="00AD77F3">
        <w:rPr>
          <w:rFonts w:ascii="Times New Roman" w:eastAsia="Times New Roman" w:hAnsi="Times New Roman" w:cs="Times New Roman"/>
          <w:color w:val="000000" w:themeColor="text1"/>
          <w:sz w:val="28"/>
          <w:szCs w:val="28"/>
          <w:highlight w:val="white"/>
        </w:rPr>
        <w:t>Політика регіонального розвитку до 2027 року ґрунтується на врахуванні під час стратегічного планування ключових викликів, які впливають на людину, інфраструктуру, безпекове середовище, економіку та довкілля, а також включатиме побудову культури партнерства та співробітництва, орієнтованої на взаємодію громадян та публічних інституцій щодо розвитку. Заходи регіональної політики формуватимуться на основі отриманого досвіду, зібраних даних, висновків, рекомендацій, результатів аналізів та оцінки для забезпечення та підтримки високих стандартів управління та реалізації регіональної політики, що вимагає функціонування відповідних спеціалізованих аналітичних засобів, баз даних формування та оцінки політики.</w:t>
      </w:r>
    </w:p>
    <w:p w:rsidR="005D595A" w:rsidRPr="00AD77F3" w:rsidRDefault="00183E3F" w:rsidP="00040BCB">
      <w:pPr>
        <w:spacing w:before="240" w:after="240" w:line="240" w:lineRule="auto"/>
        <w:ind w:firstLine="709"/>
        <w:jc w:val="both"/>
        <w:rPr>
          <w:rFonts w:ascii="Times New Roman" w:eastAsia="Times New Roman" w:hAnsi="Times New Roman" w:cs="Times New Roman"/>
          <w:b/>
          <w:color w:val="000000" w:themeColor="text1"/>
          <w:sz w:val="28"/>
          <w:szCs w:val="28"/>
          <w:lang w:val="ru-RU"/>
        </w:rPr>
      </w:pPr>
      <w:r w:rsidRPr="00AD77F3">
        <w:rPr>
          <w:rFonts w:ascii="Times New Roman" w:eastAsia="Times New Roman" w:hAnsi="Times New Roman" w:cs="Times New Roman"/>
          <w:color w:val="000000" w:themeColor="text1"/>
          <w:sz w:val="28"/>
          <w:szCs w:val="28"/>
          <w:highlight w:val="white"/>
        </w:rPr>
        <w:t>Реалізація державної регіональної політики на період до 2027 року здійснюватиметься на основі комплексного територіального підход</w:t>
      </w:r>
      <w:r w:rsidR="00040BCB" w:rsidRPr="00AD77F3">
        <w:rPr>
          <w:rFonts w:ascii="Times New Roman" w:eastAsia="Times New Roman" w:hAnsi="Times New Roman" w:cs="Times New Roman"/>
          <w:color w:val="000000" w:themeColor="text1"/>
          <w:sz w:val="28"/>
          <w:szCs w:val="28"/>
          <w:highlight w:val="white"/>
        </w:rPr>
        <w:t xml:space="preserve">у, що передбачає, що об’єктом </w:t>
      </w:r>
      <w:proofErr w:type="gramStart"/>
      <w:r w:rsidR="00040BCB" w:rsidRPr="00AD77F3">
        <w:rPr>
          <w:rFonts w:ascii="Times New Roman" w:eastAsia="Times New Roman" w:hAnsi="Times New Roman" w:cs="Times New Roman"/>
          <w:color w:val="000000" w:themeColor="text1"/>
          <w:sz w:val="28"/>
          <w:szCs w:val="28"/>
          <w:highlight w:val="white"/>
        </w:rPr>
        <w:t xml:space="preserve">у </w:t>
      </w:r>
      <w:r w:rsidRPr="00AD77F3">
        <w:rPr>
          <w:rFonts w:ascii="Times New Roman" w:eastAsia="Times New Roman" w:hAnsi="Times New Roman" w:cs="Times New Roman"/>
          <w:color w:val="000000" w:themeColor="text1"/>
          <w:sz w:val="28"/>
          <w:szCs w:val="28"/>
          <w:highlight w:val="white"/>
        </w:rPr>
        <w:t>рамках</w:t>
      </w:r>
      <w:proofErr w:type="gramEnd"/>
      <w:r w:rsidRPr="00AD77F3">
        <w:rPr>
          <w:rFonts w:ascii="Times New Roman" w:eastAsia="Times New Roman" w:hAnsi="Times New Roman" w:cs="Times New Roman"/>
          <w:color w:val="000000" w:themeColor="text1"/>
          <w:sz w:val="28"/>
          <w:szCs w:val="28"/>
          <w:highlight w:val="white"/>
        </w:rPr>
        <w:t xml:space="preserve"> регіональної політики є територія, яка характеризується специфічним набором соціальних, просторових, безпекових, екологічних та економічних особливостей. З цією метою в Стратегії визначаються функціональні типи територій, які наведені в Додатку 1. Заходи щодо реалізації державної регіональної політики спрямовуватимуться на відновлення інфраструктури, економічної активності та балансу екосистем, створення безпекових умов для повернення в регіон внутрішньо переміщених осіб та вимушених мігрантів, створення сприятливих умов для діяльності всіх суб’єктів господарювання на територіях відновлення, підтримку та ефективне використання </w:t>
      </w:r>
      <w:r w:rsidRPr="00AD77F3">
        <w:rPr>
          <w:rFonts w:ascii="Times New Roman" w:eastAsia="Times New Roman" w:hAnsi="Times New Roman" w:cs="Times New Roman"/>
          <w:color w:val="000000" w:themeColor="text1"/>
          <w:sz w:val="28"/>
          <w:szCs w:val="28"/>
          <w:highlight w:val="white"/>
        </w:rPr>
        <w:lastRenderedPageBreak/>
        <w:t>потенціалу територій з особливими умовами для розвитку, поширення позитивного впливу регіональних полюсів зростання (міських агломерацій, міст) та територій сталого розвитку, що повинно сприяти зниженню рівня міжрегіональної та внутрішньорегіональної асиметрії в розвитку територіальних громад та якості життя людини</w:t>
      </w:r>
      <w:r w:rsidR="00040BCB" w:rsidRPr="00AD77F3">
        <w:rPr>
          <w:rFonts w:ascii="Times New Roman" w:eastAsia="Times New Roman" w:hAnsi="Times New Roman" w:cs="Times New Roman"/>
          <w:color w:val="000000" w:themeColor="text1"/>
          <w:sz w:val="28"/>
          <w:szCs w:val="28"/>
          <w:lang w:val="ru-RU"/>
        </w:rPr>
        <w:t>.</w:t>
      </w:r>
    </w:p>
    <w:p w:rsidR="005D595A" w:rsidRPr="00AD77F3" w:rsidRDefault="00183E3F" w:rsidP="00040BCB">
      <w:pPr>
        <w:pStyle w:val="1"/>
        <w:keepNext w:val="0"/>
        <w:keepLines w:val="0"/>
        <w:spacing w:before="0" w:line="240" w:lineRule="auto"/>
        <w:ind w:firstLine="709"/>
        <w:jc w:val="center"/>
        <w:rPr>
          <w:rFonts w:ascii="Times New Roman" w:eastAsia="Times New Roman" w:hAnsi="Times New Roman" w:cs="Times New Roman"/>
          <w:color w:val="000000" w:themeColor="text1"/>
          <w:sz w:val="28"/>
          <w:szCs w:val="28"/>
        </w:rPr>
      </w:pPr>
      <w:bookmarkStart w:id="2" w:name="_vgst17uw03si" w:colFirst="0" w:colLast="0"/>
      <w:bookmarkEnd w:id="2"/>
      <w:r w:rsidRPr="00AD77F3">
        <w:rPr>
          <w:rFonts w:ascii="Times New Roman" w:eastAsia="Times New Roman" w:hAnsi="Times New Roman" w:cs="Times New Roman"/>
          <w:b/>
          <w:color w:val="000000" w:themeColor="text1"/>
          <w:sz w:val="28"/>
          <w:szCs w:val="28"/>
        </w:rPr>
        <w:t>Тенденції та основні проблеми соціально-економічного розвитку регіонів</w:t>
      </w:r>
    </w:p>
    <w:p w:rsidR="005D595A" w:rsidRPr="00040BCB"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040BCB">
        <w:rPr>
          <w:rFonts w:ascii="Times New Roman" w:eastAsia="Times New Roman" w:hAnsi="Times New Roman" w:cs="Times New Roman"/>
          <w:color w:val="000000" w:themeColor="text1"/>
          <w:sz w:val="28"/>
          <w:szCs w:val="28"/>
        </w:rPr>
        <w:t>Завдяки реформам своїх багаторівневих структур управління, які розпочала Україна у 2014 році, було надано значний імпульс розвитку держави та її регіонів, зокрема створено нову законодавчу базу для місцевого самоврядування та державної регіональної політики. Фінансова децентралізація, формування нового адміністративно-територіального устрою та передача значних повноважень територіальним громадам підвищила спроможність місцевого самоврядування. Також суттєво зросло фінансування регіонального та місцевого розвитку, що сприяло підвищенню якості та доступності публічних послуг, зростанню доходів та зайнятості населення.</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Внутрішні реформи також забезпечували загалом позитивну динаміку України в основних міжнародних рейтингах, що стосуються розвитку людського капіталу, конкурентоспроможності та відкритості для бізнесу.</w:t>
      </w:r>
      <w:r w:rsidRPr="00040BCB">
        <w:rPr>
          <w:rFonts w:ascii="Times New Roman" w:eastAsia="Times New Roman" w:hAnsi="Times New Roman" w:cs="Times New Roman"/>
          <w:sz w:val="28"/>
          <w:szCs w:val="28"/>
        </w:rPr>
        <w:tab/>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Починаючи з 2015 року Україна стабільно демонструвала зростання Індексу людського розвитку (Human Development Index, HDI) — інтегрального показника, що розраховується щорічно для міждержавного порівняння і вимірювання рівня життя,</w:t>
      </w:r>
      <w:hyperlink r:id="rId9">
        <w:r w:rsidRPr="00040BCB">
          <w:rPr>
            <w:rFonts w:ascii="Times New Roman" w:eastAsia="Times New Roman" w:hAnsi="Times New Roman" w:cs="Times New Roman"/>
            <w:sz w:val="28"/>
            <w:szCs w:val="28"/>
          </w:rPr>
          <w:t xml:space="preserve"> </w:t>
        </w:r>
      </w:hyperlink>
      <w:hyperlink r:id="rId10">
        <w:r w:rsidRPr="00040BCB">
          <w:rPr>
            <w:rFonts w:ascii="Times New Roman" w:eastAsia="Times New Roman" w:hAnsi="Times New Roman" w:cs="Times New Roman"/>
            <w:sz w:val="28"/>
            <w:szCs w:val="28"/>
          </w:rPr>
          <w:t>грамотності</w:t>
        </w:r>
      </w:hyperlink>
      <w:r w:rsidRPr="00040BCB">
        <w:rPr>
          <w:rFonts w:ascii="Times New Roman" w:eastAsia="Times New Roman" w:hAnsi="Times New Roman" w:cs="Times New Roman"/>
          <w:sz w:val="28"/>
          <w:szCs w:val="28"/>
        </w:rPr>
        <w:t>, освіченості і</w:t>
      </w:r>
      <w:hyperlink r:id="rId11">
        <w:r w:rsidRPr="00040BCB">
          <w:rPr>
            <w:rFonts w:ascii="Times New Roman" w:eastAsia="Times New Roman" w:hAnsi="Times New Roman" w:cs="Times New Roman"/>
            <w:sz w:val="28"/>
            <w:szCs w:val="28"/>
          </w:rPr>
          <w:t xml:space="preserve"> </w:t>
        </w:r>
      </w:hyperlink>
      <w:hyperlink r:id="rId12">
        <w:r w:rsidRPr="00040BCB">
          <w:rPr>
            <w:rFonts w:ascii="Times New Roman" w:eastAsia="Times New Roman" w:hAnsi="Times New Roman" w:cs="Times New Roman"/>
            <w:sz w:val="28"/>
            <w:szCs w:val="28"/>
          </w:rPr>
          <w:t>довголіття</w:t>
        </w:r>
      </w:hyperlink>
      <w:r w:rsidRPr="00040BCB">
        <w:rPr>
          <w:rFonts w:ascii="Times New Roman" w:eastAsia="Times New Roman" w:hAnsi="Times New Roman" w:cs="Times New Roman"/>
          <w:sz w:val="28"/>
          <w:szCs w:val="28"/>
        </w:rPr>
        <w:t>, як основних характеристик людського</w:t>
      </w:r>
      <w:hyperlink r:id="rId13">
        <w:r w:rsidRPr="00040BCB">
          <w:rPr>
            <w:rFonts w:ascii="Times New Roman" w:eastAsia="Times New Roman" w:hAnsi="Times New Roman" w:cs="Times New Roman"/>
            <w:sz w:val="28"/>
            <w:szCs w:val="28"/>
          </w:rPr>
          <w:t xml:space="preserve"> </w:t>
        </w:r>
      </w:hyperlink>
      <w:hyperlink r:id="rId14">
        <w:r w:rsidRPr="00040BCB">
          <w:rPr>
            <w:rFonts w:ascii="Times New Roman" w:eastAsia="Times New Roman" w:hAnsi="Times New Roman" w:cs="Times New Roman"/>
            <w:sz w:val="28"/>
            <w:szCs w:val="28"/>
          </w:rPr>
          <w:t>потенціалу</w:t>
        </w:r>
      </w:hyperlink>
      <w:r w:rsidRPr="00040BCB">
        <w:rPr>
          <w:rFonts w:ascii="Times New Roman" w:eastAsia="Times New Roman" w:hAnsi="Times New Roman" w:cs="Times New Roman"/>
          <w:sz w:val="28"/>
          <w:szCs w:val="28"/>
        </w:rPr>
        <w:t xml:space="preserve">. У 2020-2021 роках значення індексу України знизилося через пандемію COVID-19 та її наслідки, що загалом відповідає світовій тенденції. При цьому Україна стабільно займає місце серед групи країн з “високим” значенням індексу.  </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Також, починаючи з 2012 року Україна стаб</w:t>
      </w:r>
      <w:r w:rsidR="00040BCB">
        <w:rPr>
          <w:rFonts w:ascii="Times New Roman" w:eastAsia="Times New Roman" w:hAnsi="Times New Roman" w:cs="Times New Roman"/>
          <w:sz w:val="28"/>
          <w:szCs w:val="28"/>
        </w:rPr>
        <w:t xml:space="preserve">ільно покращувала свої оцінки </w:t>
      </w:r>
      <w:proofErr w:type="gramStart"/>
      <w:r w:rsidR="00040BCB">
        <w:rPr>
          <w:rFonts w:ascii="Times New Roman" w:eastAsia="Times New Roman" w:hAnsi="Times New Roman" w:cs="Times New Roman"/>
          <w:sz w:val="28"/>
          <w:szCs w:val="28"/>
        </w:rPr>
        <w:t xml:space="preserve">в </w:t>
      </w:r>
      <w:r w:rsidRPr="00040BCB">
        <w:rPr>
          <w:rFonts w:ascii="Times New Roman" w:eastAsia="Times New Roman" w:hAnsi="Times New Roman" w:cs="Times New Roman"/>
          <w:sz w:val="28"/>
          <w:szCs w:val="28"/>
        </w:rPr>
        <w:t>рейтингу</w:t>
      </w:r>
      <w:proofErr w:type="gramEnd"/>
      <w:r w:rsidRPr="00040BCB">
        <w:rPr>
          <w:rFonts w:ascii="Times New Roman" w:eastAsia="Times New Roman" w:hAnsi="Times New Roman" w:cs="Times New Roman"/>
          <w:sz w:val="28"/>
          <w:szCs w:val="28"/>
        </w:rPr>
        <w:t xml:space="preserve"> Doing Business, який дає можливість оцінити легкість ведення бізнесу за десятьма основними показниками та дозволяє порівнювати країни між собою. В 2020 році (останньому рейтингу, опублікованому Світовим банком) Україна піднялася на 64-те місце (у 2012 році - 152-ге місце). </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 xml:space="preserve">На жаль, протягом останніх років Україна не демонструвала стабільної позитивної динаміки підвищення економічної конкурентоспроможності, оціненої за допомогою Індексу глобальної конкурентоспроможності (Global Competitiveness Index, GCI). Індекс оцінює спроможність країн забезпечити високий рівень процвітання власних громадян, що залежить від того, наскільки продуктивно країна використовує наявні ресурси. Через це, індекс вимірює сукупність (вплив) інститутів, політики та чинників, які визначають стійкий поточний та середньостроковий рівні економічного процвітання. Рейтинг України коливався від </w:t>
      </w:r>
      <w:r w:rsidRPr="00040BCB">
        <w:rPr>
          <w:rFonts w:ascii="Times New Roman" w:eastAsia="Times New Roman" w:hAnsi="Times New Roman" w:cs="Times New Roman"/>
          <w:sz w:val="28"/>
          <w:szCs w:val="28"/>
        </w:rPr>
        <w:lastRenderedPageBreak/>
        <w:t>76-го (у 2015 році) до 89-го (у 2017 році). Традиційно слабкими секторами України є “Фінансова система”, “Макроекономічна стабільність” та “Інституції”, а сильними - “Знання”, “Ринок праці”, “Внутрішній ринок”.</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Стабільною тенденцією останніх двох десятиліть є скорочення чисельності населення в більшості регіонів (зокрема, зниження чисельності населення в кількох регіонах, де сільське господарство було основною галуззю, становило понад 10%) та інтенсивне зростання м. Київ та агломерації. Одне м. Київ забезпечувало 50% сукупного приросту валового внутрішнього продукту України в період 2004-2014 років, навіть коли його частка у валовому внутрішньому продукті України становила лише 17,8% у 2004 році. У 2014-2021 роках на м. Київ та Київську область припадало майже 30% загального економічного зростання.</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Повномасштабна збройна агресія російської федерації проти України 24 лютого 2022 року призвела до тимчасової окупації частини території України, значних руйнувань інфраструктури і природних екосистем, мільйонів вимушених переселенців та рекордного падіння економіки України.</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 xml:space="preserve">23 червня 2022 року Європейська Рада своїм рішенням надала Україні статус кандидата на вступ до Європейського Союзу. Досвід попередніх розширень ЄС показав, що процес вступу до ЄС є важливим стимулом для реформування та модернізації країни-кандидата. У новому статусі перед Україною стоятимуть завдання підвищення адміністративної спроможності </w:t>
      </w:r>
      <w:r w:rsidRPr="00040BCB">
        <w:rPr>
          <w:rFonts w:ascii="Times New Roman" w:eastAsia="Times New Roman" w:hAnsi="Times New Roman" w:cs="Times New Roman"/>
          <w:color w:val="333333"/>
          <w:sz w:val="28"/>
          <w:szCs w:val="28"/>
          <w:highlight w:val="white"/>
        </w:rPr>
        <w:t>інституцій на державному, регіональному та місцевому рівні</w:t>
      </w:r>
      <w:r w:rsidRPr="00040BCB">
        <w:rPr>
          <w:rFonts w:ascii="Times New Roman" w:eastAsia="Times New Roman" w:hAnsi="Times New Roman" w:cs="Times New Roman"/>
          <w:sz w:val="28"/>
          <w:szCs w:val="28"/>
        </w:rPr>
        <w:t>, що є важливим фактором успішних передвступних переговорів, ефективного використання коштів та подальшого вступу до ЄС. Це потребує перегляду та оцінки викликів, які постали перед Україною та її регіонами.</w:t>
      </w:r>
    </w:p>
    <w:p w:rsidR="005D595A" w:rsidRPr="00040BCB" w:rsidRDefault="00183E3F" w:rsidP="005D2406">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Набір викликів, представлених нижче, був підготовлений на основі аналізу, досліджень та оцінки ситуації соціально-економічного розвитку країни. Відповідь на окремі виклики залежатиме від їх масштабу, значення для країни, регіонів та окремих територіальних громад та потребуватиме правильно підібраного втручання та координації регіональної політики з політикою відновлення та галузевими політиками із сфокусованим територіальним спрямуванням. На цій основі було визначено вісім актуальних викликів розвитку країни, що потребують вирішення, в тому числі, в рамках державної регіональної політики до закінчення планового періоду:</w:t>
      </w:r>
    </w:p>
    <w:p w:rsidR="005D595A" w:rsidRPr="00040BCB" w:rsidRDefault="00183E3F" w:rsidP="00040BCB">
      <w:pPr>
        <w:spacing w:before="240" w:after="240" w:line="240" w:lineRule="auto"/>
        <w:ind w:firstLine="709"/>
        <w:jc w:val="both"/>
        <w:rPr>
          <w:rFonts w:ascii="Times New Roman" w:eastAsia="Times New Roman" w:hAnsi="Times New Roman" w:cs="Times New Roman"/>
          <w:color w:val="333333"/>
          <w:sz w:val="28"/>
          <w:szCs w:val="28"/>
          <w:highlight w:val="white"/>
        </w:rPr>
      </w:pPr>
      <w:r w:rsidRPr="00040BCB">
        <w:rPr>
          <w:rFonts w:ascii="Times New Roman" w:eastAsia="Times New Roman" w:hAnsi="Times New Roman" w:cs="Times New Roman"/>
          <w:sz w:val="28"/>
          <w:szCs w:val="28"/>
        </w:rPr>
        <w:t>1. Втрата людського капіталу та прискорення депопуляції населення внаслідок вимушеної міграції, бойових дій, окупації та терористичних актів російської федерації;</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2. Різкі просторові та структурні зміни в економіці, втрата експортного потенціалу регіонів;</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lastRenderedPageBreak/>
        <w:t>3. Збільшення кількості територій, які потребують державної підтримки;</w:t>
      </w:r>
    </w:p>
    <w:p w:rsidR="005D595A" w:rsidRPr="00040BCB"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 xml:space="preserve">4. Значні </w:t>
      </w:r>
      <w:r w:rsidRPr="00040BCB">
        <w:rPr>
          <w:rFonts w:ascii="Times New Roman" w:eastAsia="Times New Roman" w:hAnsi="Times New Roman" w:cs="Times New Roman"/>
          <w:color w:val="333333"/>
          <w:sz w:val="28"/>
          <w:szCs w:val="28"/>
          <w:highlight w:val="white"/>
        </w:rPr>
        <w:t xml:space="preserve">пошкодження та знищення інфраструктури внаслідок бойових дій, терористичних актів, диверсій, спричинених збройною агресією російської федерації </w:t>
      </w:r>
      <w:r w:rsidRPr="00040BCB">
        <w:rPr>
          <w:rFonts w:ascii="Times New Roman" w:eastAsia="Times New Roman" w:hAnsi="Times New Roman" w:cs="Times New Roman"/>
          <w:sz w:val="28"/>
          <w:szCs w:val="28"/>
        </w:rPr>
        <w:t>та</w:t>
      </w:r>
      <w:r w:rsidR="00120C1F" w:rsidRPr="00040BCB">
        <w:rPr>
          <w:rFonts w:ascii="Times New Roman" w:eastAsia="Times New Roman" w:hAnsi="Times New Roman" w:cs="Times New Roman"/>
          <w:sz w:val="28"/>
          <w:szCs w:val="28"/>
        </w:rPr>
        <w:t xml:space="preserve"> невідповідність інфраструктури </w:t>
      </w:r>
      <w:r w:rsidRPr="00040BCB">
        <w:rPr>
          <w:rFonts w:ascii="Times New Roman" w:eastAsia="Times New Roman" w:hAnsi="Times New Roman" w:cs="Times New Roman"/>
          <w:color w:val="333333"/>
          <w:sz w:val="28"/>
          <w:szCs w:val="28"/>
          <w:highlight w:val="white"/>
        </w:rPr>
        <w:t>актуальним потребам людини, економіки та безпековим викликам</w:t>
      </w:r>
      <w:r w:rsidRPr="00040BCB">
        <w:rPr>
          <w:rFonts w:ascii="Times New Roman" w:eastAsia="Times New Roman" w:hAnsi="Times New Roman" w:cs="Times New Roman"/>
          <w:sz w:val="28"/>
          <w:szCs w:val="28"/>
        </w:rPr>
        <w:t>;</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5. Втрата транзитного потенціалу та вимушена переорієнтація транспортно-логістичних потоків;</w:t>
      </w:r>
    </w:p>
    <w:p w:rsidR="005D595A" w:rsidRPr="00040BCB" w:rsidRDefault="00183E3F" w:rsidP="00040BCB">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 xml:space="preserve">6. Екологічна шкода внаслідок </w:t>
      </w:r>
      <w:r w:rsidRPr="00040BCB">
        <w:rPr>
          <w:rFonts w:ascii="Times New Roman" w:eastAsia="Times New Roman" w:hAnsi="Times New Roman" w:cs="Times New Roman"/>
          <w:color w:val="333333"/>
          <w:sz w:val="28"/>
          <w:szCs w:val="28"/>
          <w:highlight w:val="white"/>
        </w:rPr>
        <w:t>бойових дій, терористичних актів, диверсій, спричинених збройною агресією російської федерації проти України</w:t>
      </w:r>
      <w:r w:rsidRPr="00040BCB">
        <w:rPr>
          <w:rFonts w:ascii="Times New Roman" w:eastAsia="Times New Roman" w:hAnsi="Times New Roman" w:cs="Times New Roman"/>
          <w:sz w:val="28"/>
          <w:szCs w:val="28"/>
        </w:rPr>
        <w:t xml:space="preserve">, неможливість використання територій через </w:t>
      </w:r>
      <w:r w:rsidRPr="00040BCB">
        <w:rPr>
          <w:rFonts w:ascii="Times New Roman" w:eastAsia="Times New Roman" w:hAnsi="Times New Roman" w:cs="Times New Roman"/>
          <w:color w:val="333333"/>
          <w:sz w:val="28"/>
          <w:szCs w:val="28"/>
          <w:highlight w:val="white"/>
        </w:rPr>
        <w:t>небезпеку, пов’язану з забрудненням вибухонебезпечними предметами</w:t>
      </w:r>
      <w:r w:rsidRPr="00040BCB">
        <w:rPr>
          <w:rFonts w:ascii="Times New Roman" w:eastAsia="Times New Roman" w:hAnsi="Times New Roman" w:cs="Times New Roman"/>
          <w:sz w:val="28"/>
          <w:szCs w:val="28"/>
        </w:rPr>
        <w:t>;</w:t>
      </w:r>
    </w:p>
    <w:p w:rsidR="005D595A" w:rsidRPr="00040BCB" w:rsidRDefault="00183E3F" w:rsidP="00040BCB">
      <w:pPr>
        <w:spacing w:before="240" w:after="240" w:line="240" w:lineRule="auto"/>
        <w:ind w:firstLine="709"/>
        <w:jc w:val="both"/>
        <w:rPr>
          <w:rFonts w:ascii="Times New Roman" w:eastAsia="Times New Roman" w:hAnsi="Times New Roman" w:cs="Times New Roman"/>
          <w:color w:val="333333"/>
          <w:sz w:val="28"/>
          <w:szCs w:val="28"/>
          <w:highlight w:val="white"/>
        </w:rPr>
      </w:pPr>
      <w:r w:rsidRPr="00040BCB">
        <w:rPr>
          <w:rFonts w:ascii="Times New Roman" w:eastAsia="Times New Roman" w:hAnsi="Times New Roman" w:cs="Times New Roman"/>
          <w:sz w:val="28"/>
          <w:szCs w:val="28"/>
        </w:rPr>
        <w:t>7. Тимчасова окупація територій та втрата інституційної спроможності влади на місцевому рівні внаслідок повномасштабної збройної агресії російської федерації;</w:t>
      </w:r>
    </w:p>
    <w:p w:rsidR="005D595A" w:rsidRPr="0012131A" w:rsidRDefault="00183E3F" w:rsidP="0012131A">
      <w:pPr>
        <w:spacing w:before="240" w:after="240" w:line="240" w:lineRule="auto"/>
        <w:ind w:firstLine="709"/>
        <w:jc w:val="both"/>
        <w:rPr>
          <w:rFonts w:ascii="Times New Roman" w:eastAsia="Times New Roman" w:hAnsi="Times New Roman" w:cs="Times New Roman"/>
          <w:sz w:val="28"/>
          <w:szCs w:val="28"/>
        </w:rPr>
      </w:pPr>
      <w:r w:rsidRPr="00040BCB">
        <w:rPr>
          <w:rFonts w:ascii="Times New Roman" w:eastAsia="Times New Roman" w:hAnsi="Times New Roman" w:cs="Times New Roman"/>
          <w:sz w:val="28"/>
          <w:szCs w:val="28"/>
        </w:rPr>
        <w:t>8. Неготовність системи управління регіональним розвитком до процедур та кращих практик ЄС.</w:t>
      </w:r>
    </w:p>
    <w:p w:rsidR="005D595A" w:rsidRPr="00AD77F3" w:rsidRDefault="00183E3F" w:rsidP="00040BCB">
      <w:pPr>
        <w:pStyle w:val="1"/>
        <w:keepNext w:val="0"/>
        <w:keepLines w:val="0"/>
        <w:spacing w:before="0" w:line="240" w:lineRule="auto"/>
        <w:ind w:firstLine="709"/>
        <w:jc w:val="both"/>
        <w:rPr>
          <w:rFonts w:ascii="Times New Roman" w:eastAsia="Times New Roman" w:hAnsi="Times New Roman" w:cs="Times New Roman"/>
          <w:b/>
          <w:i/>
          <w:color w:val="000000" w:themeColor="text1"/>
          <w:sz w:val="28"/>
          <w:szCs w:val="28"/>
        </w:rPr>
      </w:pPr>
      <w:bookmarkStart w:id="3" w:name="_3i9zgk2u6owf" w:colFirst="0" w:colLast="0"/>
      <w:bookmarkEnd w:id="3"/>
      <w:r w:rsidRPr="00AD77F3">
        <w:rPr>
          <w:rFonts w:ascii="Times New Roman" w:eastAsia="Times New Roman" w:hAnsi="Times New Roman" w:cs="Times New Roman"/>
          <w:b/>
          <w:i/>
          <w:color w:val="000000" w:themeColor="text1"/>
          <w:sz w:val="28"/>
          <w:szCs w:val="28"/>
        </w:rPr>
        <w:t xml:space="preserve">1. </w:t>
      </w:r>
      <w:hyperlink r:id="rId15" w:anchor="heading=h.hsu3ffrvkvwh">
        <w:r w:rsidRPr="00AD77F3">
          <w:rPr>
            <w:rFonts w:ascii="Times New Roman" w:eastAsia="Times New Roman" w:hAnsi="Times New Roman" w:cs="Times New Roman"/>
            <w:b/>
            <w:i/>
            <w:color w:val="000000" w:themeColor="text1"/>
            <w:sz w:val="28"/>
            <w:szCs w:val="28"/>
          </w:rPr>
          <w:t>Втрата людського капіталу та прискорення депопуляції населення внаслідок вимушеної міграції, бойових дій, окупації та терористичних актів російської ф</w:t>
        </w:r>
      </w:hyperlink>
      <w:r w:rsidRPr="00AD77F3">
        <w:rPr>
          <w:rFonts w:ascii="Times New Roman" w:eastAsia="Times New Roman" w:hAnsi="Times New Roman" w:cs="Times New Roman"/>
          <w:b/>
          <w:i/>
          <w:color w:val="000000" w:themeColor="text1"/>
          <w:sz w:val="28"/>
          <w:szCs w:val="28"/>
        </w:rPr>
        <w:t>едерації.</w:t>
      </w:r>
    </w:p>
    <w:p w:rsidR="005D595A" w:rsidRPr="00D26FE3" w:rsidRDefault="00183E3F" w:rsidP="00040BCB">
      <w:pPr>
        <w:pStyle w:val="1"/>
        <w:keepNext w:val="0"/>
        <w:keepLines w:val="0"/>
        <w:spacing w:before="0" w:line="240" w:lineRule="auto"/>
        <w:ind w:firstLine="709"/>
        <w:jc w:val="both"/>
        <w:rPr>
          <w:rFonts w:ascii="Times New Roman" w:eastAsia="Times New Roman" w:hAnsi="Times New Roman" w:cs="Times New Roman"/>
          <w:color w:val="000000" w:themeColor="text1"/>
          <w:sz w:val="28"/>
          <w:szCs w:val="28"/>
        </w:rPr>
      </w:pPr>
      <w:bookmarkStart w:id="4" w:name="_rtryyir59xog" w:colFirst="0" w:colLast="0"/>
      <w:bookmarkEnd w:id="4"/>
      <w:r w:rsidRPr="00D26FE3">
        <w:rPr>
          <w:rFonts w:ascii="Times New Roman" w:eastAsia="Times New Roman" w:hAnsi="Times New Roman" w:cs="Times New Roman"/>
          <w:color w:val="000000" w:themeColor="text1"/>
          <w:sz w:val="28"/>
          <w:szCs w:val="28"/>
        </w:rPr>
        <w:t>Військова агресія російської федерації несе найбільші виклики для формування людського капіталу в Україні як в короткостроковій, так і в довгостроковій пер</w:t>
      </w:r>
      <w:r w:rsidR="00120C1F" w:rsidRPr="00D26FE3">
        <w:rPr>
          <w:rFonts w:ascii="Times New Roman" w:eastAsia="Times New Roman" w:hAnsi="Times New Roman" w:cs="Times New Roman"/>
          <w:color w:val="000000" w:themeColor="text1"/>
          <w:sz w:val="28"/>
          <w:szCs w:val="28"/>
        </w:rPr>
        <w:t xml:space="preserve">спективі, оскільки руйнує його демографічну </w:t>
      </w:r>
      <w:r w:rsidRPr="00D26FE3">
        <w:rPr>
          <w:rFonts w:ascii="Times New Roman" w:eastAsia="Times New Roman" w:hAnsi="Times New Roman" w:cs="Times New Roman"/>
          <w:color w:val="000000" w:themeColor="text1"/>
          <w:sz w:val="28"/>
          <w:szCs w:val="28"/>
        </w:rPr>
        <w:t>основу. За прогнозами, в Україні посилюватиметься негативна динаміка народжуваності; війна</w:t>
      </w:r>
      <w:r w:rsidR="00120C1F" w:rsidRPr="00D26FE3">
        <w:rPr>
          <w:rFonts w:ascii="Times New Roman" w:eastAsia="Times New Roman" w:hAnsi="Times New Roman" w:cs="Times New Roman"/>
          <w:color w:val="000000" w:themeColor="text1"/>
          <w:sz w:val="28"/>
          <w:szCs w:val="28"/>
        </w:rPr>
        <w:t xml:space="preserve"> неминуче спричинить </w:t>
      </w:r>
      <w:r w:rsidRPr="00D26FE3">
        <w:rPr>
          <w:rFonts w:ascii="Times New Roman" w:eastAsia="Times New Roman" w:hAnsi="Times New Roman" w:cs="Times New Roman"/>
          <w:color w:val="000000" w:themeColor="text1"/>
          <w:sz w:val="28"/>
          <w:szCs w:val="28"/>
        </w:rPr>
        <w:t>зростання рівня смертності та скорочення тривалості життя.</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Через </w:t>
      </w:r>
      <w:r w:rsidRPr="00D26FE3">
        <w:rPr>
          <w:rFonts w:ascii="Times New Roman" w:eastAsia="Times New Roman" w:hAnsi="Times New Roman" w:cs="Times New Roman"/>
          <w:color w:val="000000" w:themeColor="text1"/>
          <w:sz w:val="28"/>
          <w:szCs w:val="28"/>
          <w:highlight w:val="white"/>
        </w:rPr>
        <w:t xml:space="preserve">збройну агресією російської федерації проти України </w:t>
      </w:r>
      <w:r w:rsidRPr="00D26FE3">
        <w:rPr>
          <w:rFonts w:ascii="Times New Roman" w:eastAsia="Times New Roman" w:hAnsi="Times New Roman" w:cs="Times New Roman"/>
          <w:color w:val="000000" w:themeColor="text1"/>
          <w:sz w:val="28"/>
          <w:szCs w:val="28"/>
        </w:rPr>
        <w:t xml:space="preserve"> підвищуються ризики падіння доходів та зростання бідності: частка осіб, що змушені економити на їжі у поточному році збільшилась вдвічі, масштаби руйнувань житлових будівель перевищують обсяги усього нового житла, введеного в експлуатацію за останні сім років; від бомбардувань та обстрілів постраждали заклади освіти та охорони здоровʼя. Війна також поглиблює соціальну нерівність через ускладнення доступу жителів різних територій до публічних послуг.</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Найсуттєвіше на демографічну ситуацію в країні, відтворення та розвит</w:t>
      </w:r>
      <w:r w:rsidR="00120C1F" w:rsidRPr="00D26FE3">
        <w:rPr>
          <w:rFonts w:ascii="Times New Roman" w:eastAsia="Times New Roman" w:hAnsi="Times New Roman" w:cs="Times New Roman"/>
          <w:color w:val="000000" w:themeColor="text1"/>
          <w:sz w:val="28"/>
          <w:szCs w:val="28"/>
        </w:rPr>
        <w:t xml:space="preserve">ок людського капіталу і надалі </w:t>
      </w:r>
      <w:r w:rsidRPr="00D26FE3">
        <w:rPr>
          <w:rFonts w:ascii="Times New Roman" w:eastAsia="Times New Roman" w:hAnsi="Times New Roman" w:cs="Times New Roman"/>
          <w:color w:val="000000" w:themeColor="text1"/>
          <w:sz w:val="28"/>
          <w:szCs w:val="28"/>
        </w:rPr>
        <w:t xml:space="preserve">впливатимуть міграційні процеси. Статус тимчасового захисту у країнах Європи на початок червня 2023 року отримали близько 5,14 млн українців, в російській федерації та </w:t>
      </w:r>
      <w:r w:rsidR="00120C1F" w:rsidRPr="00D26FE3">
        <w:rPr>
          <w:rFonts w:ascii="Times New Roman" w:eastAsia="Times New Roman" w:hAnsi="Times New Roman" w:cs="Times New Roman"/>
          <w:color w:val="000000" w:themeColor="text1"/>
          <w:sz w:val="28"/>
          <w:szCs w:val="28"/>
          <w:highlight w:val="white"/>
        </w:rPr>
        <w:t xml:space="preserve">Республіці Білорусь </w:t>
      </w:r>
      <w:r w:rsidRPr="00D26FE3">
        <w:rPr>
          <w:rFonts w:ascii="Times New Roman" w:eastAsia="Times New Roman" w:hAnsi="Times New Roman" w:cs="Times New Roman"/>
          <w:color w:val="000000" w:themeColor="text1"/>
          <w:sz w:val="28"/>
          <w:szCs w:val="28"/>
        </w:rPr>
        <w:t xml:space="preserve">перебували близько 1,5 млн українських громадян більшість вимушених переселенців за кордон мають </w:t>
      </w:r>
      <w:r w:rsidRPr="00D26FE3">
        <w:rPr>
          <w:rFonts w:ascii="Times New Roman" w:eastAsia="Times New Roman" w:hAnsi="Times New Roman" w:cs="Times New Roman"/>
          <w:color w:val="000000" w:themeColor="text1"/>
          <w:sz w:val="28"/>
          <w:szCs w:val="28"/>
        </w:rPr>
        <w:lastRenderedPageBreak/>
        <w:t>вищу або незакінчену вищу освіту (близько 70% від респондентів/ок). Як свідчить міжнародний досвід, тривалість перебув</w:t>
      </w:r>
      <w:r w:rsidR="00120C1F" w:rsidRPr="00D26FE3">
        <w:rPr>
          <w:rFonts w:ascii="Times New Roman" w:eastAsia="Times New Roman" w:hAnsi="Times New Roman" w:cs="Times New Roman"/>
          <w:color w:val="000000" w:themeColor="text1"/>
          <w:sz w:val="28"/>
          <w:szCs w:val="28"/>
        </w:rPr>
        <w:t xml:space="preserve">ання у новому місці проживання </w:t>
      </w:r>
      <w:r w:rsidRPr="00D26FE3">
        <w:rPr>
          <w:rFonts w:ascii="Times New Roman" w:eastAsia="Times New Roman" w:hAnsi="Times New Roman" w:cs="Times New Roman"/>
          <w:color w:val="000000" w:themeColor="text1"/>
          <w:sz w:val="28"/>
          <w:szCs w:val="28"/>
        </w:rPr>
        <w:t xml:space="preserve">довше 6 місяців майже гарантує, що більшість таких біженців залишаться за кордоном і подальші їх переміщення не будуть пов’язані з Україною.  </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Майже 4,9 млн українців отримали офіційний статус внутрішньо переміщеної особи, який дає змогу отримувати соціальну допомогу від держави та міжнародних організацій.  Частина громадян може надалі відмовитися від повернення в місця попереднього проживання.</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Важливим фактором впливу на формування та відтворення людського капіталу є наявність значної кількості ветеранів російсько-української війни, які потребуватимуть реабілітації, реадаптації та реінтеграції. За попередніми експертними оцінками їх кількість досягне 2,0 млн осіб.</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В умовах війни високим залишається рівень безробіття, яке набуває ознак структурного</w:t>
      </w:r>
      <w:r w:rsidR="00120C1F" w:rsidRPr="00D26FE3">
        <w:rPr>
          <w:rFonts w:ascii="Times New Roman" w:eastAsia="Times New Roman" w:hAnsi="Times New Roman" w:cs="Times New Roman"/>
          <w:color w:val="000000" w:themeColor="text1"/>
          <w:sz w:val="28"/>
          <w:szCs w:val="28"/>
        </w:rPr>
        <w:t xml:space="preserve">. Існує значний </w:t>
      </w:r>
      <w:r w:rsidRPr="00D26FE3">
        <w:rPr>
          <w:rFonts w:ascii="Times New Roman" w:eastAsia="Times New Roman" w:hAnsi="Times New Roman" w:cs="Times New Roman"/>
          <w:color w:val="000000" w:themeColor="text1"/>
          <w:sz w:val="28"/>
          <w:szCs w:val="28"/>
        </w:rPr>
        <w:t xml:space="preserve">розрив у забезпеченні робітничими кадрами, </w:t>
      </w:r>
      <w:r w:rsidR="00120C1F" w:rsidRPr="00D26FE3">
        <w:rPr>
          <w:rFonts w:ascii="Times New Roman" w:eastAsia="Times New Roman" w:hAnsi="Times New Roman" w:cs="Times New Roman"/>
          <w:color w:val="000000" w:themeColor="text1"/>
          <w:sz w:val="28"/>
          <w:szCs w:val="28"/>
        </w:rPr>
        <w:t>в тому числі</w:t>
      </w:r>
      <w:r w:rsidRPr="00D26FE3">
        <w:rPr>
          <w:rFonts w:ascii="Times New Roman" w:eastAsia="Times New Roman" w:hAnsi="Times New Roman" w:cs="Times New Roman"/>
          <w:color w:val="000000" w:themeColor="text1"/>
          <w:sz w:val="28"/>
          <w:szCs w:val="28"/>
        </w:rPr>
        <w:t xml:space="preserve"> релокованих пр</w:t>
      </w:r>
      <w:r w:rsidR="00120C1F" w:rsidRPr="00D26FE3">
        <w:rPr>
          <w:rFonts w:ascii="Times New Roman" w:eastAsia="Times New Roman" w:hAnsi="Times New Roman" w:cs="Times New Roman"/>
          <w:color w:val="000000" w:themeColor="text1"/>
          <w:sz w:val="28"/>
          <w:szCs w:val="28"/>
        </w:rPr>
        <w:t>омислових підприємств. Загалом,</w:t>
      </w:r>
      <w:r w:rsidRPr="00D26FE3">
        <w:rPr>
          <w:rFonts w:ascii="Times New Roman" w:eastAsia="Times New Roman" w:hAnsi="Times New Roman" w:cs="Times New Roman"/>
          <w:color w:val="000000" w:themeColor="text1"/>
          <w:sz w:val="28"/>
          <w:szCs w:val="28"/>
        </w:rPr>
        <w:t xml:space="preserve"> попри пожвавлення економічної активності, багато підприємств не</w:t>
      </w:r>
      <w:r w:rsidR="00120C1F" w:rsidRPr="00D26FE3">
        <w:rPr>
          <w:rFonts w:ascii="Times New Roman" w:eastAsia="Times New Roman" w:hAnsi="Times New Roman" w:cs="Times New Roman"/>
          <w:color w:val="000000" w:themeColor="text1"/>
          <w:sz w:val="28"/>
          <w:szCs w:val="28"/>
        </w:rPr>
        <w:t xml:space="preserve"> відновили свою діяльність, що </w:t>
      </w:r>
      <w:r w:rsidR="00040BCB" w:rsidRPr="00D26FE3">
        <w:rPr>
          <w:rFonts w:ascii="Times New Roman" w:eastAsia="Times New Roman" w:hAnsi="Times New Roman" w:cs="Times New Roman"/>
          <w:color w:val="000000" w:themeColor="text1"/>
          <w:sz w:val="28"/>
          <w:szCs w:val="28"/>
        </w:rPr>
        <w:t xml:space="preserve">позначається </w:t>
      </w:r>
      <w:proofErr w:type="gramStart"/>
      <w:r w:rsidR="00040BCB" w:rsidRPr="00D26FE3">
        <w:rPr>
          <w:rFonts w:ascii="Times New Roman" w:eastAsia="Times New Roman" w:hAnsi="Times New Roman" w:cs="Times New Roman"/>
          <w:color w:val="000000" w:themeColor="text1"/>
          <w:sz w:val="28"/>
          <w:szCs w:val="28"/>
        </w:rPr>
        <w:t xml:space="preserve">на </w:t>
      </w:r>
      <w:r w:rsidRPr="00D26FE3">
        <w:rPr>
          <w:rFonts w:ascii="Times New Roman" w:eastAsia="Times New Roman" w:hAnsi="Times New Roman" w:cs="Times New Roman"/>
          <w:color w:val="000000" w:themeColor="text1"/>
          <w:sz w:val="28"/>
          <w:szCs w:val="28"/>
        </w:rPr>
        <w:t>ринку</w:t>
      </w:r>
      <w:proofErr w:type="gramEnd"/>
      <w:r w:rsidRPr="00D26FE3">
        <w:rPr>
          <w:rFonts w:ascii="Times New Roman" w:eastAsia="Times New Roman" w:hAnsi="Times New Roman" w:cs="Times New Roman"/>
          <w:color w:val="000000" w:themeColor="text1"/>
          <w:sz w:val="28"/>
          <w:szCs w:val="28"/>
        </w:rPr>
        <w:t xml:space="preserve"> праці.  Через внутрішню міграцію та релокацію бізнесу найбільша кількість громадян, які шукають роботу, спостерігається спостерігається в Закарпатській, Чернівецькій, Львівській, Хмельницькій та Вінницькій областях. Найменша активність — в областях, на територіях яких відбуваються бойові дії. </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Таким чином, в умовах війни та значної депопуляції, всі регіони країни стикаються з великими ризиками втрати</w:t>
      </w:r>
      <w:r w:rsidRPr="00AD77F3">
        <w:rPr>
          <w:rFonts w:ascii="Times New Roman" w:eastAsia="Times New Roman" w:hAnsi="Times New Roman" w:cs="Times New Roman"/>
          <w:color w:val="000000" w:themeColor="text1"/>
          <w:sz w:val="28"/>
          <w:szCs w:val="28"/>
        </w:rPr>
        <w:t xml:space="preserve"> людського капіталу, розвиток якого потребує поєднан</w:t>
      </w:r>
      <w:r w:rsidR="00120C1F" w:rsidRPr="00AD77F3">
        <w:rPr>
          <w:rFonts w:ascii="Times New Roman" w:eastAsia="Times New Roman" w:hAnsi="Times New Roman" w:cs="Times New Roman"/>
          <w:color w:val="000000" w:themeColor="text1"/>
          <w:sz w:val="28"/>
          <w:szCs w:val="28"/>
        </w:rPr>
        <w:t xml:space="preserve">ня багатьох умов: забезпечення </w:t>
      </w:r>
      <w:r w:rsidRPr="00AD77F3">
        <w:rPr>
          <w:rFonts w:ascii="Times New Roman" w:eastAsia="Times New Roman" w:hAnsi="Times New Roman" w:cs="Times New Roman"/>
          <w:color w:val="000000" w:themeColor="text1"/>
          <w:sz w:val="28"/>
          <w:szCs w:val="28"/>
        </w:rPr>
        <w:t>заходів безпеки, стимулювання економічної активності населення, забезпечення гідної оплати праці, доступу до сучасної освіти, якісних медичних послуг, відповідної якості життя.</w:t>
      </w:r>
    </w:p>
    <w:p w:rsidR="005D595A" w:rsidRPr="00AD77F3" w:rsidRDefault="00183E3F" w:rsidP="00040BCB">
      <w:pPr>
        <w:pStyle w:val="1"/>
        <w:keepNext w:val="0"/>
        <w:keepLines w:val="0"/>
        <w:spacing w:before="0" w:line="240" w:lineRule="auto"/>
        <w:ind w:firstLine="709"/>
        <w:jc w:val="both"/>
        <w:rPr>
          <w:rFonts w:ascii="Times New Roman" w:eastAsia="Times New Roman" w:hAnsi="Times New Roman" w:cs="Times New Roman"/>
          <w:b/>
          <w:i/>
          <w:color w:val="000000" w:themeColor="text1"/>
          <w:sz w:val="28"/>
          <w:szCs w:val="28"/>
        </w:rPr>
      </w:pPr>
      <w:bookmarkStart w:id="5" w:name="_h0hi8mnws7fy" w:colFirst="0" w:colLast="0"/>
      <w:bookmarkEnd w:id="5"/>
      <w:r w:rsidRPr="00AD77F3">
        <w:rPr>
          <w:rFonts w:ascii="Times New Roman" w:eastAsia="Times New Roman" w:hAnsi="Times New Roman" w:cs="Times New Roman"/>
          <w:b/>
          <w:i/>
          <w:color w:val="000000" w:themeColor="text1"/>
          <w:sz w:val="28"/>
          <w:szCs w:val="28"/>
        </w:rPr>
        <w:t>2. Різкі просторові та структурні зміни в економіці, втрата експортного потенціалу регіонів</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highlight w:val="white"/>
        </w:rPr>
        <w:t>Повномасштабна збройна агресія російської федерації проти України</w:t>
      </w:r>
      <w:r w:rsidRPr="00D26FE3">
        <w:rPr>
          <w:rFonts w:ascii="Times New Roman" w:eastAsia="Times New Roman" w:hAnsi="Times New Roman" w:cs="Times New Roman"/>
          <w:color w:val="000000" w:themeColor="text1"/>
          <w:sz w:val="28"/>
          <w:szCs w:val="28"/>
        </w:rPr>
        <w:t xml:space="preserve"> спричинила скорочення економіки України за підсумками 2022 </w:t>
      </w:r>
      <w:r w:rsidR="00120C1F" w:rsidRPr="00D26FE3">
        <w:rPr>
          <w:rFonts w:ascii="Times New Roman" w:eastAsia="Times New Roman" w:hAnsi="Times New Roman" w:cs="Times New Roman"/>
          <w:color w:val="000000" w:themeColor="text1"/>
          <w:sz w:val="28"/>
          <w:szCs w:val="28"/>
        </w:rPr>
        <w:t xml:space="preserve">року на 29,1%, що є найбільшим </w:t>
      </w:r>
      <w:r w:rsidRPr="00D26FE3">
        <w:rPr>
          <w:rFonts w:ascii="Times New Roman" w:eastAsia="Times New Roman" w:hAnsi="Times New Roman" w:cs="Times New Roman"/>
          <w:color w:val="000000" w:themeColor="text1"/>
          <w:sz w:val="28"/>
          <w:szCs w:val="28"/>
        </w:rPr>
        <w:t>падінням економіки від здобуття Україною незалежності у 1991 році. При цьому, якщо попередні кризи більш рівномірно вплинули на економіку всієї країни, то зараз падіння є регіонально диференційованим і визначається основним чином наближеністю до лінії зіткнення. Приріст реального ВВП в березні-липні 2023 року демонстрував позитивні значення, але ВВП все ж залишається на понад 25% нижчим за рівень 2021 року.</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Найбільшого падіння валової доданої вартості (далі - ВДВ) зазнала сфера будівництва (-67,6%). За оцінками Світового банку, найбільших руйнувань зазнав </w:t>
      </w:r>
      <w:r w:rsidRPr="00D26FE3">
        <w:rPr>
          <w:rFonts w:ascii="Times New Roman" w:eastAsia="Times New Roman" w:hAnsi="Times New Roman" w:cs="Times New Roman"/>
          <w:color w:val="000000" w:themeColor="text1"/>
          <w:sz w:val="28"/>
          <w:szCs w:val="28"/>
        </w:rPr>
        <w:lastRenderedPageBreak/>
        <w:t>сектор житлового будівництва – 38% від загального розміру збитків української економіки.</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Падіння ВДВ у транспортній сфері склало 44,3%. Водночас, за оцінками Світового банку, збитки цього сектору економіки становлять 35,7 млрд дол. США. Сумарно на Донецьку, Луганську, Херсонську і Запорізьку області припадає понад 70% збитків, понесених у транспортній сфері. Значне скорочення діяльності транспорту та порушення логістичних потоків стало однією з причин (поряд із різким зниженням кількості споживачів та їх купівельної спроможності) звуження ділової активності у сфері торгівлі, додана вартість якої зменшилась на 30,9%.</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У переробній промисловості за підсумками 2022 року падіння ВДВ склало 43,1%. Обсяг реалізованої продукції переробної промисловості зменшився на 31,5%, а, зокрема, продукції металургійних виробництв – на 57,9%. Це стало прямим наслідком величезних втрат виробничих потужностей вітчизняної металургії. Так, зруйновані промислові гіганти Приазовʼя, на які у 2021 році сумарно припадало 19,95% реалізованої металургійної продукції в Україн. Металургійна промисловість України завжди була зорієнтованою на експорт, і війна майже не змінила цієї ситуації. Так, якщо у 2021 році металургійні підприємства експортували ~70% від загального обсягу реалізованої продукції, то у 2022 році значення цього показника становило 66,5%.</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У 2022 році приросту обсягу реалізованої продукції досягли лише легка промисловість (+8,5%) і окремі машинобудівні виробництва, що обумовлено їх швидкою переорієнтацію на задоволення військових потреб і виконання відповідних державних замовлень. Порівняно незначне скорочення обсягів виробництва продемонстрували харчова, деревообробна і фармацевтична промисловості, що пояснюється стабільним внутрішнім попитом на їх продукцію та експортною орієнтацією.</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Зважаючи на довоєнну територіальну концентрацію промислових підприємств у східних регіонах України - наслідком повномасштабної збройної агресії </w:t>
      </w:r>
      <w:r w:rsidRPr="00D26FE3">
        <w:rPr>
          <w:rFonts w:ascii="Times New Roman" w:eastAsia="Times New Roman" w:hAnsi="Times New Roman" w:cs="Times New Roman"/>
          <w:color w:val="000000" w:themeColor="text1"/>
          <w:sz w:val="28"/>
          <w:szCs w:val="28"/>
          <w:highlight w:val="white"/>
        </w:rPr>
        <w:t xml:space="preserve">російської федерації </w:t>
      </w:r>
      <w:r w:rsidRPr="00D26FE3">
        <w:rPr>
          <w:rFonts w:ascii="Times New Roman" w:eastAsia="Times New Roman" w:hAnsi="Times New Roman" w:cs="Times New Roman"/>
          <w:color w:val="000000" w:themeColor="text1"/>
          <w:sz w:val="28"/>
          <w:szCs w:val="28"/>
        </w:rPr>
        <w:t>стала деіндустріалізація її східних регіонів.</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Аграрний сектор в умовах повномасштабної вторгнення рф став одним з тих, що зазнали найвагоміших втрат. За оцінками, загальна сума втрат, завданих аграрному сектору держави станом на квітень 2023 року, сягнула 8,7 млрд дол. США, що становить близько третини від всієї вартості активів. Найбільша частка збитків агросектору — через знищення та пошкодження сільгосподарської техніки. Серйозних втрат зазнала інфраструктура для зберігання виробленої сільськогосподарської продукції.  Сумарна місткість зруйнованих зерносховищ досягає 8,2 млн т виробленої продукції, а пошкоджених зерносховищ — 3,25 млн т потужностей для одночасного зберігання. Найбільших збитків агросектору війна, розв’язана рф, завдала Луганській, Херсонській, Донецькій, Харківській та Запорізькій областям.</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lastRenderedPageBreak/>
        <w:t>Відн</w:t>
      </w:r>
      <w:r w:rsidR="00120C1F" w:rsidRPr="00D26FE3">
        <w:rPr>
          <w:rFonts w:ascii="Times New Roman" w:eastAsia="Times New Roman" w:hAnsi="Times New Roman" w:cs="Times New Roman"/>
          <w:color w:val="000000" w:themeColor="text1"/>
          <w:sz w:val="28"/>
          <w:szCs w:val="28"/>
        </w:rPr>
        <w:t xml:space="preserve">овлення аграрного сектору на </w:t>
      </w:r>
      <w:r w:rsidRPr="00D26FE3">
        <w:rPr>
          <w:rFonts w:ascii="Times New Roman" w:eastAsia="Times New Roman" w:hAnsi="Times New Roman" w:cs="Times New Roman"/>
          <w:color w:val="000000" w:themeColor="text1"/>
          <w:sz w:val="28"/>
          <w:szCs w:val="28"/>
          <w:highlight w:val="white"/>
        </w:rPr>
        <w:t>територіях, де проводилися б</w:t>
      </w:r>
      <w:r w:rsidR="00120C1F" w:rsidRPr="00D26FE3">
        <w:rPr>
          <w:rFonts w:ascii="Times New Roman" w:eastAsia="Times New Roman" w:hAnsi="Times New Roman" w:cs="Times New Roman"/>
          <w:color w:val="000000" w:themeColor="text1"/>
          <w:sz w:val="28"/>
          <w:szCs w:val="28"/>
          <w:highlight w:val="white"/>
        </w:rPr>
        <w:t>ойові дії та прилеглих до лінії</w:t>
      </w:r>
      <w:r w:rsidR="00120C1F" w:rsidRPr="00D26FE3">
        <w:rPr>
          <w:rFonts w:ascii="Times New Roman" w:eastAsia="Times New Roman" w:hAnsi="Times New Roman" w:cs="Times New Roman"/>
          <w:color w:val="000000" w:themeColor="text1"/>
          <w:sz w:val="28"/>
          <w:szCs w:val="28"/>
          <w:highlight w:val="white"/>
          <w:lang w:val="ru-RU"/>
        </w:rPr>
        <w:t xml:space="preserve"> </w:t>
      </w:r>
      <w:r w:rsidRPr="00D26FE3">
        <w:rPr>
          <w:rFonts w:ascii="Times New Roman" w:eastAsia="Times New Roman" w:hAnsi="Times New Roman" w:cs="Times New Roman"/>
          <w:color w:val="000000" w:themeColor="text1"/>
          <w:sz w:val="28"/>
          <w:szCs w:val="28"/>
          <w:highlight w:val="white"/>
        </w:rPr>
        <w:t xml:space="preserve">розмежування </w:t>
      </w:r>
      <w:r w:rsidRPr="00D26FE3">
        <w:rPr>
          <w:rFonts w:ascii="Times New Roman" w:eastAsia="Times New Roman" w:hAnsi="Times New Roman" w:cs="Times New Roman"/>
          <w:color w:val="000000" w:themeColor="text1"/>
          <w:sz w:val="28"/>
          <w:szCs w:val="28"/>
        </w:rPr>
        <w:t xml:space="preserve">ускладнюється необхідністю </w:t>
      </w:r>
      <w:r w:rsidRPr="00D26FE3">
        <w:rPr>
          <w:rFonts w:ascii="Times New Roman" w:eastAsia="Times New Roman" w:hAnsi="Times New Roman" w:cs="Times New Roman"/>
          <w:color w:val="000000" w:themeColor="text1"/>
          <w:sz w:val="28"/>
          <w:szCs w:val="28"/>
          <w:highlight w:val="white"/>
        </w:rPr>
        <w:t>знешкодження та (або) знище</w:t>
      </w:r>
      <w:r w:rsidR="00120C1F" w:rsidRPr="00D26FE3">
        <w:rPr>
          <w:rFonts w:ascii="Times New Roman" w:eastAsia="Times New Roman" w:hAnsi="Times New Roman" w:cs="Times New Roman"/>
          <w:color w:val="000000" w:themeColor="text1"/>
          <w:sz w:val="28"/>
          <w:szCs w:val="28"/>
          <w:highlight w:val="white"/>
        </w:rPr>
        <w:t>ння вибухонебезпечних предметів</w:t>
      </w:r>
      <w:r w:rsidRPr="00D26FE3">
        <w:rPr>
          <w:rFonts w:ascii="Times New Roman" w:eastAsia="Times New Roman" w:hAnsi="Times New Roman" w:cs="Times New Roman"/>
          <w:color w:val="000000" w:themeColor="text1"/>
          <w:sz w:val="28"/>
          <w:szCs w:val="28"/>
        </w:rPr>
        <w:t>. Можливе наростання тенденцій: зменшення кількості суб’єктів сільськогосподарської діяльності, зміни їх розташування та спеціалізації через значні економічні втрати; зниження рівня економічної активності та зменшення чисельності населення в сільській місцевості. Великі економічні та екологічні втрати, спричинені терористичним актом російської федерації щодо руйнування греблі Каховської ГЕС.</w:t>
      </w:r>
      <w:r w:rsidRPr="00D26FE3">
        <w:rPr>
          <w:rFonts w:ascii="Times New Roman" w:hAnsi="Times New Roman" w:cs="Times New Roman"/>
          <w:color w:val="000000" w:themeColor="text1"/>
          <w:sz w:val="28"/>
          <w:szCs w:val="28"/>
        </w:rPr>
        <w:t xml:space="preserve"> </w:t>
      </w:r>
      <w:r w:rsidRPr="00D26FE3">
        <w:rPr>
          <w:rFonts w:ascii="Times New Roman" w:eastAsia="Times New Roman" w:hAnsi="Times New Roman" w:cs="Times New Roman"/>
          <w:color w:val="000000" w:themeColor="text1"/>
          <w:sz w:val="28"/>
          <w:szCs w:val="28"/>
        </w:rPr>
        <w:t>Терористичний акт фактично залишив без джерела води зрошувальні системи в Херсонській, Запорізькій та Дніпропетровській областях.</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Іншим вагомим фактором деіндустріалізації східних регіонів стала релокація підприємств у біль</w:t>
      </w:r>
      <w:r w:rsidR="00120C1F" w:rsidRPr="00D26FE3">
        <w:rPr>
          <w:rFonts w:ascii="Times New Roman" w:eastAsia="Times New Roman" w:hAnsi="Times New Roman" w:cs="Times New Roman"/>
          <w:color w:val="000000" w:themeColor="text1"/>
          <w:sz w:val="28"/>
          <w:szCs w:val="28"/>
        </w:rPr>
        <w:t xml:space="preserve">ш безпечні західні регіони або </w:t>
      </w:r>
      <w:r w:rsidRPr="00D26FE3">
        <w:rPr>
          <w:rFonts w:ascii="Times New Roman" w:eastAsia="Times New Roman" w:hAnsi="Times New Roman" w:cs="Times New Roman"/>
          <w:color w:val="000000" w:themeColor="text1"/>
          <w:sz w:val="28"/>
          <w:szCs w:val="28"/>
        </w:rPr>
        <w:t>за кордон. Релокація і галузева трансформація стали важливими факторами збереження підприємницького потенціалу регіонів України в умовах війни через адаптацію бізнесу до роботи в нових умовах (зміна ланцюгів поставок, оновлення клієнтської бази, зміна вектору експортн</w:t>
      </w:r>
      <w:r w:rsidR="00120C1F" w:rsidRPr="00D26FE3">
        <w:rPr>
          <w:rFonts w:ascii="Times New Roman" w:eastAsia="Times New Roman" w:hAnsi="Times New Roman" w:cs="Times New Roman"/>
          <w:color w:val="000000" w:themeColor="text1"/>
          <w:sz w:val="28"/>
          <w:szCs w:val="28"/>
        </w:rPr>
        <w:t xml:space="preserve">о-імпортних операцій в сторону ЄС тощо). За </w:t>
      </w:r>
      <w:r w:rsidRPr="00D26FE3">
        <w:rPr>
          <w:rFonts w:ascii="Times New Roman" w:eastAsia="Times New Roman" w:hAnsi="Times New Roman" w:cs="Times New Roman"/>
          <w:color w:val="000000" w:themeColor="text1"/>
          <w:sz w:val="28"/>
          <w:szCs w:val="28"/>
        </w:rPr>
        <w:t>урядовою програмою релокації було переміщено понад 800 підприємств, серед яких переважають металообробні та машинобудівні підприємства, медичні та фармацевтичні підприємства, підприємства легкої промисловості та ІТ-галузі. Релокований бізнес також представляють підприємства оптової торгівлі, які перемістили насамперед у західний регіон України свої логістичні центри, зокрема склади з готовою продукцією, а також IT-компанії. Лідером за кількістю релокованих підприємств є Львівська область – сюди переміщено майже чверть таких підприємств. Понад 50 підприємств повернулися на попередні місця роботи у зв’язку з покращенням там безпекової ситуації, зокрема, в Харківську, Чернігівську та Сумську області.</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Малий та середній бізнес завжди був однією з найважливіших складових української економіки. У 2021 році підприємства МСБ створювали близько 60% національного ВВП, забезпечували близько 7 млн робочих місць та 40% податкових надходжень. В умовах в умовах ведення воєнних дій підприємств</w:t>
      </w:r>
      <w:r w:rsidR="00120C1F" w:rsidRPr="00D26FE3">
        <w:rPr>
          <w:rFonts w:ascii="Times New Roman" w:eastAsia="Times New Roman" w:hAnsi="Times New Roman" w:cs="Times New Roman"/>
          <w:color w:val="000000" w:themeColor="text1"/>
          <w:sz w:val="28"/>
          <w:szCs w:val="28"/>
        </w:rPr>
        <w:t xml:space="preserve">а малого та середнього бізнесу </w:t>
      </w:r>
      <w:r w:rsidRPr="00D26FE3">
        <w:rPr>
          <w:rFonts w:ascii="Times New Roman" w:eastAsia="Times New Roman" w:hAnsi="Times New Roman" w:cs="Times New Roman"/>
          <w:color w:val="000000" w:themeColor="text1"/>
          <w:sz w:val="28"/>
          <w:szCs w:val="28"/>
        </w:rPr>
        <w:t>залишаються вагомим чинником стійкості держави.</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У регіональному розрізі ш</w:t>
      </w:r>
      <w:r w:rsidR="00120C1F" w:rsidRPr="00D26FE3">
        <w:rPr>
          <w:rFonts w:ascii="Times New Roman" w:eastAsia="Times New Roman" w:hAnsi="Times New Roman" w:cs="Times New Roman"/>
          <w:color w:val="000000" w:themeColor="text1"/>
          <w:sz w:val="28"/>
          <w:szCs w:val="28"/>
        </w:rPr>
        <w:t xml:space="preserve">видшу адаптацію та посткризове </w:t>
      </w:r>
      <w:r w:rsidRPr="00D26FE3">
        <w:rPr>
          <w:rFonts w:ascii="Times New Roman" w:eastAsia="Times New Roman" w:hAnsi="Times New Roman" w:cs="Times New Roman"/>
          <w:color w:val="000000" w:themeColor="text1"/>
          <w:sz w:val="28"/>
          <w:szCs w:val="28"/>
        </w:rPr>
        <w:t>відновлення стійкості підприємницького середовища продемонстрували регіони західної України, які станом на І півріччя 2023 року вже працювали на повну або майже на повну потужність. Водночас складною залиша</w:t>
      </w:r>
      <w:r w:rsidR="00120C1F" w:rsidRPr="00D26FE3">
        <w:rPr>
          <w:rFonts w:ascii="Times New Roman" w:eastAsia="Times New Roman" w:hAnsi="Times New Roman" w:cs="Times New Roman"/>
          <w:color w:val="000000" w:themeColor="text1"/>
          <w:sz w:val="28"/>
          <w:szCs w:val="28"/>
        </w:rPr>
        <w:t xml:space="preserve">ється ситуація на прифронтових </w:t>
      </w:r>
      <w:r w:rsidRPr="00D26FE3">
        <w:rPr>
          <w:rFonts w:ascii="Times New Roman" w:eastAsia="Times New Roman" w:hAnsi="Times New Roman" w:cs="Times New Roman"/>
          <w:color w:val="000000" w:themeColor="text1"/>
          <w:sz w:val="28"/>
          <w:szCs w:val="28"/>
        </w:rPr>
        <w:t>Запорізькій та Харківській областях, де лише 10% підприємств працювали на високому рівні завантаження потужностей. Низький рівень завантаження бізнесу спостерігався й у м. Києві (24%), а також Сумській (32%), Черкаській (33%) та Кіровоградській (33%) областях. Основними чинниками, які перешкоджали відновленню стійкості підприємницького сектору в зазначених регіонах були географічне розташування</w:t>
      </w:r>
      <w:r w:rsidR="00120C1F" w:rsidRPr="00D26FE3">
        <w:rPr>
          <w:rFonts w:ascii="Times New Roman" w:eastAsia="Times New Roman" w:hAnsi="Times New Roman" w:cs="Times New Roman"/>
          <w:color w:val="000000" w:themeColor="text1"/>
          <w:sz w:val="28"/>
          <w:szCs w:val="28"/>
        </w:rPr>
        <w:t xml:space="preserve"> (близькість до лінії зіткнення</w:t>
      </w:r>
      <w:r w:rsidRPr="00D26FE3">
        <w:rPr>
          <w:rFonts w:ascii="Times New Roman" w:eastAsia="Times New Roman" w:hAnsi="Times New Roman" w:cs="Times New Roman"/>
          <w:color w:val="000000" w:themeColor="text1"/>
          <w:sz w:val="28"/>
          <w:szCs w:val="28"/>
        </w:rPr>
        <w:t>), а також логістичні та енергетичні виклики.</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lastRenderedPageBreak/>
        <w:t>Втрата економічного потенціалу регіонів, які наближені до лінії фронту або перебували / перебувають під окупацією, відразу відобразилась на експорті України. За підсумками 2022 року частка експорту товарів і послуг у ВВП України (у фактичних цінах) скоротилась до 35,5% (проти 40,7% у 2021 році). У 2022 році відбулось зменшення обсягів товарного експорту з України на 35,2%, зокрема, внаслідок кардинального порушення логістики, передусім морської, через блокаду морських портів росією. Серед регіонів найбільших втрат експортного потенціалу зазнала економіка Донецької (-96%), Луганської (-94,8%) і Херсонської (-86,2%) областей. Водночас усі області західного регіону, окрім Івано-Франківської, продемонстрували нарощення експортної активності, але найбільшого приросту товарного експорту впродовж 2022 року досягли Черкаська і Одеська області.</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До повномасштабної військової агресії економіка Донецької, Запорізької і Миколаївської областей, порівняно з іншими регіонами, була найбільш експортно орієнтованою – частка експорту у їх ВРП перебувала на рівні 60÷70%. Відповідно обсяги втрат експортного потенціалу цих областей тісно корелюють із обсягами втрат, яких зазнає їх економіка. Впродовж 1 півріччя 2023 року відновлення економічної діяльності на деокупованих територіях обумовило зростання обсягів експорту таких областей, зокрема Чернігівської (+52,9%), Сумської (+22,5%).</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За підсумками 2022 року у товарній структурі вітчизняного експорту відбулись відчутні негати</w:t>
      </w:r>
      <w:r w:rsidR="00120C1F" w:rsidRPr="00D26FE3">
        <w:rPr>
          <w:rFonts w:ascii="Times New Roman" w:eastAsia="Times New Roman" w:hAnsi="Times New Roman" w:cs="Times New Roman"/>
          <w:color w:val="000000" w:themeColor="text1"/>
          <w:sz w:val="28"/>
          <w:szCs w:val="28"/>
        </w:rPr>
        <w:t xml:space="preserve">вні зміни, спричинені воєнними </w:t>
      </w:r>
      <w:r w:rsidRPr="00D26FE3">
        <w:rPr>
          <w:rFonts w:ascii="Times New Roman" w:eastAsia="Times New Roman" w:hAnsi="Times New Roman" w:cs="Times New Roman"/>
          <w:color w:val="000000" w:themeColor="text1"/>
          <w:sz w:val="28"/>
          <w:szCs w:val="28"/>
        </w:rPr>
        <w:t>діями. Найбільшого скорочення (-9,89 в.п.) зазнала частка продукції металургійної промисловості (товарна група XV), обсяги експорту якої впали на 62,5%. Також суттєво зменшились обсяги експорту продукції хімічної промисловості (-54,3%) і мінеральних продуктів (-48,6%). Водночас обсяги експорту продуктів рослинного походження скоротились лише на 13,3%, а жирів та ол</w:t>
      </w:r>
      <w:r w:rsidR="00120C1F" w:rsidRPr="00D26FE3">
        <w:rPr>
          <w:rFonts w:ascii="Times New Roman" w:eastAsia="Times New Roman" w:hAnsi="Times New Roman" w:cs="Times New Roman"/>
          <w:color w:val="000000" w:themeColor="text1"/>
          <w:sz w:val="28"/>
          <w:szCs w:val="28"/>
        </w:rPr>
        <w:t xml:space="preserve">ій – на 15,5%. Наслідком такої </w:t>
      </w:r>
      <w:r w:rsidRPr="00D26FE3">
        <w:rPr>
          <w:rFonts w:ascii="Times New Roman" w:eastAsia="Times New Roman" w:hAnsi="Times New Roman" w:cs="Times New Roman"/>
          <w:color w:val="000000" w:themeColor="text1"/>
          <w:sz w:val="28"/>
          <w:szCs w:val="28"/>
        </w:rPr>
        <w:t>динаміки стало збільшення у товарній структурі експорту часток ІІ і ІІІ товарних груп, відповідно, на 7,7 в.п. і 3,14 в.п. Експортна спеціалізація регіонів України упродовж 2022 року зазнала певних (але не суттєвих) трансформацій.</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Вплив воєнних дій був значно меншим на експорт послуг, обсяги якого скоротились у 2022 році на 12,5% до попереднього року і склали 16,1 млрд дол США. Впродовж першого півріччя 2023 року експорт послуг залишався на рівні попереднього року.  При цьому частка IT-послуг в українському експорті у 2022 році сягнула 46,5%, що було найвищим показником впродовж останніх років. Значною мірою це обумовлено щорічним скороченням обсягів послуг транспорту (зокрема через втрату транзитного потенціалу України). Експорт IT-послуг з України в першому півріччі 2023 року скоротився на 9,3% у порівнянні з таким же</w:t>
      </w:r>
      <w:r w:rsidR="00120C1F" w:rsidRPr="00D26FE3">
        <w:rPr>
          <w:rFonts w:ascii="Times New Roman" w:eastAsia="Times New Roman" w:hAnsi="Times New Roman" w:cs="Times New Roman"/>
          <w:color w:val="000000" w:themeColor="text1"/>
          <w:sz w:val="28"/>
          <w:szCs w:val="28"/>
        </w:rPr>
        <w:t xml:space="preserve"> періодом минулого року, тобто </w:t>
      </w:r>
      <w:r w:rsidRPr="00D26FE3">
        <w:rPr>
          <w:rFonts w:ascii="Times New Roman" w:eastAsia="Times New Roman" w:hAnsi="Times New Roman" w:cs="Times New Roman"/>
          <w:color w:val="000000" w:themeColor="text1"/>
          <w:sz w:val="28"/>
          <w:szCs w:val="28"/>
        </w:rPr>
        <w:t xml:space="preserve">фіксується </w:t>
      </w:r>
      <w:proofErr w:type="gramStart"/>
      <w:r w:rsidRPr="00D26FE3">
        <w:rPr>
          <w:rFonts w:ascii="Times New Roman" w:eastAsia="Times New Roman" w:hAnsi="Times New Roman" w:cs="Times New Roman"/>
          <w:color w:val="000000" w:themeColor="text1"/>
          <w:sz w:val="28"/>
          <w:szCs w:val="28"/>
        </w:rPr>
        <w:t>тенденція  на</w:t>
      </w:r>
      <w:proofErr w:type="gramEnd"/>
      <w:r w:rsidRPr="00D26FE3">
        <w:rPr>
          <w:rFonts w:ascii="Times New Roman" w:eastAsia="Times New Roman" w:hAnsi="Times New Roman" w:cs="Times New Roman"/>
          <w:color w:val="000000" w:themeColor="text1"/>
          <w:sz w:val="28"/>
          <w:szCs w:val="28"/>
        </w:rPr>
        <w:t xml:space="preserve"> зниження обсягів експорту українського ІТ.</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Ключові тенденції у формуванні та розвитку експортного потенціалу України, окрім географічної переорієнтації експорту товарів у  європейському напрямі, є переважно негативними і водночас взаємозалежними, а саме: зменшення </w:t>
      </w:r>
      <w:r w:rsidRPr="00D26FE3">
        <w:rPr>
          <w:rFonts w:ascii="Times New Roman" w:eastAsia="Times New Roman" w:hAnsi="Times New Roman" w:cs="Times New Roman"/>
          <w:color w:val="000000" w:themeColor="text1"/>
          <w:sz w:val="28"/>
          <w:szCs w:val="28"/>
        </w:rPr>
        <w:lastRenderedPageBreak/>
        <w:t>частки високотехнологічної продукції у структурі товарного експорту при поглибленні сировинної орієнтації останнього; витіснення вітчизняних товаровиробників із традиційних сегментів ринку внаслідок втрати ними конкурентних переваг; незначна ймовірність зайняти нові ринкові сегменти із продукцією низькотехнологічних сегментів промисловості; залежність від циклічних коливань</w:t>
      </w:r>
      <w:r w:rsidRPr="00AD77F3">
        <w:rPr>
          <w:rFonts w:ascii="Times New Roman" w:eastAsia="Times New Roman" w:hAnsi="Times New Roman" w:cs="Times New Roman"/>
          <w:color w:val="000000" w:themeColor="text1"/>
          <w:sz w:val="28"/>
          <w:szCs w:val="28"/>
        </w:rPr>
        <w:t xml:space="preserve"> та зовнішніх чинників, що мають не лише економічне, а й геополітичне походження; надмірна енерго- і ресурсоємність внутрішнього виробництва та його залежність від високотехнологічного імпорту.</w:t>
      </w:r>
    </w:p>
    <w:p w:rsidR="005D595A" w:rsidRPr="00AD77F3" w:rsidRDefault="00183E3F" w:rsidP="00040BCB">
      <w:pPr>
        <w:pStyle w:val="1"/>
        <w:keepNext w:val="0"/>
        <w:keepLines w:val="0"/>
        <w:spacing w:before="0" w:line="240" w:lineRule="auto"/>
        <w:ind w:firstLine="709"/>
        <w:jc w:val="both"/>
        <w:rPr>
          <w:rFonts w:ascii="Times New Roman" w:eastAsia="Times New Roman" w:hAnsi="Times New Roman" w:cs="Times New Roman"/>
          <w:b/>
          <w:i/>
          <w:color w:val="000000" w:themeColor="text1"/>
          <w:sz w:val="28"/>
          <w:szCs w:val="28"/>
        </w:rPr>
      </w:pPr>
      <w:bookmarkStart w:id="6" w:name="_a414731g29no" w:colFirst="0" w:colLast="0"/>
      <w:bookmarkEnd w:id="6"/>
      <w:r w:rsidRPr="00AD77F3">
        <w:rPr>
          <w:rFonts w:ascii="Times New Roman" w:eastAsia="Times New Roman" w:hAnsi="Times New Roman" w:cs="Times New Roman"/>
          <w:b/>
          <w:i/>
          <w:color w:val="000000" w:themeColor="text1"/>
          <w:sz w:val="28"/>
          <w:szCs w:val="28"/>
        </w:rPr>
        <w:t>3. Збільшення кількості територій, які потребують державної підтримки</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Фінансова децентралізація та адміністративно-територіальна реформа забезпечили зміцнення спроможності регіонів та територіальних громад, створили підґрунтя для активації процесів розвитку територій з опорою на власний соціально-економічний та ресурсний потенціал. В умовах повномасштабної військової агресії російської федерації відбулось розширення території тимчасової окупації, територіальні громади зіткнулись</w:t>
      </w:r>
      <w:r w:rsidR="00120C1F" w:rsidRPr="00AD77F3">
        <w:rPr>
          <w:rFonts w:ascii="Times New Roman" w:eastAsia="Times New Roman" w:hAnsi="Times New Roman" w:cs="Times New Roman"/>
          <w:color w:val="000000" w:themeColor="text1"/>
          <w:sz w:val="28"/>
          <w:szCs w:val="28"/>
        </w:rPr>
        <w:t xml:space="preserve"> із втратою майна, руйнуванням </w:t>
      </w:r>
      <w:r w:rsidRPr="00AD77F3">
        <w:rPr>
          <w:rFonts w:ascii="Times New Roman" w:eastAsia="Times New Roman" w:hAnsi="Times New Roman" w:cs="Times New Roman"/>
          <w:color w:val="000000" w:themeColor="text1"/>
          <w:sz w:val="28"/>
          <w:szCs w:val="28"/>
        </w:rPr>
        <w:t>інфраструктури, масовою міграцією населення, зниженням економічної активності, втратою економічного та експортного потенціалу тощо. Це прямо позначилось на спроможності територіальних громад, та зумовило збільшення кількості територій, які потребують державної підтримки.</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Впродовж 2022 року </w:t>
      </w:r>
      <w:r w:rsidRPr="00D26FE3">
        <w:rPr>
          <w:rFonts w:ascii="Times New Roman" w:eastAsia="Times New Roman" w:hAnsi="Times New Roman" w:cs="Times New Roman"/>
          <w:color w:val="000000" w:themeColor="text1"/>
          <w:sz w:val="28"/>
          <w:szCs w:val="28"/>
        </w:rPr>
        <w:t>відбулося суттєве зниження фінансової спроможності значної кількості територіальних громад та регіонів.  Попри незначне номінальне зростання власних доходів територіальних громад в Україні (в середньому +9,5%), фактично рівень їх фінансової спроможності суттєво знизився - з урахуванням рівня інфляції власні доходи територіальних громад у 2022 році зменшились на 17% порівняно з 2021 роком. В регіональному розрізі реальний приріст власних доходів загального фонду місцевих бюджетів у 2022 році продемонстрували 10 регіонів, серед яких – західні та центральні області України. Інші завершили рік з фактичним від’ємним приростом власних доходів місцевих бюджетів.</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Вплив повномасштабної </w:t>
      </w:r>
      <w:r w:rsidRPr="00D26FE3">
        <w:rPr>
          <w:rFonts w:ascii="Times New Roman" w:eastAsia="Times New Roman" w:hAnsi="Times New Roman" w:cs="Times New Roman"/>
          <w:color w:val="000000" w:themeColor="text1"/>
          <w:sz w:val="28"/>
          <w:szCs w:val="28"/>
          <w:highlight w:val="white"/>
        </w:rPr>
        <w:t xml:space="preserve">збройної агресії </w:t>
      </w:r>
      <w:r w:rsidRPr="00D26FE3">
        <w:rPr>
          <w:rFonts w:ascii="Times New Roman" w:eastAsia="Times New Roman" w:hAnsi="Times New Roman" w:cs="Times New Roman"/>
          <w:color w:val="000000" w:themeColor="text1"/>
          <w:sz w:val="28"/>
          <w:szCs w:val="28"/>
        </w:rPr>
        <w:t>російської</w:t>
      </w:r>
      <w:r w:rsidRPr="00D26FE3">
        <w:rPr>
          <w:rFonts w:ascii="Times New Roman" w:eastAsia="Times New Roman" w:hAnsi="Times New Roman" w:cs="Times New Roman"/>
          <w:color w:val="000000" w:themeColor="text1"/>
          <w:sz w:val="28"/>
          <w:szCs w:val="28"/>
          <w:highlight w:val="white"/>
        </w:rPr>
        <w:t xml:space="preserve"> федерації </w:t>
      </w:r>
      <w:r w:rsidRPr="00D26FE3">
        <w:rPr>
          <w:rFonts w:ascii="Times New Roman" w:eastAsia="Times New Roman" w:hAnsi="Times New Roman" w:cs="Times New Roman"/>
          <w:color w:val="000000" w:themeColor="text1"/>
          <w:sz w:val="28"/>
          <w:szCs w:val="28"/>
        </w:rPr>
        <w:t xml:space="preserve">зумовлених нею наслідків та податкових змін, запроваджених на національному рівні з метою стабілізації економічної ситуації, спричинили зміну структури доходів місцевих бюджетів та скорочення надходжень значущих податків: податок на доходи фізичних осіб (далі - ПДФО) (без урахування сплаченого з доходів військовослужбовців), акцизного податку з пального, плати за землю, єдиного податку. Найсуттєвішими були зміни у структурі сплаченого ПДФО. В умовах падіння економічної активності та зростання ролі сектору оборони вп’ятеро зросла частка сплаченого до бюджетів податку з доходів військовослужбовців. В середньому по регіонах у 2022 році вона становила 27,6%. У прифронтових регіонах (зокрема, Луганській, Миколаївській, Донецькій областях) практично досягла ½ від усього сплаченого ПДФО і стала основним джерелом наповнення </w:t>
      </w:r>
      <w:r w:rsidRPr="00D26FE3">
        <w:rPr>
          <w:rFonts w:ascii="Times New Roman" w:eastAsia="Times New Roman" w:hAnsi="Times New Roman" w:cs="Times New Roman"/>
          <w:color w:val="000000" w:themeColor="text1"/>
          <w:sz w:val="28"/>
          <w:szCs w:val="28"/>
        </w:rPr>
        <w:lastRenderedPageBreak/>
        <w:t>місцевих бюджетів, забезпечивши їх виконання. Водночас у віддалених від зони бойових дій регіонах мало місце зростання сплати ПДФО без урахування податків з доходів військовослужбовців, зокрема, у Закарпатській, Львівській, Івано-Франківській. Причиною стало переміщення активів на захід Укра</w:t>
      </w:r>
      <w:r w:rsidR="00120C1F" w:rsidRPr="00D26FE3">
        <w:rPr>
          <w:rFonts w:ascii="Times New Roman" w:eastAsia="Times New Roman" w:hAnsi="Times New Roman" w:cs="Times New Roman"/>
          <w:color w:val="000000" w:themeColor="text1"/>
          <w:sz w:val="28"/>
          <w:szCs w:val="28"/>
        </w:rPr>
        <w:t xml:space="preserve">їни в перші місяці воєнних дій </w:t>
      </w:r>
      <w:r w:rsidRPr="00D26FE3">
        <w:rPr>
          <w:rFonts w:ascii="Times New Roman" w:eastAsia="Times New Roman" w:hAnsi="Times New Roman" w:cs="Times New Roman"/>
          <w:color w:val="000000" w:themeColor="text1"/>
          <w:sz w:val="28"/>
          <w:szCs w:val="28"/>
        </w:rPr>
        <w:t>(релокація бізнесу, міграція трудових ресурсів), а також відносно швидке відновлення економічної активності.</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Сповільнення економічної активності у регіонах поблизу лінії зіткнення та її пожвавлення у тилових областях, а також посилення ролі оборонної сфери зумовили зростання диспропорцій у наповненні бюджетів територіальних громад. Водночас суттєво розширився перелік територій, які потребують державної підтримки. В цьому контексті слід виділити специфічні чинники зниження спроможності окремих груп регіонів та територіальних громад:</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 для прилеглих регіонів та територіальних громад, до території, де ведуться бойові дії </w:t>
      </w:r>
      <w:r w:rsidR="00120C1F" w:rsidRPr="00D26FE3">
        <w:rPr>
          <w:rFonts w:ascii="Times New Roman" w:eastAsia="Times New Roman" w:hAnsi="Times New Roman" w:cs="Times New Roman"/>
          <w:color w:val="000000" w:themeColor="text1"/>
          <w:sz w:val="28"/>
          <w:szCs w:val="28"/>
        </w:rPr>
        <w:t xml:space="preserve">або до лінії зіткнення) – крім </w:t>
      </w:r>
      <w:r w:rsidRPr="00D26FE3">
        <w:rPr>
          <w:rFonts w:ascii="Times New Roman" w:eastAsia="Times New Roman" w:hAnsi="Times New Roman" w:cs="Times New Roman"/>
          <w:color w:val="000000" w:themeColor="text1"/>
          <w:sz w:val="28"/>
          <w:szCs w:val="28"/>
        </w:rPr>
        <w:t xml:space="preserve">фактору безпеки, релокація підприємств та переміщення трудових ресурсів внаслідок вимушеного масового переміщення населення. Відтак масове переміщення бізнесу матиме негативний наслідок для розвитку цих регіонів у довгостроковій перспективі навіть після завершення бойових </w:t>
      </w:r>
      <w:r w:rsidR="00120C1F" w:rsidRPr="00D26FE3">
        <w:rPr>
          <w:rFonts w:ascii="Times New Roman" w:eastAsia="Times New Roman" w:hAnsi="Times New Roman" w:cs="Times New Roman"/>
          <w:color w:val="000000" w:themeColor="text1"/>
          <w:sz w:val="28"/>
          <w:szCs w:val="28"/>
        </w:rPr>
        <w:t xml:space="preserve">дій </w:t>
      </w:r>
      <w:r w:rsidRPr="00D26FE3">
        <w:rPr>
          <w:rFonts w:ascii="Times New Roman" w:eastAsia="Times New Roman" w:hAnsi="Times New Roman" w:cs="Times New Roman"/>
          <w:color w:val="000000" w:themeColor="text1"/>
          <w:sz w:val="28"/>
          <w:szCs w:val="28"/>
        </w:rPr>
        <w:t>та звільнення територій;</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 для прикордонних територіальних громад в тилу, </w:t>
      </w:r>
      <w:r w:rsidR="00120C1F" w:rsidRPr="00D26FE3">
        <w:rPr>
          <w:rFonts w:ascii="Times New Roman" w:eastAsia="Times New Roman" w:hAnsi="Times New Roman" w:cs="Times New Roman"/>
          <w:color w:val="000000" w:themeColor="text1"/>
          <w:sz w:val="28"/>
          <w:szCs w:val="28"/>
        </w:rPr>
        <w:t xml:space="preserve">віддалених від лінії зіткнення </w:t>
      </w:r>
      <w:r w:rsidRPr="00D26FE3">
        <w:rPr>
          <w:rFonts w:ascii="Times New Roman" w:eastAsia="Times New Roman" w:hAnsi="Times New Roman" w:cs="Times New Roman"/>
          <w:color w:val="000000" w:themeColor="text1"/>
          <w:sz w:val="28"/>
          <w:szCs w:val="28"/>
        </w:rPr>
        <w:t xml:space="preserve">– це вилучення значної частини земель з господарського обігу, у тому </w:t>
      </w:r>
      <w:proofErr w:type="gramStart"/>
      <w:r w:rsidRPr="00D26FE3">
        <w:rPr>
          <w:rFonts w:ascii="Times New Roman" w:eastAsia="Times New Roman" w:hAnsi="Times New Roman" w:cs="Times New Roman"/>
          <w:color w:val="000000" w:themeColor="text1"/>
          <w:sz w:val="28"/>
          <w:szCs w:val="28"/>
        </w:rPr>
        <w:t>числі  через</w:t>
      </w:r>
      <w:proofErr w:type="gramEnd"/>
      <w:r w:rsidRPr="00D26FE3">
        <w:rPr>
          <w:rFonts w:ascii="Times New Roman" w:eastAsia="Times New Roman" w:hAnsi="Times New Roman" w:cs="Times New Roman"/>
          <w:color w:val="000000" w:themeColor="text1"/>
          <w:sz w:val="28"/>
          <w:szCs w:val="28"/>
        </w:rPr>
        <w:t xml:space="preserve"> забруднення територій вибухонебезпечними предметами (наприклад, у Шацькій територіальній громаді Волинської області такі землі сягають ⅕  площі громади); руйнування бюджетоутворюючих  підприємств чи об’єктів інфраструктури тощо;</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для приморських регіонів та територіальних громад – це втрата потужного логістичного потенціалу та туризму як вагомого напряму розвитку економіки (втрата туристичного потенціалу прослідковується у зменшенні обсягів туристичного збору в доходах бюджетів громад цих регіонів);</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для гірських територіальних громад Українських Карпат – це скорочення державної підтримки їх розвитку;</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для територіальних громад вздовж транспортних коридорів з республікою</w:t>
      </w:r>
      <w:r w:rsidRPr="00D26FE3">
        <w:rPr>
          <w:rFonts w:ascii="Times New Roman" w:eastAsia="Times New Roman" w:hAnsi="Times New Roman" w:cs="Times New Roman"/>
          <w:color w:val="000000" w:themeColor="text1"/>
          <w:sz w:val="28"/>
          <w:szCs w:val="28"/>
          <w:highlight w:val="white"/>
        </w:rPr>
        <w:t xml:space="preserve"> білорусь</w:t>
      </w:r>
      <w:r w:rsidR="00120C1F" w:rsidRPr="00D26FE3">
        <w:rPr>
          <w:rFonts w:ascii="Times New Roman" w:eastAsia="Times New Roman" w:hAnsi="Times New Roman" w:cs="Times New Roman"/>
          <w:color w:val="000000" w:themeColor="text1"/>
          <w:sz w:val="28"/>
          <w:szCs w:val="28"/>
        </w:rPr>
        <w:t xml:space="preserve"> та російською федерацією </w:t>
      </w:r>
      <w:r w:rsidRPr="00D26FE3">
        <w:rPr>
          <w:rFonts w:ascii="Times New Roman" w:eastAsia="Times New Roman" w:hAnsi="Times New Roman" w:cs="Times New Roman"/>
          <w:color w:val="000000" w:themeColor="text1"/>
          <w:sz w:val="28"/>
          <w:szCs w:val="28"/>
        </w:rPr>
        <w:t>– повна втрата логістичного потенціалу;</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для середніх та малих міст - це зростання навантаження на інженерну та соціальну інфраструктуру з огляду на зростання кількості мешканців за рахунок ВПО та релокованого бізнесу, які при переміщенні віддавали перевагу саме містам як центрам концентрації економічної активності.</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lastRenderedPageBreak/>
        <w:t>Зазначене визначає необхідність зміни інструментів державної підтримки окремих територій, вирівнювання їх спроможності та стимулювання соціально-економічного розвитку.</w:t>
      </w:r>
    </w:p>
    <w:p w:rsidR="005D595A" w:rsidRPr="00AD77F3" w:rsidRDefault="00183E3F" w:rsidP="00040BCB">
      <w:pPr>
        <w:pStyle w:val="1"/>
        <w:keepNext w:val="0"/>
        <w:keepLines w:val="0"/>
        <w:spacing w:before="0" w:line="240" w:lineRule="auto"/>
        <w:ind w:firstLine="709"/>
        <w:jc w:val="both"/>
        <w:rPr>
          <w:rFonts w:ascii="Times New Roman" w:eastAsia="Times New Roman" w:hAnsi="Times New Roman" w:cs="Times New Roman"/>
          <w:b/>
          <w:i/>
          <w:color w:val="000000" w:themeColor="text1"/>
          <w:sz w:val="28"/>
          <w:szCs w:val="28"/>
        </w:rPr>
      </w:pPr>
      <w:bookmarkStart w:id="7" w:name="_87lztk44yp4q" w:colFirst="0" w:colLast="0"/>
      <w:bookmarkEnd w:id="7"/>
      <w:r w:rsidRPr="00AD77F3">
        <w:rPr>
          <w:rFonts w:ascii="Times New Roman" w:eastAsia="Times New Roman" w:hAnsi="Times New Roman" w:cs="Times New Roman"/>
          <w:b/>
          <w:i/>
          <w:color w:val="000000" w:themeColor="text1"/>
          <w:sz w:val="28"/>
          <w:szCs w:val="28"/>
        </w:rPr>
        <w:t xml:space="preserve">4.Значні пошкодження та знищення інфраструктури внаслідок бойових дій, терористичних актів, диверсій, спричинених збройною агресією російської </w:t>
      </w:r>
      <w:proofErr w:type="gramStart"/>
      <w:r w:rsidRPr="00AD77F3">
        <w:rPr>
          <w:rFonts w:ascii="Times New Roman" w:eastAsia="Times New Roman" w:hAnsi="Times New Roman" w:cs="Times New Roman"/>
          <w:b/>
          <w:i/>
          <w:color w:val="000000" w:themeColor="text1"/>
          <w:sz w:val="28"/>
          <w:szCs w:val="28"/>
        </w:rPr>
        <w:t>федерації  та</w:t>
      </w:r>
      <w:proofErr w:type="gramEnd"/>
      <w:r w:rsidRPr="00AD77F3">
        <w:rPr>
          <w:rFonts w:ascii="Times New Roman" w:eastAsia="Times New Roman" w:hAnsi="Times New Roman" w:cs="Times New Roman"/>
          <w:b/>
          <w:i/>
          <w:color w:val="000000" w:themeColor="text1"/>
          <w:sz w:val="28"/>
          <w:szCs w:val="28"/>
        </w:rPr>
        <w:t xml:space="preserve"> невідповідність інфраструктури  актуальним потребам людини, економіки та безпековим викликам;</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Одним із гострих </w:t>
      </w:r>
      <w:r w:rsidRPr="00D26FE3">
        <w:rPr>
          <w:rFonts w:ascii="Times New Roman" w:eastAsia="Times New Roman" w:hAnsi="Times New Roman" w:cs="Times New Roman"/>
          <w:color w:val="000000" w:themeColor="text1"/>
          <w:sz w:val="28"/>
          <w:szCs w:val="28"/>
        </w:rPr>
        <w:t>викликів, які постали в результаті пов</w:t>
      </w:r>
      <w:r w:rsidR="00120C1F" w:rsidRPr="00D26FE3">
        <w:rPr>
          <w:rFonts w:ascii="Times New Roman" w:eastAsia="Times New Roman" w:hAnsi="Times New Roman" w:cs="Times New Roman"/>
          <w:color w:val="000000" w:themeColor="text1"/>
          <w:sz w:val="28"/>
          <w:szCs w:val="28"/>
        </w:rPr>
        <w:t xml:space="preserve">номасштабної збройної агресії, </w:t>
      </w:r>
      <w:r w:rsidRPr="00D26FE3">
        <w:rPr>
          <w:rFonts w:ascii="Times New Roman" w:eastAsia="Times New Roman" w:hAnsi="Times New Roman" w:cs="Times New Roman"/>
          <w:color w:val="000000" w:themeColor="text1"/>
          <w:sz w:val="28"/>
          <w:szCs w:val="28"/>
        </w:rPr>
        <w:t>є інфраструктурні проблеми, пов’язані зі значними масштабами руйнувань / пошкодженнями інфраструктурних об’єктів та з їх недостатністю на територіях, що не зазнали пошкоджень, але прийняли значну кількість ВПО, що збільшило попит на послуги та житло. Також суттєвими є прогалини щодо безпеки, існуючої інфраструктури</w:t>
      </w:r>
      <w:r w:rsidR="00120C1F" w:rsidRPr="00D26FE3">
        <w:rPr>
          <w:rFonts w:ascii="Times New Roman" w:eastAsia="Times New Roman" w:hAnsi="Times New Roman" w:cs="Times New Roman"/>
          <w:color w:val="000000" w:themeColor="text1"/>
          <w:sz w:val="28"/>
          <w:szCs w:val="28"/>
        </w:rPr>
        <w:t xml:space="preserve"> (особливо це стосується </w:t>
      </w:r>
      <w:r w:rsidRPr="00D26FE3">
        <w:rPr>
          <w:rFonts w:ascii="Times New Roman" w:eastAsia="Times New Roman" w:hAnsi="Times New Roman" w:cs="Times New Roman"/>
          <w:color w:val="000000" w:themeColor="text1"/>
          <w:sz w:val="28"/>
          <w:szCs w:val="28"/>
        </w:rPr>
        <w:t>систем захисту енергетичних та інфраструктурних обʼєктів), відсутність укриттів або їх неналежний стан тощо. Вцілілі об’єкти, значною мірою, страждають на технологічну застарілість і не відповідають сучасним потребам.</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Житло є одним із секторів, які найбільше п</w:t>
      </w:r>
      <w:r w:rsidR="00120C1F" w:rsidRPr="00D26FE3">
        <w:rPr>
          <w:rFonts w:ascii="Times New Roman" w:eastAsia="Times New Roman" w:hAnsi="Times New Roman" w:cs="Times New Roman"/>
          <w:color w:val="000000" w:themeColor="text1"/>
          <w:sz w:val="28"/>
          <w:szCs w:val="28"/>
        </w:rPr>
        <w:t xml:space="preserve">остраждали від бойових дій. За </w:t>
      </w:r>
      <w:r w:rsidRPr="00D26FE3">
        <w:rPr>
          <w:rFonts w:ascii="Times New Roman" w:eastAsia="Times New Roman" w:hAnsi="Times New Roman" w:cs="Times New Roman"/>
          <w:color w:val="000000" w:themeColor="text1"/>
          <w:sz w:val="28"/>
          <w:szCs w:val="28"/>
        </w:rPr>
        <w:t>оцінками Світового банку</w:t>
      </w:r>
      <w:r w:rsidR="00040BCB" w:rsidRPr="00D26FE3">
        <w:rPr>
          <w:rFonts w:ascii="Times New Roman" w:eastAsia="Times New Roman" w:hAnsi="Times New Roman" w:cs="Times New Roman"/>
          <w:color w:val="000000" w:themeColor="text1"/>
          <w:sz w:val="28"/>
          <w:szCs w:val="28"/>
        </w:rPr>
        <w:t xml:space="preserve">, станом на кінець лютого 2023 </w:t>
      </w:r>
      <w:r w:rsidRPr="00D26FE3">
        <w:rPr>
          <w:rFonts w:ascii="Times New Roman" w:eastAsia="Times New Roman" w:hAnsi="Times New Roman" w:cs="Times New Roman"/>
          <w:color w:val="000000" w:themeColor="text1"/>
          <w:sz w:val="28"/>
          <w:szCs w:val="28"/>
        </w:rPr>
        <w:t>року було пошкоджено 1,4 млн житлових приміщень (майже 8% всіх існуючих до війни), в тому числі 1</w:t>
      </w:r>
      <w:r w:rsidR="00ED30E9" w:rsidRPr="00D26FE3">
        <w:rPr>
          <w:rFonts w:ascii="Times New Roman" w:eastAsia="Times New Roman" w:hAnsi="Times New Roman" w:cs="Times New Roman"/>
          <w:color w:val="000000" w:themeColor="text1"/>
          <w:sz w:val="28"/>
          <w:szCs w:val="28"/>
        </w:rPr>
        <w:t xml:space="preserve">35 тис індивідуальних будинків </w:t>
      </w:r>
      <w:r w:rsidRPr="00D26FE3">
        <w:rPr>
          <w:rFonts w:ascii="Times New Roman" w:eastAsia="Times New Roman" w:hAnsi="Times New Roman" w:cs="Times New Roman"/>
          <w:color w:val="000000" w:themeColor="text1"/>
          <w:sz w:val="28"/>
          <w:szCs w:val="28"/>
        </w:rPr>
        <w:t xml:space="preserve">та 39 тис приміщень </w:t>
      </w:r>
      <w:proofErr w:type="gramStart"/>
      <w:r w:rsidRPr="00D26FE3">
        <w:rPr>
          <w:rFonts w:ascii="Times New Roman" w:eastAsia="Times New Roman" w:hAnsi="Times New Roman" w:cs="Times New Roman"/>
          <w:color w:val="000000" w:themeColor="text1"/>
          <w:sz w:val="28"/>
          <w:szCs w:val="28"/>
        </w:rPr>
        <w:t>у  гуртожитках</w:t>
      </w:r>
      <w:proofErr w:type="gramEnd"/>
      <w:r w:rsidRPr="00D26FE3">
        <w:rPr>
          <w:rFonts w:ascii="Times New Roman" w:eastAsia="Times New Roman" w:hAnsi="Times New Roman" w:cs="Times New Roman"/>
          <w:color w:val="000000" w:themeColor="text1"/>
          <w:sz w:val="28"/>
          <w:szCs w:val="28"/>
        </w:rPr>
        <w:t>. Найбільша кількість пошкодженого житла у Донецькій, Харківській, Луганській, Київській та Миколаївській областях. За даними Міжнародної організації міграції, станом на початок 2023 року серед ВПО 24% потребували допомоги з житлом, а 60% його орендували.</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Станом на 24 лютого 2023 року щонайменше 2772 заклади освіти були частково пошкоджені та 454 зруйновані, що становить близько 10% усіх закладів всіх рівнів освіти в Україні. Найбільше постраждали об’єкти у східній частині України: 64% всіх закладів освіти у Донецькій області та 38% у Харківській області пошкоджені або зруйновані. Станом на липень 2023 року 68% закладів освіти обладнані укриттями. При цьому лише 56% учасників освітнього процесу були забезпечені укриттями в закладах освіти. Через відсутність та недостатність укриттів заклади дошкільшної освіти не відвідувало близько 420 тис </w:t>
      </w:r>
      <w:r w:rsidRPr="00D26FE3">
        <w:rPr>
          <w:rFonts w:ascii="Times New Roman" w:eastAsia="Times New Roman" w:hAnsi="Times New Roman" w:cs="Times New Roman"/>
          <w:color w:val="000000" w:themeColor="text1"/>
          <w:sz w:val="28"/>
          <w:szCs w:val="28"/>
          <w:highlight w:val="white"/>
        </w:rPr>
        <w:t>дітей дошкільного віку</w:t>
      </w:r>
      <w:r w:rsidR="00120C1F" w:rsidRPr="00D26FE3">
        <w:rPr>
          <w:rFonts w:ascii="Times New Roman" w:hAnsi="Times New Roman" w:cs="Times New Roman"/>
          <w:color w:val="000000" w:themeColor="text1"/>
          <w:sz w:val="28"/>
          <w:szCs w:val="28"/>
          <w:highlight w:val="white"/>
        </w:rPr>
        <w:t xml:space="preserve">. </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На кінець лютого 2023 року пошкоджено або знищено 15,9% </w:t>
      </w:r>
      <w:r w:rsidR="00120C1F" w:rsidRPr="00D26FE3">
        <w:rPr>
          <w:rFonts w:ascii="Times New Roman" w:eastAsia="Times New Roman" w:hAnsi="Times New Roman" w:cs="Times New Roman"/>
          <w:color w:val="000000" w:themeColor="text1"/>
          <w:sz w:val="28"/>
          <w:szCs w:val="28"/>
        </w:rPr>
        <w:t xml:space="preserve">закладів охорони здоров'я </w:t>
      </w:r>
      <w:r w:rsidRPr="00D26FE3">
        <w:rPr>
          <w:rFonts w:ascii="Times New Roman" w:eastAsia="Times New Roman" w:hAnsi="Times New Roman" w:cs="Times New Roman"/>
          <w:color w:val="000000" w:themeColor="text1"/>
          <w:sz w:val="28"/>
          <w:szCs w:val="28"/>
        </w:rPr>
        <w:t>(1574 об’єкти, загальною площею 1791,6 тис м</w:t>
      </w:r>
      <w:r w:rsidRPr="00D26FE3">
        <w:rPr>
          <w:rFonts w:ascii="Times New Roman" w:eastAsia="Times New Roman" w:hAnsi="Times New Roman" w:cs="Times New Roman"/>
          <w:color w:val="000000" w:themeColor="text1"/>
          <w:sz w:val="28"/>
          <w:szCs w:val="28"/>
          <w:vertAlign w:val="superscript"/>
        </w:rPr>
        <w:t>2</w:t>
      </w:r>
      <w:r w:rsidRPr="00D26FE3">
        <w:rPr>
          <w:rFonts w:ascii="Times New Roman" w:eastAsia="Times New Roman" w:hAnsi="Times New Roman" w:cs="Times New Roman"/>
          <w:color w:val="000000" w:themeColor="text1"/>
          <w:sz w:val="28"/>
          <w:szCs w:val="28"/>
        </w:rPr>
        <w:t>). Пошкодження інфраструктури охорони здоров’я зареєстровано в 17 областях, причому найбільша частка пошкоджень зосереджена в Донецькій, Харківсь</w:t>
      </w:r>
      <w:r w:rsidR="00040BCB" w:rsidRPr="00D26FE3">
        <w:rPr>
          <w:rFonts w:ascii="Times New Roman" w:eastAsia="Times New Roman" w:hAnsi="Times New Roman" w:cs="Times New Roman"/>
          <w:color w:val="000000" w:themeColor="text1"/>
          <w:sz w:val="28"/>
          <w:szCs w:val="28"/>
        </w:rPr>
        <w:t xml:space="preserve">кій, Чернігівській областях. </w:t>
      </w:r>
      <w:proofErr w:type="gramStart"/>
      <w:r w:rsidR="00040BCB" w:rsidRPr="00D26FE3">
        <w:rPr>
          <w:rFonts w:ascii="Times New Roman" w:eastAsia="Times New Roman" w:hAnsi="Times New Roman" w:cs="Times New Roman"/>
          <w:color w:val="000000" w:themeColor="text1"/>
          <w:sz w:val="28"/>
          <w:szCs w:val="28"/>
        </w:rPr>
        <w:t xml:space="preserve">До </w:t>
      </w:r>
      <w:r w:rsidRPr="00D26FE3">
        <w:rPr>
          <w:rFonts w:ascii="Times New Roman" w:eastAsia="Times New Roman" w:hAnsi="Times New Roman" w:cs="Times New Roman"/>
          <w:color w:val="000000" w:themeColor="text1"/>
          <w:sz w:val="28"/>
          <w:szCs w:val="28"/>
        </w:rPr>
        <w:t>початку</w:t>
      </w:r>
      <w:proofErr w:type="gramEnd"/>
      <w:r w:rsidRPr="00D26FE3">
        <w:rPr>
          <w:rFonts w:ascii="Times New Roman" w:eastAsia="Times New Roman" w:hAnsi="Times New Roman" w:cs="Times New Roman"/>
          <w:color w:val="000000" w:themeColor="text1"/>
          <w:sz w:val="28"/>
          <w:szCs w:val="28"/>
        </w:rPr>
        <w:t xml:space="preserve"> війни по всій країні н</w:t>
      </w:r>
      <w:r w:rsidR="00120C1F" w:rsidRPr="00D26FE3">
        <w:rPr>
          <w:rFonts w:ascii="Times New Roman" w:eastAsia="Times New Roman" w:hAnsi="Times New Roman" w:cs="Times New Roman"/>
          <w:color w:val="000000" w:themeColor="text1"/>
          <w:sz w:val="28"/>
          <w:szCs w:val="28"/>
        </w:rPr>
        <w:t xml:space="preserve">араховувалося 3118 автомобілів </w:t>
      </w:r>
      <w:r w:rsidRPr="00D26FE3">
        <w:rPr>
          <w:rFonts w:ascii="Times New Roman" w:eastAsia="Times New Roman" w:hAnsi="Times New Roman" w:cs="Times New Roman"/>
          <w:color w:val="000000" w:themeColor="text1"/>
          <w:sz w:val="28"/>
          <w:szCs w:val="28"/>
        </w:rPr>
        <w:t>швидкої медичної допомоги, з яких за період масового вторгнення 650 (20,8%) були пошкоджені або вкрадені.</w:t>
      </w:r>
    </w:p>
    <w:p w:rsidR="001C4558"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lastRenderedPageBreak/>
        <w:t xml:space="preserve">Значних руйнувань зазнала транспортна інфраструктура. Найбільші втрати спостерігаються в регіонах, де велися тривалі бої – на Донецьку, Луганську, Херсонську та Запорізьку області разом припадає понад 70% збитків. У випадку Херсонської області природний бар’єр, створений річкою Дніпро, також призвів до майже статичної лінії фронту починаючи з кінця 2022 року. За попередніми оцінками, в цілому внаслідок бойових дій руйнувань зазнали 25,4 тис км доріг та 344 мостів і мостових переходів державного </w:t>
      </w:r>
      <w:r w:rsidR="001C4558" w:rsidRPr="00D26FE3">
        <w:rPr>
          <w:rFonts w:ascii="Times New Roman" w:eastAsia="Times New Roman" w:hAnsi="Times New Roman" w:cs="Times New Roman"/>
          <w:color w:val="000000" w:themeColor="text1"/>
          <w:sz w:val="28"/>
          <w:szCs w:val="28"/>
        </w:rPr>
        <w:t>та місцевого значення.</w:t>
      </w:r>
    </w:p>
    <w:p w:rsidR="005D595A" w:rsidRPr="00D26FE3" w:rsidRDefault="001C4558"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strike/>
          <w:color w:val="000000" w:themeColor="text1"/>
          <w:sz w:val="28"/>
          <w:szCs w:val="28"/>
        </w:rPr>
      </w:pPr>
      <w:r w:rsidRPr="00D26FE3">
        <w:rPr>
          <w:rFonts w:ascii="Times New Roman" w:eastAsia="Times New Roman" w:hAnsi="Times New Roman" w:cs="Times New Roman"/>
          <w:color w:val="000000" w:themeColor="text1"/>
          <w:sz w:val="28"/>
          <w:szCs w:val="28"/>
          <w:lang w:val="ru-RU"/>
        </w:rPr>
        <w:t>А також, станом на 01 листопада 2023 року у результаті проведення бойовиї дій пошкоджено 2 862 та знищено 2 891 майнових обєктів залізничної транспортної</w:t>
      </w:r>
      <w:r w:rsidR="0076190B" w:rsidRPr="00D26FE3">
        <w:rPr>
          <w:rFonts w:ascii="Times New Roman" w:eastAsia="Times New Roman" w:hAnsi="Times New Roman" w:cs="Times New Roman"/>
          <w:color w:val="000000" w:themeColor="text1"/>
          <w:sz w:val="28"/>
          <w:szCs w:val="28"/>
          <w:lang w:val="ru-RU"/>
        </w:rPr>
        <w:t xml:space="preserve"> інфраструктури та залізничного рухомого складу. </w:t>
      </w:r>
    </w:p>
    <w:p w:rsidR="005D595A" w:rsidRPr="00D26FE3" w:rsidRDefault="00040BCB" w:rsidP="00040BCB">
      <w:pPr>
        <w:spacing w:before="240" w:after="240" w:line="240" w:lineRule="auto"/>
        <w:ind w:firstLine="709"/>
        <w:jc w:val="both"/>
        <w:rPr>
          <w:rFonts w:ascii="Times New Roman" w:eastAsia="Times New Roman" w:hAnsi="Times New Roman" w:cs="Times New Roman"/>
          <w:color w:val="000000" w:themeColor="text1"/>
          <w:sz w:val="28"/>
          <w:szCs w:val="28"/>
        </w:rPr>
      </w:pPr>
      <w:proofErr w:type="gramStart"/>
      <w:r w:rsidRPr="00D26FE3">
        <w:rPr>
          <w:rFonts w:ascii="Times New Roman" w:eastAsia="Times New Roman" w:hAnsi="Times New Roman" w:cs="Times New Roman"/>
          <w:color w:val="000000" w:themeColor="text1"/>
          <w:sz w:val="28"/>
          <w:szCs w:val="28"/>
        </w:rPr>
        <w:t>До початку</w:t>
      </w:r>
      <w:proofErr w:type="gramEnd"/>
      <w:r w:rsidRPr="00D26FE3">
        <w:rPr>
          <w:rFonts w:ascii="Times New Roman" w:eastAsia="Times New Roman" w:hAnsi="Times New Roman" w:cs="Times New Roman"/>
          <w:color w:val="000000" w:themeColor="text1"/>
          <w:sz w:val="28"/>
          <w:szCs w:val="28"/>
        </w:rPr>
        <w:t xml:space="preserve"> </w:t>
      </w:r>
      <w:r w:rsidR="00183E3F" w:rsidRPr="00D26FE3">
        <w:rPr>
          <w:rFonts w:ascii="Times New Roman" w:eastAsia="Times New Roman" w:hAnsi="Times New Roman" w:cs="Times New Roman"/>
          <w:color w:val="000000" w:themeColor="text1"/>
          <w:sz w:val="28"/>
          <w:szCs w:val="28"/>
        </w:rPr>
        <w:t>повномасштабної збройної агресії російської федерації більшість систем життєзабезпечення характеризувалися значною технологічною застарілістю (зношеністю), високою енергоємністю та низькою ефективністю, при чому близько половини обладнання та мереж вичерпали проєктни</w:t>
      </w:r>
      <w:r w:rsidR="00120C1F" w:rsidRPr="00D26FE3">
        <w:rPr>
          <w:rFonts w:ascii="Times New Roman" w:eastAsia="Times New Roman" w:hAnsi="Times New Roman" w:cs="Times New Roman"/>
          <w:color w:val="000000" w:themeColor="text1"/>
          <w:sz w:val="28"/>
          <w:szCs w:val="28"/>
        </w:rPr>
        <w:t xml:space="preserve">й термін служби та потребували </w:t>
      </w:r>
      <w:r w:rsidR="00183E3F" w:rsidRPr="00D26FE3">
        <w:rPr>
          <w:rFonts w:ascii="Times New Roman" w:eastAsia="Times New Roman" w:hAnsi="Times New Roman" w:cs="Times New Roman"/>
          <w:color w:val="000000" w:themeColor="text1"/>
          <w:sz w:val="28"/>
          <w:szCs w:val="28"/>
        </w:rPr>
        <w:t>заміни. Понад 80% енергії для життєзабезпечення населених пунктів виробляється з викопних видів палива.</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Технічний стан централізованого теплопостачання</w:t>
      </w:r>
      <w:r w:rsidR="00120C1F" w:rsidRPr="00D26FE3">
        <w:rPr>
          <w:rFonts w:ascii="Times New Roman" w:eastAsia="Times New Roman" w:hAnsi="Times New Roman" w:cs="Times New Roman"/>
          <w:color w:val="000000" w:themeColor="text1"/>
          <w:sz w:val="28"/>
          <w:szCs w:val="28"/>
        </w:rPr>
        <w:t xml:space="preserve">, насамперед теплових мереж, був незадовільним і </w:t>
      </w:r>
      <w:proofErr w:type="gramStart"/>
      <w:r w:rsidR="00040BCB" w:rsidRPr="00D26FE3">
        <w:rPr>
          <w:rFonts w:ascii="Times New Roman" w:eastAsia="Times New Roman" w:hAnsi="Times New Roman" w:cs="Times New Roman"/>
          <w:color w:val="000000" w:themeColor="text1"/>
          <w:sz w:val="28"/>
          <w:szCs w:val="28"/>
        </w:rPr>
        <w:t xml:space="preserve">до </w:t>
      </w:r>
      <w:r w:rsidRPr="00D26FE3">
        <w:rPr>
          <w:rFonts w:ascii="Times New Roman" w:eastAsia="Times New Roman" w:hAnsi="Times New Roman" w:cs="Times New Roman"/>
          <w:color w:val="000000" w:themeColor="text1"/>
          <w:sz w:val="28"/>
          <w:szCs w:val="28"/>
        </w:rPr>
        <w:t>початку</w:t>
      </w:r>
      <w:proofErr w:type="gramEnd"/>
      <w:r w:rsidRPr="00D26FE3">
        <w:rPr>
          <w:rFonts w:ascii="Times New Roman" w:eastAsia="Times New Roman" w:hAnsi="Times New Roman" w:cs="Times New Roman"/>
          <w:color w:val="000000" w:themeColor="text1"/>
          <w:sz w:val="28"/>
          <w:szCs w:val="28"/>
        </w:rPr>
        <w:t xml:space="preserve"> повномасштабної збройної агресії. Близьк</w:t>
      </w:r>
      <w:r w:rsidR="00120C1F" w:rsidRPr="00D26FE3">
        <w:rPr>
          <w:rFonts w:ascii="Times New Roman" w:eastAsia="Times New Roman" w:hAnsi="Times New Roman" w:cs="Times New Roman"/>
          <w:color w:val="000000" w:themeColor="text1"/>
          <w:sz w:val="28"/>
          <w:szCs w:val="28"/>
        </w:rPr>
        <w:t>о 40% мереж потребували заміни.</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Поточний стан систем водопостачання не забезпечує споживачів стабільними і доступними послугами, лише близько 65% населення мають доступ до систем централізованого питного водопостачання. Централізованим водопостачанням забезпечено менше ніж 30% населених пунктів України. Разом з тим, менше половини населення мають доступ до систем водовідведення. Лише 50% стічних вод проходить повний цикл біологічної очистки, третина стічних вод скидалися до водних об’єктів без жодного очищення.</w:t>
      </w:r>
    </w:p>
    <w:p w:rsidR="005D595A" w:rsidRPr="00D26FE3" w:rsidRDefault="00120C1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У зв’язку з бойовими діями </w:t>
      </w:r>
      <w:r w:rsidR="00183E3F" w:rsidRPr="00D26FE3">
        <w:rPr>
          <w:rFonts w:ascii="Times New Roman" w:eastAsia="Times New Roman" w:hAnsi="Times New Roman" w:cs="Times New Roman"/>
          <w:color w:val="000000" w:themeColor="text1"/>
          <w:sz w:val="28"/>
          <w:szCs w:val="28"/>
        </w:rPr>
        <w:t>сектор зазнав збитків і втрат, масові удари безпілотниками та ракетами по критичній інфраструктурі наприкінці 2022 та у першому кварталі 2023 років суттєво вплинули на надання послуг. Найбільше постраждала критична інфраструктура в Харківській, Луганській, Чернігівській, Київській, Херсонській та Донецькій областях. Також очікується, що значні додаткові пошкодження буде виявлено в Луганській та Донецькій областях, к</w:t>
      </w:r>
      <w:r w:rsidR="00040BCB" w:rsidRPr="00D26FE3">
        <w:rPr>
          <w:rFonts w:ascii="Times New Roman" w:eastAsia="Times New Roman" w:hAnsi="Times New Roman" w:cs="Times New Roman"/>
          <w:color w:val="000000" w:themeColor="text1"/>
          <w:sz w:val="28"/>
          <w:szCs w:val="28"/>
        </w:rPr>
        <w:t xml:space="preserve">оли вони стануть доступними </w:t>
      </w:r>
      <w:proofErr w:type="gramStart"/>
      <w:r w:rsidR="00040BCB" w:rsidRPr="00D26FE3">
        <w:rPr>
          <w:rFonts w:ascii="Times New Roman" w:eastAsia="Times New Roman" w:hAnsi="Times New Roman" w:cs="Times New Roman"/>
          <w:color w:val="000000" w:themeColor="text1"/>
          <w:sz w:val="28"/>
          <w:szCs w:val="28"/>
        </w:rPr>
        <w:t xml:space="preserve">для </w:t>
      </w:r>
      <w:r w:rsidR="00183E3F" w:rsidRPr="00D26FE3">
        <w:rPr>
          <w:rFonts w:ascii="Times New Roman" w:eastAsia="Times New Roman" w:hAnsi="Times New Roman" w:cs="Times New Roman"/>
          <w:color w:val="000000" w:themeColor="text1"/>
          <w:sz w:val="28"/>
          <w:szCs w:val="28"/>
        </w:rPr>
        <w:t>уряду</w:t>
      </w:r>
      <w:proofErr w:type="gramEnd"/>
      <w:r w:rsidR="00183E3F" w:rsidRPr="00D26FE3">
        <w:rPr>
          <w:rFonts w:ascii="Times New Roman" w:eastAsia="Times New Roman" w:hAnsi="Times New Roman" w:cs="Times New Roman"/>
          <w:color w:val="000000" w:themeColor="text1"/>
          <w:sz w:val="28"/>
          <w:szCs w:val="28"/>
        </w:rPr>
        <w:t>, і збитки можна буде безпечно переоцінити.</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Війна </w:t>
      </w:r>
      <w:r w:rsidR="00040BCB" w:rsidRPr="00D26FE3">
        <w:rPr>
          <w:rFonts w:ascii="Times New Roman" w:eastAsia="Times New Roman" w:hAnsi="Times New Roman" w:cs="Times New Roman"/>
          <w:color w:val="000000" w:themeColor="text1"/>
          <w:sz w:val="28"/>
          <w:szCs w:val="28"/>
        </w:rPr>
        <w:t xml:space="preserve">має значний негативний вплив </w:t>
      </w:r>
      <w:proofErr w:type="gramStart"/>
      <w:r w:rsidR="00040BCB" w:rsidRPr="00D26FE3">
        <w:rPr>
          <w:rFonts w:ascii="Times New Roman" w:eastAsia="Times New Roman" w:hAnsi="Times New Roman" w:cs="Times New Roman"/>
          <w:color w:val="000000" w:themeColor="text1"/>
          <w:sz w:val="28"/>
          <w:szCs w:val="28"/>
        </w:rPr>
        <w:t xml:space="preserve">на </w:t>
      </w:r>
      <w:r w:rsidRPr="00D26FE3">
        <w:rPr>
          <w:rFonts w:ascii="Times New Roman" w:eastAsia="Times New Roman" w:hAnsi="Times New Roman" w:cs="Times New Roman"/>
          <w:color w:val="000000" w:themeColor="text1"/>
          <w:sz w:val="28"/>
          <w:szCs w:val="28"/>
        </w:rPr>
        <w:t>роботу</w:t>
      </w:r>
      <w:proofErr w:type="gramEnd"/>
      <w:r w:rsidRPr="00D26FE3">
        <w:rPr>
          <w:rFonts w:ascii="Times New Roman" w:eastAsia="Times New Roman" w:hAnsi="Times New Roman" w:cs="Times New Roman"/>
          <w:color w:val="000000" w:themeColor="text1"/>
          <w:sz w:val="28"/>
          <w:szCs w:val="28"/>
        </w:rPr>
        <w:t xml:space="preserve"> української енергетичної галузі. Через своє економічне, гуманітарне і геополітичне значення об’єкти енергетичної інфраструктури є особливо частими цілями </w:t>
      </w:r>
      <w:r w:rsidRPr="00D26FE3">
        <w:rPr>
          <w:rFonts w:ascii="Times New Roman" w:eastAsia="Times New Roman" w:hAnsi="Times New Roman" w:cs="Times New Roman"/>
          <w:color w:val="000000" w:themeColor="text1"/>
          <w:sz w:val="28"/>
          <w:szCs w:val="28"/>
          <w:highlight w:val="white"/>
        </w:rPr>
        <w:t xml:space="preserve">збройної агресії російської федерації. </w:t>
      </w:r>
      <w:r w:rsidRPr="00D26FE3">
        <w:rPr>
          <w:rFonts w:ascii="Times New Roman" w:eastAsia="Times New Roman" w:hAnsi="Times New Roman" w:cs="Times New Roman"/>
          <w:color w:val="000000" w:themeColor="text1"/>
          <w:sz w:val="28"/>
          <w:szCs w:val="28"/>
        </w:rPr>
        <w:t>Внаслідок 33 масованих ракетних атак</w:t>
      </w:r>
      <w:hyperlink r:id="rId16">
        <w:r w:rsidRPr="00D26FE3">
          <w:rPr>
            <w:rFonts w:ascii="Times New Roman" w:eastAsia="Times New Roman" w:hAnsi="Times New Roman" w:cs="Times New Roman"/>
            <w:color w:val="000000" w:themeColor="text1"/>
            <w:sz w:val="28"/>
            <w:szCs w:val="28"/>
          </w:rPr>
          <w:t xml:space="preserve"> </w:t>
        </w:r>
      </w:hyperlink>
      <w:hyperlink r:id="rId17">
        <w:r w:rsidRPr="00D26FE3">
          <w:rPr>
            <w:rFonts w:ascii="Times New Roman" w:eastAsia="Times New Roman" w:hAnsi="Times New Roman" w:cs="Times New Roman"/>
            <w:color w:val="000000" w:themeColor="text1"/>
            <w:sz w:val="28"/>
            <w:szCs w:val="28"/>
          </w:rPr>
          <w:t>понад 47%</w:t>
        </w:r>
      </w:hyperlink>
      <w:r w:rsidRPr="00D26FE3">
        <w:rPr>
          <w:rFonts w:ascii="Times New Roman" w:eastAsia="Times New Roman" w:hAnsi="Times New Roman" w:cs="Times New Roman"/>
          <w:color w:val="000000" w:themeColor="text1"/>
          <w:sz w:val="28"/>
          <w:szCs w:val="28"/>
        </w:rPr>
        <w:t xml:space="preserve"> енергетичної інфраструктури зазнало різного ступеня руйнувань, історично українська енергетична система базувалася на відносно невеликій кількості </w:t>
      </w:r>
      <w:r w:rsidRPr="00D26FE3">
        <w:rPr>
          <w:rFonts w:ascii="Times New Roman" w:eastAsia="Times New Roman" w:hAnsi="Times New Roman" w:cs="Times New Roman"/>
          <w:color w:val="000000" w:themeColor="text1"/>
          <w:sz w:val="28"/>
          <w:szCs w:val="28"/>
        </w:rPr>
        <w:lastRenderedPageBreak/>
        <w:t>великих вугільних, атомних та гідроелектростанцій, які забезпечували більше ніж 90% генерації. Така система виявилася вразливою та неефективною в умовах воєнного стану.</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6 червня 2023 року </w:t>
      </w:r>
      <w:r w:rsidRPr="00D26FE3">
        <w:rPr>
          <w:rFonts w:ascii="Times New Roman" w:eastAsia="Times New Roman" w:hAnsi="Times New Roman" w:cs="Times New Roman"/>
          <w:color w:val="000000" w:themeColor="text1"/>
          <w:sz w:val="28"/>
          <w:szCs w:val="28"/>
          <w:highlight w:val="white"/>
        </w:rPr>
        <w:t xml:space="preserve">агресором </w:t>
      </w:r>
      <w:r w:rsidRPr="00D26FE3">
        <w:rPr>
          <w:rFonts w:ascii="Times New Roman" w:eastAsia="Times New Roman" w:hAnsi="Times New Roman" w:cs="Times New Roman"/>
          <w:color w:val="000000" w:themeColor="text1"/>
          <w:sz w:val="28"/>
          <w:szCs w:val="28"/>
        </w:rPr>
        <w:t>з</w:t>
      </w:r>
      <w:r w:rsidRPr="00D26FE3">
        <w:rPr>
          <w:rFonts w:ascii="Times New Roman" w:eastAsia="Georgia" w:hAnsi="Times New Roman" w:cs="Times New Roman"/>
          <w:color w:val="000000" w:themeColor="text1"/>
          <w:sz w:val="28"/>
          <w:szCs w:val="28"/>
          <w:highlight w:val="white"/>
        </w:rPr>
        <w:t xml:space="preserve">руйновано греблю </w:t>
      </w:r>
      <w:r w:rsidRPr="00D26FE3">
        <w:rPr>
          <w:rFonts w:ascii="Times New Roman" w:eastAsia="Times New Roman" w:hAnsi="Times New Roman" w:cs="Times New Roman"/>
          <w:color w:val="000000" w:themeColor="text1"/>
          <w:sz w:val="28"/>
          <w:szCs w:val="28"/>
        </w:rPr>
        <w:t>Каховської</w:t>
      </w:r>
      <w:r w:rsidRPr="00D26FE3">
        <w:rPr>
          <w:rFonts w:ascii="Times New Roman" w:eastAsia="Georgia" w:hAnsi="Times New Roman" w:cs="Times New Roman"/>
          <w:color w:val="000000" w:themeColor="text1"/>
          <w:sz w:val="28"/>
          <w:szCs w:val="28"/>
          <w:highlight w:val="white"/>
        </w:rPr>
        <w:t xml:space="preserve"> </w:t>
      </w:r>
      <w:r w:rsidRPr="00D26FE3">
        <w:rPr>
          <w:rFonts w:ascii="Times New Roman" w:eastAsia="Times New Roman" w:hAnsi="Times New Roman" w:cs="Times New Roman"/>
          <w:color w:val="000000" w:themeColor="text1"/>
          <w:sz w:val="28"/>
          <w:szCs w:val="28"/>
          <w:highlight w:val="white"/>
        </w:rPr>
        <w:t>ГЕС</w:t>
      </w:r>
      <w:r w:rsidRPr="00D26FE3">
        <w:rPr>
          <w:rFonts w:ascii="Times New Roman" w:eastAsia="Times New Roman" w:hAnsi="Times New Roman" w:cs="Times New Roman"/>
          <w:color w:val="000000" w:themeColor="text1"/>
          <w:sz w:val="28"/>
          <w:szCs w:val="28"/>
        </w:rPr>
        <w:t>, в результаті чого до річки Дніпро потрапило щонайменше 150 т мастила із ризиком подальшого витоку ще більшого обсягу. Техногенна катастрофа впливає на водопостачання 31 системи зрошення полів, а саме Дніпропетровської – 30%, Херсонської – 94% та Запорізької – 74% областей, а також спричиняє перебої в роботі Запорізької АЕС.</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Внаслідок повномасштабного вторгнення російської федерації Україна зазнала значних руйнувань інфраструктури. Вцілілі об’єкти, значною мірою, страждають на технологічну застарілість</w:t>
      </w:r>
      <w:r w:rsidRPr="00AD77F3">
        <w:rPr>
          <w:rFonts w:ascii="Times New Roman" w:eastAsia="Times New Roman" w:hAnsi="Times New Roman" w:cs="Times New Roman"/>
          <w:color w:val="000000" w:themeColor="text1"/>
          <w:sz w:val="28"/>
          <w:szCs w:val="28"/>
        </w:rPr>
        <w:t xml:space="preserve"> та не відповідають актуальним потребам безпеки. Тому повоєнне відновлення інфраструктури не може означати лише відбудову знищених та / або пошкоджених об’єктів, а по</w:t>
      </w:r>
      <w:r w:rsidR="00040BCB" w:rsidRPr="00AD77F3">
        <w:rPr>
          <w:rFonts w:ascii="Times New Roman" w:eastAsia="Times New Roman" w:hAnsi="Times New Roman" w:cs="Times New Roman"/>
          <w:color w:val="000000" w:themeColor="text1"/>
          <w:sz w:val="28"/>
          <w:szCs w:val="28"/>
        </w:rPr>
        <w:t xml:space="preserve">винно відбуватися за принципом </w:t>
      </w:r>
      <w:r w:rsidR="00040BCB" w:rsidRPr="00AD77F3">
        <w:rPr>
          <w:rFonts w:ascii="Times New Roman" w:eastAsia="Times New Roman" w:hAnsi="Times New Roman" w:cs="Times New Roman"/>
          <w:color w:val="000000" w:themeColor="text1"/>
          <w:sz w:val="28"/>
          <w:szCs w:val="28"/>
          <w:lang w:val="ru-RU"/>
        </w:rPr>
        <w:t>«</w:t>
      </w:r>
      <w:r w:rsidR="00040BCB" w:rsidRPr="00AD77F3">
        <w:rPr>
          <w:rFonts w:ascii="Times New Roman" w:eastAsia="Times New Roman" w:hAnsi="Times New Roman" w:cs="Times New Roman"/>
          <w:color w:val="000000" w:themeColor="text1"/>
          <w:sz w:val="28"/>
          <w:szCs w:val="28"/>
        </w:rPr>
        <w:t>build back better</w:t>
      </w:r>
      <w:r w:rsidR="00040BCB" w:rsidRPr="00AD77F3">
        <w:rPr>
          <w:rFonts w:ascii="Times New Roman" w:eastAsia="Times New Roman" w:hAnsi="Times New Roman" w:cs="Times New Roman"/>
          <w:color w:val="000000" w:themeColor="text1"/>
          <w:sz w:val="28"/>
          <w:szCs w:val="28"/>
          <w:lang w:val="ru-RU"/>
        </w:rPr>
        <w:t>»</w:t>
      </w:r>
      <w:r w:rsidRPr="00AD77F3">
        <w:rPr>
          <w:rFonts w:ascii="Times New Roman" w:eastAsia="Times New Roman" w:hAnsi="Times New Roman" w:cs="Times New Roman"/>
          <w:color w:val="000000" w:themeColor="text1"/>
          <w:sz w:val="28"/>
          <w:szCs w:val="28"/>
        </w:rPr>
        <w:t xml:space="preserve"> з використанням найкращих доступних технологій та практик.  </w:t>
      </w:r>
    </w:p>
    <w:p w:rsidR="005D595A" w:rsidRPr="00AD77F3" w:rsidRDefault="00183E3F" w:rsidP="00040BCB">
      <w:pPr>
        <w:pStyle w:val="1"/>
        <w:keepNext w:val="0"/>
        <w:keepLines w:val="0"/>
        <w:spacing w:before="0" w:line="240" w:lineRule="auto"/>
        <w:ind w:firstLine="709"/>
        <w:jc w:val="both"/>
        <w:rPr>
          <w:rFonts w:ascii="Times New Roman" w:eastAsia="Times New Roman" w:hAnsi="Times New Roman" w:cs="Times New Roman"/>
          <w:b/>
          <w:i/>
          <w:color w:val="000000" w:themeColor="text1"/>
          <w:sz w:val="28"/>
          <w:szCs w:val="28"/>
        </w:rPr>
      </w:pPr>
      <w:bookmarkStart w:id="8" w:name="_x2t6w9oanym6" w:colFirst="0" w:colLast="0"/>
      <w:bookmarkEnd w:id="8"/>
      <w:r w:rsidRPr="00AD77F3">
        <w:rPr>
          <w:rFonts w:ascii="Times New Roman" w:eastAsia="Times New Roman" w:hAnsi="Times New Roman" w:cs="Times New Roman"/>
          <w:b/>
          <w:i/>
          <w:color w:val="000000" w:themeColor="text1"/>
          <w:sz w:val="28"/>
          <w:szCs w:val="28"/>
        </w:rPr>
        <w:t>5. Втрата транзитного потенціалу та вимушена переорієнтація транспортно-логістичних потоків</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highlight w:val="white"/>
        </w:rPr>
        <w:t>Збройна агресія російської федерації проти Украї</w:t>
      </w:r>
      <w:r w:rsidRPr="00AD77F3">
        <w:rPr>
          <w:rFonts w:ascii="Times New Roman" w:eastAsia="Times New Roman" w:hAnsi="Times New Roman" w:cs="Times New Roman"/>
          <w:color w:val="000000" w:themeColor="text1"/>
          <w:sz w:val="28"/>
          <w:szCs w:val="28"/>
        </w:rPr>
        <w:t>ни не лише суттєво змінила територіальну структуру економіки України, але і зумовила процеси переорієнтації транспортно-логістичних маршрутів суб’єктів бізнесу. З цим пов’язані процеси руйнування критичної та виробничої інфраструктури, проблеми з логістикою, блокування</w:t>
      </w:r>
      <w:r w:rsidR="009A6168">
        <w:rPr>
          <w:rFonts w:ascii="Times New Roman" w:eastAsia="Times New Roman" w:hAnsi="Times New Roman" w:cs="Times New Roman"/>
          <w:color w:val="000000" w:themeColor="text1"/>
          <w:sz w:val="28"/>
          <w:szCs w:val="28"/>
          <w:lang w:val="ru-RU"/>
        </w:rPr>
        <w:t xml:space="preserve"> морських</w:t>
      </w:r>
      <w:r w:rsidRPr="00AD77F3">
        <w:rPr>
          <w:rFonts w:ascii="Times New Roman" w:eastAsia="Times New Roman" w:hAnsi="Times New Roman" w:cs="Times New Roman"/>
          <w:color w:val="000000" w:themeColor="text1"/>
          <w:sz w:val="28"/>
          <w:szCs w:val="28"/>
        </w:rPr>
        <w:t xml:space="preserve"> портів Чорного моря, зростання виробничих і експортних втрат в умовах порушення звичних ланцюгів поставок замовлень та попиту на товари, </w:t>
      </w:r>
      <w:r w:rsidRPr="00D26FE3">
        <w:rPr>
          <w:rFonts w:ascii="Times New Roman" w:eastAsia="Times New Roman" w:hAnsi="Times New Roman" w:cs="Times New Roman"/>
          <w:color w:val="000000" w:themeColor="text1"/>
          <w:sz w:val="28"/>
          <w:szCs w:val="28"/>
        </w:rPr>
        <w:t>роботи і послуги.</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Втрата транзитного потенціалу у більшості випадків торкнулася регіонів південної України, де у перші місяці воєнних дій стало неможливим здійснення морських перевезень внаслідок: тимчасової окупації та блокування морських портів, які були найбільш значними по обсягах експорту зернових, руди та металопродукції;  забруднення вибухонебезпечними предметами прибережної смуги; безпосередньої близькості до територій, де ведуться бойові дії; загрози піратства та збройного розбою з боку суден  країни-агресора  і, відповідно, неможливості забезпечення належного рівня безпеки судноплавства та дотримання міжнародних зобов’язань.</w:t>
      </w:r>
    </w:p>
    <w:p w:rsidR="009A6168" w:rsidRPr="00D26FE3" w:rsidRDefault="009A6168"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Морська інфраструктура України включала 18 портів, з яких 9 є закритими, оскільки перебувають під тимчасовою окупацією держави-агресора, морські порти Одеса, Чорноморськ, Південний працюють не на всю спроможність – захід/вихід судн здійснюється в рамках дії Тимчасового коридору. Морські порти Миколаїв, Білгород-Дністровський працюють в режимі «сухий порт» –  у напрямку зберігання </w:t>
      </w:r>
      <w:r w:rsidRPr="00D26FE3">
        <w:rPr>
          <w:rFonts w:ascii="Times New Roman" w:eastAsia="Times New Roman" w:hAnsi="Times New Roman" w:cs="Times New Roman"/>
          <w:color w:val="000000" w:themeColor="text1"/>
          <w:sz w:val="28"/>
          <w:szCs w:val="28"/>
        </w:rPr>
        <w:lastRenderedPageBreak/>
        <w:t>та перевалки вантажів без їх завантаження на судна. Порти Дунайського регіону (Ізмаїл, Рені та Усть-Дунайськ) працюють в штатному режимі та постійно нарощуть кількість оброблених вантажів.</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Спостерігається підвищення інтенсивності використання транспортної інфраструктури регіонів, віддалених від зони бойових дій, що</w:t>
      </w:r>
      <w:r w:rsidR="00120C1F" w:rsidRPr="00D26FE3">
        <w:rPr>
          <w:rFonts w:ascii="Times New Roman" w:eastAsia="Times New Roman" w:hAnsi="Times New Roman" w:cs="Times New Roman"/>
          <w:color w:val="000000" w:themeColor="text1"/>
          <w:sz w:val="28"/>
          <w:szCs w:val="28"/>
        </w:rPr>
        <w:t xml:space="preserve"> призводить до зростання рівня </w:t>
      </w:r>
      <w:r w:rsidRPr="00D26FE3">
        <w:rPr>
          <w:rFonts w:ascii="Times New Roman" w:eastAsia="Times New Roman" w:hAnsi="Times New Roman" w:cs="Times New Roman"/>
          <w:color w:val="000000" w:themeColor="text1"/>
          <w:sz w:val="28"/>
          <w:szCs w:val="28"/>
        </w:rPr>
        <w:t>зношеності автомобільних доріг у цих регіонах. В умовах переорієнтації транспортно-логістичних потоків гостро відчувається невідповідність прикордонної інфраструктури на кордоні Україна-ЄС сучасним потребам.</w:t>
      </w:r>
      <w:r w:rsidRPr="00D26FE3">
        <w:rPr>
          <w:rFonts w:ascii="Times New Roman" w:eastAsia="Times New Roman" w:hAnsi="Times New Roman" w:cs="Times New Roman"/>
          <w:i/>
          <w:color w:val="000000" w:themeColor="text1"/>
          <w:sz w:val="28"/>
          <w:szCs w:val="28"/>
        </w:rPr>
        <w:t xml:space="preserve"> </w:t>
      </w:r>
      <w:r w:rsidRPr="00D26FE3">
        <w:rPr>
          <w:rFonts w:ascii="Times New Roman" w:eastAsia="Times New Roman" w:hAnsi="Times New Roman" w:cs="Times New Roman"/>
          <w:color w:val="000000" w:themeColor="text1"/>
          <w:sz w:val="28"/>
          <w:szCs w:val="28"/>
        </w:rPr>
        <w:t xml:space="preserve">Блокада українських </w:t>
      </w:r>
      <w:r w:rsidR="009A6168" w:rsidRPr="00D26FE3">
        <w:rPr>
          <w:rFonts w:ascii="Times New Roman" w:eastAsia="Times New Roman" w:hAnsi="Times New Roman" w:cs="Times New Roman"/>
          <w:color w:val="000000" w:themeColor="text1"/>
          <w:sz w:val="28"/>
          <w:szCs w:val="28"/>
          <w:lang w:val="ru-RU"/>
        </w:rPr>
        <w:t xml:space="preserve">морських </w:t>
      </w:r>
      <w:r w:rsidRPr="00D26FE3">
        <w:rPr>
          <w:rFonts w:ascii="Times New Roman" w:eastAsia="Times New Roman" w:hAnsi="Times New Roman" w:cs="Times New Roman"/>
          <w:color w:val="000000" w:themeColor="text1"/>
          <w:sz w:val="28"/>
          <w:szCs w:val="28"/>
        </w:rPr>
        <w:t>портів на Чорному морі, розірвання торговельно-економічних в</w:t>
      </w:r>
      <w:r w:rsidR="00120C1F" w:rsidRPr="00D26FE3">
        <w:rPr>
          <w:rFonts w:ascii="Times New Roman" w:eastAsia="Times New Roman" w:hAnsi="Times New Roman" w:cs="Times New Roman"/>
          <w:color w:val="000000" w:themeColor="text1"/>
          <w:sz w:val="28"/>
          <w:szCs w:val="28"/>
        </w:rPr>
        <w:t xml:space="preserve">ідносин з російською федерацією і </w:t>
      </w:r>
      <w:r w:rsidRPr="00D26FE3">
        <w:rPr>
          <w:rFonts w:ascii="Times New Roman" w:eastAsia="Times New Roman" w:hAnsi="Times New Roman" w:cs="Times New Roman"/>
          <w:color w:val="000000" w:themeColor="text1"/>
          <w:sz w:val="28"/>
          <w:szCs w:val="28"/>
          <w:highlight w:val="white"/>
        </w:rPr>
        <w:t xml:space="preserve">Республіки Білорусь </w:t>
      </w:r>
      <w:r w:rsidRPr="00D26FE3">
        <w:rPr>
          <w:rFonts w:ascii="Times New Roman" w:eastAsia="Times New Roman" w:hAnsi="Times New Roman" w:cs="Times New Roman"/>
          <w:color w:val="000000" w:themeColor="text1"/>
          <w:sz w:val="28"/>
          <w:szCs w:val="28"/>
        </w:rPr>
        <w:t>вплинули на логістику транспортування вантажів:</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частка міжнародних перевезень сухопутним транспортом зросла на 20 в.п.</w:t>
      </w:r>
      <w:r w:rsidRPr="00D26FE3">
        <w:rPr>
          <w:rFonts w:ascii="Times New Roman" w:eastAsia="Times New Roman" w:hAnsi="Times New Roman" w:cs="Times New Roman"/>
          <w:i/>
          <w:color w:val="000000" w:themeColor="text1"/>
          <w:sz w:val="28"/>
          <w:szCs w:val="28"/>
        </w:rPr>
        <w:t xml:space="preserve"> </w:t>
      </w:r>
      <w:r w:rsidRPr="00D26FE3">
        <w:rPr>
          <w:rFonts w:ascii="Times New Roman" w:eastAsia="Times New Roman" w:hAnsi="Times New Roman" w:cs="Times New Roman"/>
          <w:color w:val="000000" w:themeColor="text1"/>
          <w:sz w:val="28"/>
          <w:szCs w:val="28"/>
        </w:rPr>
        <w:t>(з 48% у 2021 році до 68% у 2022 році);</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 інтенсивність </w:t>
      </w:r>
      <w:r w:rsidRPr="00D26FE3">
        <w:rPr>
          <w:rFonts w:ascii="Times New Roman" w:eastAsia="Times New Roman" w:hAnsi="Times New Roman" w:cs="Times New Roman"/>
          <w:color w:val="000000" w:themeColor="text1"/>
          <w:sz w:val="28"/>
          <w:szCs w:val="28"/>
          <w:highlight w:val="white"/>
        </w:rPr>
        <w:t>вантажопотоків</w:t>
      </w:r>
      <w:r w:rsidRPr="00D26FE3">
        <w:rPr>
          <w:rFonts w:ascii="Times New Roman" w:eastAsia="Times New Roman" w:hAnsi="Times New Roman" w:cs="Times New Roman"/>
          <w:color w:val="000000" w:themeColor="text1"/>
          <w:sz w:val="28"/>
          <w:szCs w:val="28"/>
        </w:rPr>
        <w:t xml:space="preserve"> через ділянку кордону Україна-ЄС (у 2022 році кількість пропущених через кордон вантажних автомобілів зросла на 20,3%, вантажних вагонів – на 21,7%, вантажів – на 21,3%).</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На Закарпатську, Волинську та Львівську області у 2022 році припадало 88,4% всіх вантажопотоків у міжнародному сполученні та 90% транзитних вантажопотоків. Найбільше зростання навантаження на прикордонну автомобільну інфраструктуру спостерігалось на українсько-польській та українсько-румунській ділянках кордону. Висока інтенсивність та нерівномірність транспортних потоків, недостатня п</w:t>
      </w:r>
      <w:r w:rsidR="00120C1F" w:rsidRPr="00D26FE3">
        <w:rPr>
          <w:rFonts w:ascii="Times New Roman" w:eastAsia="Times New Roman" w:hAnsi="Times New Roman" w:cs="Times New Roman"/>
          <w:color w:val="000000" w:themeColor="text1"/>
          <w:sz w:val="28"/>
          <w:szCs w:val="28"/>
        </w:rPr>
        <w:t xml:space="preserve">ропускна спроможність призвели </w:t>
      </w:r>
      <w:r w:rsidRPr="00D26FE3">
        <w:rPr>
          <w:rFonts w:ascii="Times New Roman" w:eastAsia="Times New Roman" w:hAnsi="Times New Roman" w:cs="Times New Roman"/>
          <w:color w:val="000000" w:themeColor="text1"/>
          <w:sz w:val="28"/>
          <w:szCs w:val="28"/>
        </w:rPr>
        <w:t>до утворення величезних черг перед пунктами пропуску як зі сторони України, так і зі сторони країн ЄС.</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За результатами 2022 року залізничні пункти пропуску для вантажних перевезень, за винятком українсько-польської ділянки кордону, були завантажені на 22-35% пропускної спроможності. Утворення черг перед ними відбувалося насамперед через відсутність достатніх потужностей для складування та перевантаження вантажу на території України, наявність техніко-технологічних відмінностей між країнами залізничних перевезень і можливості сусідньої країни перевезти певн</w:t>
      </w:r>
      <w:r w:rsidR="00040BCB" w:rsidRPr="00D26FE3">
        <w:rPr>
          <w:rFonts w:ascii="Times New Roman" w:eastAsia="Times New Roman" w:hAnsi="Times New Roman" w:cs="Times New Roman"/>
          <w:color w:val="000000" w:themeColor="text1"/>
          <w:sz w:val="28"/>
          <w:szCs w:val="28"/>
        </w:rPr>
        <w:t xml:space="preserve">ий обсяг вантажу у визначеному </w:t>
      </w:r>
      <w:r w:rsidRPr="00D26FE3">
        <w:rPr>
          <w:rFonts w:ascii="Times New Roman" w:eastAsia="Times New Roman" w:hAnsi="Times New Roman" w:cs="Times New Roman"/>
          <w:color w:val="000000" w:themeColor="text1"/>
          <w:sz w:val="28"/>
          <w:szCs w:val="28"/>
        </w:rPr>
        <w:t>напрямку.</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Загалом, Україна</w:t>
      </w:r>
      <w:r w:rsidRPr="00AD77F3">
        <w:rPr>
          <w:rFonts w:ascii="Times New Roman" w:eastAsia="Times New Roman" w:hAnsi="Times New Roman" w:cs="Times New Roman"/>
          <w:color w:val="000000" w:themeColor="text1"/>
          <w:sz w:val="28"/>
          <w:szCs w:val="28"/>
        </w:rPr>
        <w:t xml:space="preserve"> значно відстає від країн ЄС за показниками щільності автомобільних доріг та часткою швидкісних доріг. Низька пропускна спроможність транспортних мереж є стримуючим фактором, зокрема, щодо збільшення обсягів вантажоперевезень на ділянці кордону Україна-ЄС. </w:t>
      </w:r>
    </w:p>
    <w:p w:rsidR="005D595A" w:rsidRPr="00AD77F3" w:rsidRDefault="00183E3F" w:rsidP="00040BCB">
      <w:pPr>
        <w:spacing w:before="240" w:after="240" w:line="240" w:lineRule="auto"/>
        <w:ind w:firstLine="709"/>
        <w:jc w:val="both"/>
        <w:rPr>
          <w:rFonts w:ascii="Times New Roman" w:eastAsia="Times New Roman" w:hAnsi="Times New Roman" w:cs="Times New Roman"/>
          <w:b/>
          <w:i/>
          <w:color w:val="000000" w:themeColor="text1"/>
          <w:sz w:val="28"/>
          <w:szCs w:val="28"/>
        </w:rPr>
      </w:pPr>
      <w:r w:rsidRPr="00AD77F3">
        <w:rPr>
          <w:rFonts w:ascii="Times New Roman" w:eastAsia="Times New Roman" w:hAnsi="Times New Roman" w:cs="Times New Roman"/>
          <w:b/>
          <w:i/>
          <w:color w:val="000000" w:themeColor="text1"/>
          <w:sz w:val="28"/>
          <w:szCs w:val="28"/>
        </w:rPr>
        <w:t xml:space="preserve">6. Екологічна шкода </w:t>
      </w:r>
      <w:r w:rsidR="00120C1F" w:rsidRPr="00AD77F3">
        <w:rPr>
          <w:rFonts w:ascii="Times New Roman" w:eastAsia="Times New Roman" w:hAnsi="Times New Roman" w:cs="Times New Roman"/>
          <w:b/>
          <w:i/>
          <w:color w:val="000000" w:themeColor="text1"/>
          <w:sz w:val="28"/>
          <w:szCs w:val="28"/>
        </w:rPr>
        <w:t xml:space="preserve">внаслідок </w:t>
      </w:r>
      <w:r w:rsidRPr="00AD77F3">
        <w:rPr>
          <w:rFonts w:ascii="Times New Roman" w:eastAsia="Times New Roman" w:hAnsi="Times New Roman" w:cs="Times New Roman"/>
          <w:b/>
          <w:i/>
          <w:color w:val="000000" w:themeColor="text1"/>
          <w:sz w:val="28"/>
          <w:szCs w:val="28"/>
        </w:rPr>
        <w:t>бойових дій, терористичних актів, диверсій, спричинених збройною агресією російської федера</w:t>
      </w:r>
      <w:r w:rsidR="00040BCB" w:rsidRPr="00AD77F3">
        <w:rPr>
          <w:rFonts w:ascii="Times New Roman" w:eastAsia="Times New Roman" w:hAnsi="Times New Roman" w:cs="Times New Roman"/>
          <w:b/>
          <w:i/>
          <w:color w:val="000000" w:themeColor="text1"/>
          <w:sz w:val="28"/>
          <w:szCs w:val="28"/>
        </w:rPr>
        <w:t xml:space="preserve">ції, неможливість використання </w:t>
      </w:r>
      <w:r w:rsidRPr="00AD77F3">
        <w:rPr>
          <w:rFonts w:ascii="Times New Roman" w:eastAsia="Times New Roman" w:hAnsi="Times New Roman" w:cs="Times New Roman"/>
          <w:b/>
          <w:i/>
          <w:color w:val="000000" w:themeColor="text1"/>
          <w:sz w:val="28"/>
          <w:szCs w:val="28"/>
        </w:rPr>
        <w:t>територі</w:t>
      </w:r>
      <w:r w:rsidR="00ED30E9" w:rsidRPr="00AD77F3">
        <w:rPr>
          <w:rFonts w:ascii="Times New Roman" w:eastAsia="Times New Roman" w:hAnsi="Times New Roman" w:cs="Times New Roman"/>
          <w:b/>
          <w:i/>
          <w:color w:val="000000" w:themeColor="text1"/>
          <w:sz w:val="28"/>
          <w:szCs w:val="28"/>
        </w:rPr>
        <w:t xml:space="preserve">й через небезпеку, пов’язану з </w:t>
      </w:r>
      <w:r w:rsidRPr="00AD77F3">
        <w:rPr>
          <w:rFonts w:ascii="Times New Roman" w:eastAsia="Times New Roman" w:hAnsi="Times New Roman" w:cs="Times New Roman"/>
          <w:b/>
          <w:i/>
          <w:color w:val="000000" w:themeColor="text1"/>
          <w:sz w:val="28"/>
          <w:szCs w:val="28"/>
        </w:rPr>
        <w:t>забрудненням вибухонебезпечними предметами;</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lastRenderedPageBreak/>
        <w:t xml:space="preserve">Бойові дії призвели до серйозних негативних наслідків для довкілля, що мають довготривалі наслідки – забруднення ґрунтів, повітря, водойм, лісові пожежі, незаконна вирубка та знищення лісів, аварії на </w:t>
      </w:r>
      <w:r w:rsidR="00040BCB" w:rsidRPr="00D26FE3">
        <w:rPr>
          <w:rFonts w:ascii="Times New Roman" w:eastAsia="Times New Roman" w:hAnsi="Times New Roman" w:cs="Times New Roman"/>
          <w:color w:val="000000" w:themeColor="text1"/>
          <w:sz w:val="28"/>
          <w:szCs w:val="28"/>
        </w:rPr>
        <w:t xml:space="preserve">промислових об'єктах, знищення </w:t>
      </w:r>
      <w:r w:rsidRPr="00D26FE3">
        <w:rPr>
          <w:rFonts w:ascii="Times New Roman" w:eastAsia="Times New Roman" w:hAnsi="Times New Roman" w:cs="Times New Roman"/>
          <w:color w:val="000000" w:themeColor="text1"/>
          <w:sz w:val="28"/>
          <w:szCs w:val="28"/>
        </w:rPr>
        <w:t>критичної інфраструктури, пошкодження природно-заповідного фонду, руйнування і деградація екосистем тощо. Крім того, війна в Україні негативно впливає на клімат всієї планети, зумовлюючи додаткові значні викиди вуглекислого та інших парникових газів. Попри недоступність значного масиву даних про вплив повномасштабно</w:t>
      </w:r>
      <w:r w:rsidR="00120C1F" w:rsidRPr="00D26FE3">
        <w:rPr>
          <w:rFonts w:ascii="Times New Roman" w:eastAsia="Times New Roman" w:hAnsi="Times New Roman" w:cs="Times New Roman"/>
          <w:color w:val="000000" w:themeColor="text1"/>
          <w:sz w:val="28"/>
          <w:szCs w:val="28"/>
        </w:rPr>
        <w:t xml:space="preserve">ї </w:t>
      </w:r>
      <w:r w:rsidRPr="00D26FE3">
        <w:rPr>
          <w:rFonts w:ascii="Times New Roman" w:eastAsia="Times New Roman" w:hAnsi="Times New Roman" w:cs="Times New Roman"/>
          <w:color w:val="000000" w:themeColor="text1"/>
          <w:sz w:val="28"/>
          <w:szCs w:val="28"/>
        </w:rPr>
        <w:t>агресії на природу, вже зараз можна зробити попередні висновки про завдану шкоду, спираючись на відкриті джерела інформації.</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Найбільш масштабним та очевидним серед них є поширення ландшафтних та лісових пожеж, </w:t>
      </w:r>
      <w:r w:rsidRPr="00D26FE3">
        <w:rPr>
          <w:rFonts w:ascii="Times New Roman" w:eastAsia="Times New Roman" w:hAnsi="Times New Roman" w:cs="Times New Roman"/>
          <w:color w:val="000000" w:themeColor="text1"/>
          <w:sz w:val="28"/>
          <w:szCs w:val="28"/>
          <w:highlight w:val="white"/>
        </w:rPr>
        <w:t xml:space="preserve">внаслідок підриву вибухонебезпечних предметів </w:t>
      </w:r>
      <w:r w:rsidRPr="00D26FE3">
        <w:rPr>
          <w:rFonts w:ascii="Times New Roman" w:eastAsia="Times New Roman" w:hAnsi="Times New Roman" w:cs="Times New Roman"/>
          <w:color w:val="000000" w:themeColor="text1"/>
          <w:sz w:val="28"/>
          <w:szCs w:val="28"/>
        </w:rPr>
        <w:t>за відносно сухої погоди. За оцінками Світового Банку, пошкодження від пожеж охоплюють 183,2 тис га лісів, що зумовлює знищення орієнтовно 43,1 млн м</w:t>
      </w:r>
      <w:r w:rsidRPr="00D26FE3">
        <w:rPr>
          <w:rFonts w:ascii="Times New Roman" w:eastAsia="Times New Roman" w:hAnsi="Times New Roman" w:cs="Times New Roman"/>
          <w:color w:val="000000" w:themeColor="text1"/>
          <w:sz w:val="28"/>
          <w:szCs w:val="28"/>
          <w:vertAlign w:val="superscript"/>
        </w:rPr>
        <w:t>3</w:t>
      </w:r>
      <w:r w:rsidRPr="00D26FE3">
        <w:rPr>
          <w:rFonts w:ascii="Times New Roman" w:eastAsia="Times New Roman" w:hAnsi="Times New Roman" w:cs="Times New Roman"/>
          <w:color w:val="000000" w:themeColor="text1"/>
          <w:sz w:val="28"/>
          <w:szCs w:val="28"/>
        </w:rPr>
        <w:t xml:space="preserve"> деревини (еквівалент дворічної заготівлі для всієї України). Серед найбільш постраждалих областей - Чернігівська, Сумська, Луганська, Київська, Житомирська та Харківська.</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За оцінками Ініціативи з обліку викидів парникових газів внаслідок війни, станом на початок травня 2023 року загальні викиди CO2e (еквівалент вуглекислого газу) від лісових та інших пожеж становлять 17,7 млн т.</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Значної шкоди </w:t>
      </w:r>
      <w:r w:rsidR="00120C1F" w:rsidRPr="00D26FE3">
        <w:rPr>
          <w:rFonts w:ascii="Times New Roman" w:eastAsia="Times New Roman" w:hAnsi="Times New Roman" w:cs="Times New Roman"/>
          <w:color w:val="000000" w:themeColor="text1"/>
          <w:sz w:val="28"/>
          <w:szCs w:val="28"/>
        </w:rPr>
        <w:t xml:space="preserve">природним екосистемам завдають </w:t>
      </w:r>
      <w:r w:rsidRPr="00D26FE3">
        <w:rPr>
          <w:rFonts w:ascii="Times New Roman" w:eastAsia="Times New Roman" w:hAnsi="Times New Roman" w:cs="Times New Roman"/>
          <w:color w:val="000000" w:themeColor="text1"/>
          <w:sz w:val="28"/>
          <w:szCs w:val="28"/>
          <w:highlight w:val="white"/>
        </w:rPr>
        <w:t>підриви вибухонебезпечних предметів</w:t>
      </w:r>
      <w:r w:rsidRPr="00D26FE3">
        <w:rPr>
          <w:rFonts w:ascii="Times New Roman" w:eastAsia="Times New Roman" w:hAnsi="Times New Roman" w:cs="Times New Roman"/>
          <w:color w:val="000000" w:themeColor="text1"/>
          <w:sz w:val="28"/>
          <w:szCs w:val="28"/>
        </w:rPr>
        <w:t xml:space="preserve"> та знищення військової техніки, які разом спричиняють тривале забруднення ґрунтів, поверхневих в</w:t>
      </w:r>
      <w:r w:rsidR="00120C1F" w:rsidRPr="00D26FE3">
        <w:rPr>
          <w:rFonts w:ascii="Times New Roman" w:eastAsia="Times New Roman" w:hAnsi="Times New Roman" w:cs="Times New Roman"/>
          <w:color w:val="000000" w:themeColor="text1"/>
          <w:sz w:val="28"/>
          <w:szCs w:val="28"/>
        </w:rPr>
        <w:t xml:space="preserve">одойм та водоносних горизонтів </w:t>
      </w:r>
      <w:r w:rsidRPr="00D26FE3">
        <w:rPr>
          <w:rFonts w:ascii="Times New Roman" w:eastAsia="Times New Roman" w:hAnsi="Times New Roman" w:cs="Times New Roman"/>
          <w:color w:val="000000" w:themeColor="text1"/>
          <w:sz w:val="28"/>
          <w:szCs w:val="28"/>
        </w:rPr>
        <w:t xml:space="preserve">токсичними речовинами, включаючи залишки вибухівки (тротил, гексоген тощо) та </w:t>
      </w:r>
      <w:r w:rsidRPr="00D26FE3">
        <w:rPr>
          <w:rFonts w:ascii="Times New Roman" w:eastAsia="Times New Roman" w:hAnsi="Times New Roman" w:cs="Times New Roman"/>
          <w:color w:val="000000" w:themeColor="text1"/>
          <w:sz w:val="28"/>
          <w:szCs w:val="28"/>
          <w:highlight w:val="white"/>
        </w:rPr>
        <w:t xml:space="preserve">виробів спецхімії, вибухо- та пожежонебезпечних елементів, металобрухту. </w:t>
      </w:r>
      <w:r w:rsidRPr="00D26FE3">
        <w:rPr>
          <w:rFonts w:ascii="Times New Roman" w:eastAsia="Times New Roman" w:hAnsi="Times New Roman" w:cs="Times New Roman"/>
          <w:color w:val="000000" w:themeColor="text1"/>
          <w:sz w:val="28"/>
          <w:szCs w:val="28"/>
        </w:rPr>
        <w:t>Іншим аспектом впливу є підриви</w:t>
      </w:r>
      <w:r w:rsidRPr="00D26FE3">
        <w:rPr>
          <w:rFonts w:ascii="Times New Roman" w:eastAsia="Times New Roman" w:hAnsi="Times New Roman" w:cs="Times New Roman"/>
          <w:color w:val="000000" w:themeColor="text1"/>
          <w:sz w:val="28"/>
          <w:szCs w:val="28"/>
          <w:highlight w:val="white"/>
        </w:rPr>
        <w:t xml:space="preserve"> вибухонебезпечних предметів </w:t>
      </w:r>
      <w:r w:rsidRPr="00D26FE3">
        <w:rPr>
          <w:rFonts w:ascii="Times New Roman" w:eastAsia="Times New Roman" w:hAnsi="Times New Roman" w:cs="Times New Roman"/>
          <w:color w:val="000000" w:themeColor="text1"/>
          <w:sz w:val="28"/>
          <w:szCs w:val="28"/>
        </w:rPr>
        <w:t>на природу є постійне шумове забруднення, яке слугує сильним фактором стресу для тварин.</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Ведення бойових дій та пересування техніки спричиняють потужне забруднення та руйнування ґрунтового покриву. Основним джерелом забруднення при проведенні вогневих стрільб є продукти вибуху, які проникають у грунт разом з водою, та уламки боєприпасів. На сьогодні немає детальної кількісної оцінки стану забруднення ґрунтів, але інтенсивність та тривалість бойових дій дозволяє прогнозувати, що найбільш постраждалими будуть регіони, в яких вони проходять – Донецька, Луганська, Миколаївська, Херсонська, Харківська та Запорізька області.  </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Аналіз викидів парникових газів у ключових напрямках, що безпосередньо викликані бойовими діями, визначає, що викиди парникових газів за дванадцять місяців становили щонайменше 120 млн т CO2e. Це еквівалентно річним викидам Бельгії. Оскільки ряд наслідків цієї війни ще не враховано, ці цифри, ймовірно, є нижчими за реальний рівень викидів.</w:t>
      </w:r>
    </w:p>
    <w:p w:rsidR="005D595A" w:rsidRPr="00D26FE3" w:rsidRDefault="00120C1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lastRenderedPageBreak/>
        <w:t xml:space="preserve">Внаслідок бойових </w:t>
      </w:r>
      <w:r w:rsidR="00183E3F" w:rsidRPr="00D26FE3">
        <w:rPr>
          <w:rFonts w:ascii="Times New Roman" w:eastAsia="Times New Roman" w:hAnsi="Times New Roman" w:cs="Times New Roman"/>
          <w:color w:val="000000" w:themeColor="text1"/>
          <w:sz w:val="28"/>
          <w:szCs w:val="28"/>
        </w:rPr>
        <w:t>дій та спричинених ними техногенних забрудне</w:t>
      </w:r>
      <w:r w:rsidRPr="00D26FE3">
        <w:rPr>
          <w:rFonts w:ascii="Times New Roman" w:eastAsia="Times New Roman" w:hAnsi="Times New Roman" w:cs="Times New Roman"/>
          <w:color w:val="000000" w:themeColor="text1"/>
          <w:sz w:val="28"/>
          <w:szCs w:val="28"/>
        </w:rPr>
        <w:t xml:space="preserve">нь, руйнування мостів, гребель </w:t>
      </w:r>
      <w:r w:rsidR="00183E3F" w:rsidRPr="00D26FE3">
        <w:rPr>
          <w:rFonts w:ascii="Times New Roman" w:eastAsia="Times New Roman" w:hAnsi="Times New Roman" w:cs="Times New Roman"/>
          <w:color w:val="000000" w:themeColor="text1"/>
          <w:sz w:val="28"/>
          <w:szCs w:val="28"/>
        </w:rPr>
        <w:t>та берегової лінії, отруєння нафтопродуктами та важкими металами, багато річок та ставків України зазнали негативного впливу на біорізноманіття. За інформацією Міністерства захисту довкілля та природних ресурсів, з початку війни знищено або пошкоджено близько 800 обʼєктів водогосподарської інфраст</w:t>
      </w:r>
      <w:r w:rsidRPr="00D26FE3">
        <w:rPr>
          <w:rFonts w:ascii="Times New Roman" w:eastAsia="Times New Roman" w:hAnsi="Times New Roman" w:cs="Times New Roman"/>
          <w:color w:val="000000" w:themeColor="text1"/>
          <w:sz w:val="28"/>
          <w:szCs w:val="28"/>
        </w:rPr>
        <w:t>руктури. Зокрема, 6 червня 2023</w:t>
      </w:r>
      <w:r w:rsidR="00183E3F" w:rsidRPr="00D26FE3">
        <w:rPr>
          <w:rFonts w:ascii="Times New Roman" w:eastAsia="Times New Roman" w:hAnsi="Times New Roman" w:cs="Times New Roman"/>
          <w:color w:val="000000" w:themeColor="text1"/>
          <w:sz w:val="28"/>
          <w:szCs w:val="28"/>
        </w:rPr>
        <w:t xml:space="preserve"> року збройні</w:t>
      </w:r>
      <w:r w:rsidR="00183E3F" w:rsidRPr="00D26FE3">
        <w:rPr>
          <w:rFonts w:ascii="Times New Roman" w:eastAsia="Times New Roman" w:hAnsi="Times New Roman" w:cs="Times New Roman"/>
          <w:color w:val="000000" w:themeColor="text1"/>
          <w:sz w:val="28"/>
          <w:szCs w:val="28"/>
          <w:highlight w:val="white"/>
        </w:rPr>
        <w:t xml:space="preserve"> формування російської федерації </w:t>
      </w:r>
      <w:r w:rsidR="00183E3F" w:rsidRPr="00D26FE3">
        <w:rPr>
          <w:rFonts w:ascii="Times New Roman" w:eastAsia="Times New Roman" w:hAnsi="Times New Roman" w:cs="Times New Roman"/>
          <w:color w:val="000000" w:themeColor="text1"/>
          <w:sz w:val="28"/>
          <w:szCs w:val="28"/>
        </w:rPr>
        <w:t xml:space="preserve">підірвали </w:t>
      </w:r>
      <w:r w:rsidR="00040BCB" w:rsidRPr="00D26FE3">
        <w:rPr>
          <w:rFonts w:ascii="Times New Roman" w:eastAsia="Times New Roman" w:hAnsi="Times New Roman" w:cs="Times New Roman"/>
          <w:color w:val="000000" w:themeColor="text1"/>
          <w:sz w:val="28"/>
          <w:szCs w:val="28"/>
        </w:rPr>
        <w:t xml:space="preserve">греблю </w:t>
      </w:r>
      <w:r w:rsidR="00183E3F" w:rsidRPr="00D26FE3">
        <w:rPr>
          <w:rFonts w:ascii="Times New Roman" w:eastAsia="Times New Roman" w:hAnsi="Times New Roman" w:cs="Times New Roman"/>
          <w:color w:val="000000" w:themeColor="text1"/>
          <w:sz w:val="28"/>
          <w:szCs w:val="28"/>
        </w:rPr>
        <w:t>Каховської ГЕС. Загалом 9 об’єктів Смарагдової мережі (включаючи Дніпробузький лиман, Чорноморський біосферний резерват, Нижньодніпровський національний парк, Олешківські піски) та 5 Рамсарських угідь зазнали впливу спричиненого підривом паводка.</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Повномасштабна збройна агресія російської федерації має значний вплив на природне середовище Азовського та Чорного морів. Через блокування</w:t>
      </w:r>
      <w:r w:rsidR="009A6168" w:rsidRPr="00D26FE3">
        <w:rPr>
          <w:rFonts w:ascii="Times New Roman" w:eastAsia="Times New Roman" w:hAnsi="Times New Roman" w:cs="Times New Roman"/>
          <w:color w:val="000000" w:themeColor="text1"/>
          <w:sz w:val="28"/>
          <w:szCs w:val="28"/>
          <w:lang w:val="ru-RU"/>
        </w:rPr>
        <w:t xml:space="preserve"> морських</w:t>
      </w:r>
      <w:r w:rsidRPr="00D26FE3">
        <w:rPr>
          <w:rFonts w:ascii="Times New Roman" w:eastAsia="Times New Roman" w:hAnsi="Times New Roman" w:cs="Times New Roman"/>
          <w:color w:val="000000" w:themeColor="text1"/>
          <w:sz w:val="28"/>
          <w:szCs w:val="28"/>
        </w:rPr>
        <w:t xml:space="preserve"> портів та мінування акваторії вони залишаються майже недоступними, в тому числі й для науковців, які протягом десятиліть досліджували зміни у морському середовищі. Попри неможливість відбору зразків у морі зараз, на основі наявних даних і фактів можна зробити виснов</w:t>
      </w:r>
      <w:r w:rsidR="00120C1F" w:rsidRPr="00D26FE3">
        <w:rPr>
          <w:rFonts w:ascii="Times New Roman" w:eastAsia="Times New Roman" w:hAnsi="Times New Roman" w:cs="Times New Roman"/>
          <w:color w:val="000000" w:themeColor="text1"/>
          <w:sz w:val="28"/>
          <w:szCs w:val="28"/>
        </w:rPr>
        <w:t>ки</w:t>
      </w:r>
      <w:r w:rsidRPr="00D26FE3">
        <w:rPr>
          <w:rFonts w:ascii="Times New Roman" w:eastAsia="Times New Roman" w:hAnsi="Times New Roman" w:cs="Times New Roman"/>
          <w:color w:val="000000" w:themeColor="text1"/>
          <w:sz w:val="28"/>
          <w:szCs w:val="28"/>
        </w:rPr>
        <w:t xml:space="preserve">, як бойові дії та тимчасова окупація впливають на морське середовище. Вже з перших </w:t>
      </w:r>
      <w:r w:rsidR="00120C1F" w:rsidRPr="00D26FE3">
        <w:rPr>
          <w:rFonts w:ascii="Times New Roman" w:eastAsia="Times New Roman" w:hAnsi="Times New Roman" w:cs="Times New Roman"/>
          <w:color w:val="000000" w:themeColor="text1"/>
          <w:sz w:val="28"/>
          <w:szCs w:val="28"/>
        </w:rPr>
        <w:t xml:space="preserve">днів стало очевидно, що бойові </w:t>
      </w:r>
      <w:r w:rsidRPr="00D26FE3">
        <w:rPr>
          <w:rFonts w:ascii="Times New Roman" w:eastAsia="Times New Roman" w:hAnsi="Times New Roman" w:cs="Times New Roman"/>
          <w:color w:val="000000" w:themeColor="text1"/>
          <w:sz w:val="28"/>
          <w:szCs w:val="28"/>
        </w:rPr>
        <w:t>дії, бомбардування прибережних міст, блокади</w:t>
      </w:r>
      <w:r w:rsidR="009A6168" w:rsidRPr="00D26FE3">
        <w:rPr>
          <w:rFonts w:ascii="Times New Roman" w:eastAsia="Times New Roman" w:hAnsi="Times New Roman" w:cs="Times New Roman"/>
          <w:color w:val="000000" w:themeColor="text1"/>
          <w:sz w:val="28"/>
          <w:szCs w:val="28"/>
          <w:lang w:val="ru-RU"/>
        </w:rPr>
        <w:t xml:space="preserve"> морських </w:t>
      </w:r>
      <w:r w:rsidRPr="00D26FE3">
        <w:rPr>
          <w:rFonts w:ascii="Times New Roman" w:eastAsia="Times New Roman" w:hAnsi="Times New Roman" w:cs="Times New Roman"/>
          <w:color w:val="000000" w:themeColor="text1"/>
          <w:sz w:val="28"/>
          <w:szCs w:val="28"/>
        </w:rPr>
        <w:t>портів та забруднення морських вод нафтою та іншими речовинами мають негативні далекосяжні наслідки для морського середовища.</w:t>
      </w:r>
    </w:p>
    <w:p w:rsidR="005D595A" w:rsidRPr="00D26FE3" w:rsidRDefault="00120C1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Вплив бойових </w:t>
      </w:r>
      <w:r w:rsidR="00183E3F" w:rsidRPr="00D26FE3">
        <w:rPr>
          <w:rFonts w:ascii="Times New Roman" w:eastAsia="Times New Roman" w:hAnsi="Times New Roman" w:cs="Times New Roman"/>
          <w:color w:val="000000" w:themeColor="text1"/>
          <w:sz w:val="28"/>
          <w:szCs w:val="28"/>
        </w:rPr>
        <w:t>дій на об’єкти природно-заповідного фонду практично не відрізняється від впливу на аналогічні природні екосистеми, які не мають охоронного статус</w:t>
      </w:r>
      <w:r w:rsidRPr="00D26FE3">
        <w:rPr>
          <w:rFonts w:ascii="Times New Roman" w:eastAsia="Times New Roman" w:hAnsi="Times New Roman" w:cs="Times New Roman"/>
          <w:color w:val="000000" w:themeColor="text1"/>
          <w:sz w:val="28"/>
          <w:szCs w:val="28"/>
        </w:rPr>
        <w:t>у. Додатковим фактором впливу є</w:t>
      </w:r>
      <w:r w:rsidR="00183E3F" w:rsidRPr="00D26FE3">
        <w:rPr>
          <w:rFonts w:ascii="Times New Roman" w:eastAsia="Times New Roman" w:hAnsi="Times New Roman" w:cs="Times New Roman"/>
          <w:color w:val="000000" w:themeColor="text1"/>
          <w:sz w:val="28"/>
          <w:szCs w:val="28"/>
        </w:rPr>
        <w:t xml:space="preserve"> неможливість установ природно</w:t>
      </w:r>
      <w:r w:rsidRPr="00D26FE3">
        <w:rPr>
          <w:rFonts w:ascii="Times New Roman" w:eastAsia="Times New Roman" w:hAnsi="Times New Roman" w:cs="Times New Roman"/>
          <w:color w:val="000000" w:themeColor="text1"/>
          <w:sz w:val="28"/>
          <w:szCs w:val="28"/>
        </w:rPr>
        <w:t xml:space="preserve">-заповідного фонду </w:t>
      </w:r>
      <w:r w:rsidR="00183E3F" w:rsidRPr="00D26FE3">
        <w:rPr>
          <w:rFonts w:ascii="Times New Roman" w:eastAsia="Times New Roman" w:hAnsi="Times New Roman" w:cs="Times New Roman"/>
          <w:color w:val="000000" w:themeColor="text1"/>
          <w:sz w:val="28"/>
          <w:szCs w:val="28"/>
        </w:rPr>
        <w:t>виконувати свої природоохоронні, наукові та рекреаційні функції. За оцінками Міністерства захисту довкілля та природних ресурсів, 20% природоохоронних терито</w:t>
      </w:r>
      <w:r w:rsidRPr="00D26FE3">
        <w:rPr>
          <w:rFonts w:ascii="Times New Roman" w:eastAsia="Times New Roman" w:hAnsi="Times New Roman" w:cs="Times New Roman"/>
          <w:color w:val="000000" w:themeColor="text1"/>
          <w:sz w:val="28"/>
          <w:szCs w:val="28"/>
        </w:rPr>
        <w:t xml:space="preserve">рій забруднені та уражені, 160 </w:t>
      </w:r>
      <w:r w:rsidR="00183E3F" w:rsidRPr="00D26FE3">
        <w:rPr>
          <w:rFonts w:ascii="Times New Roman" w:eastAsia="Times New Roman" w:hAnsi="Times New Roman" w:cs="Times New Roman"/>
          <w:color w:val="000000" w:themeColor="text1"/>
          <w:sz w:val="28"/>
          <w:szCs w:val="28"/>
        </w:rPr>
        <w:t>територій Смарагдової мережі (29 тис км</w:t>
      </w:r>
      <w:r w:rsidR="00183E3F" w:rsidRPr="00D26FE3">
        <w:rPr>
          <w:rFonts w:ascii="Times New Roman" w:eastAsia="Times New Roman" w:hAnsi="Times New Roman" w:cs="Times New Roman"/>
          <w:color w:val="000000" w:themeColor="text1"/>
          <w:sz w:val="28"/>
          <w:szCs w:val="28"/>
          <w:vertAlign w:val="superscript"/>
        </w:rPr>
        <w:t>2</w:t>
      </w:r>
      <w:r w:rsidR="00183E3F" w:rsidRPr="00D26FE3">
        <w:rPr>
          <w:rFonts w:ascii="Times New Roman" w:eastAsia="Times New Roman" w:hAnsi="Times New Roman" w:cs="Times New Roman"/>
          <w:color w:val="000000" w:themeColor="text1"/>
          <w:sz w:val="28"/>
          <w:szCs w:val="28"/>
        </w:rPr>
        <w:t>) та 16 Рамсарських обʼєктів (6,3 тис км</w:t>
      </w:r>
      <w:r w:rsidR="00183E3F" w:rsidRPr="00D26FE3">
        <w:rPr>
          <w:rFonts w:ascii="Times New Roman" w:eastAsia="Times New Roman" w:hAnsi="Times New Roman" w:cs="Times New Roman"/>
          <w:color w:val="000000" w:themeColor="text1"/>
          <w:sz w:val="28"/>
          <w:szCs w:val="28"/>
          <w:vertAlign w:val="superscript"/>
        </w:rPr>
        <w:t>2</w:t>
      </w:r>
      <w:r w:rsidR="00183E3F" w:rsidRPr="00D26FE3">
        <w:rPr>
          <w:rFonts w:ascii="Times New Roman" w:eastAsia="Times New Roman" w:hAnsi="Times New Roman" w:cs="Times New Roman"/>
          <w:color w:val="000000" w:themeColor="text1"/>
          <w:sz w:val="28"/>
          <w:szCs w:val="28"/>
        </w:rPr>
        <w:t xml:space="preserve">) під загрозою знищення. </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За даними Міністерства захисту довкілля та природних ресурсів станом на початок жовтня 2023 року зафіксовано майже 2,6 тис фактів шкоди довкіллю, спричинених повномасштабним вторгненням рф на суму майже 48,7 млрд дол. (бе</w:t>
      </w:r>
      <w:r w:rsidR="00120C1F" w:rsidRPr="00D26FE3">
        <w:rPr>
          <w:rFonts w:ascii="Times New Roman" w:eastAsia="Times New Roman" w:hAnsi="Times New Roman" w:cs="Times New Roman"/>
          <w:color w:val="000000" w:themeColor="text1"/>
          <w:sz w:val="28"/>
          <w:szCs w:val="28"/>
        </w:rPr>
        <w:t xml:space="preserve">з врахування руйнування греблі </w:t>
      </w:r>
      <w:r w:rsidRPr="00D26FE3">
        <w:rPr>
          <w:rFonts w:ascii="Times New Roman" w:eastAsia="Times New Roman" w:hAnsi="Times New Roman" w:cs="Times New Roman"/>
          <w:color w:val="000000" w:themeColor="text1"/>
          <w:sz w:val="28"/>
          <w:szCs w:val="28"/>
        </w:rPr>
        <w:t xml:space="preserve">Каховської ГЕС). Серед найбільш постраждалих регіонів: Донецька, Житомирська, Київська, Луганська, Миколаївська, Сумська, Чернігівська та Харківська області. </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highlight w:val="white"/>
        </w:rPr>
        <w:t xml:space="preserve">Внаслідок збройної агресії Російської Федерації </w:t>
      </w:r>
      <w:r w:rsidRPr="00D26FE3">
        <w:rPr>
          <w:rFonts w:ascii="Times New Roman" w:eastAsia="Times New Roman" w:hAnsi="Times New Roman" w:cs="Times New Roman"/>
          <w:color w:val="000000" w:themeColor="text1"/>
          <w:sz w:val="28"/>
          <w:szCs w:val="28"/>
        </w:rPr>
        <w:t>територія України зазнала найбільшого забруднення вибухонебезпечними предметами (мінами, залишками снарядів, уламками ракет, саморобними вибуховими пристроями) серед країн світу. Наразі обстеження потребує площа понад 174 тис км</w:t>
      </w:r>
      <w:r w:rsidRPr="00D26FE3">
        <w:rPr>
          <w:rFonts w:ascii="Times New Roman" w:eastAsia="Times New Roman" w:hAnsi="Times New Roman" w:cs="Times New Roman"/>
          <w:color w:val="000000" w:themeColor="text1"/>
          <w:sz w:val="28"/>
          <w:szCs w:val="28"/>
          <w:vertAlign w:val="superscript"/>
        </w:rPr>
        <w:t>2</w:t>
      </w:r>
      <w:r w:rsidRPr="00D26FE3">
        <w:rPr>
          <w:rFonts w:ascii="Times New Roman" w:eastAsia="Times New Roman" w:hAnsi="Times New Roman" w:cs="Times New Roman"/>
          <w:color w:val="000000" w:themeColor="text1"/>
          <w:sz w:val="28"/>
          <w:szCs w:val="28"/>
        </w:rPr>
        <w:t>, з яких 14 тис км</w:t>
      </w:r>
      <w:r w:rsidRPr="00D26FE3">
        <w:rPr>
          <w:rFonts w:ascii="Times New Roman" w:eastAsia="Times New Roman" w:hAnsi="Times New Roman" w:cs="Times New Roman"/>
          <w:color w:val="000000" w:themeColor="text1"/>
          <w:sz w:val="28"/>
          <w:szCs w:val="28"/>
          <w:vertAlign w:val="superscript"/>
        </w:rPr>
        <w:t>2</w:t>
      </w:r>
      <w:r w:rsidRPr="00D26FE3">
        <w:rPr>
          <w:rFonts w:ascii="Times New Roman" w:eastAsia="Times New Roman" w:hAnsi="Times New Roman" w:cs="Times New Roman"/>
          <w:color w:val="000000" w:themeColor="text1"/>
          <w:sz w:val="28"/>
          <w:szCs w:val="28"/>
        </w:rPr>
        <w:t xml:space="preserve"> – це морські акваторії. Найбільш потенційно забрудненими вважаються деокуповані території Запорізької, Київської, Миколаївської, Сумської, Харківської, Херсонської, Чернігівської областей.</w:t>
      </w:r>
      <w:r w:rsidR="00120C1F" w:rsidRPr="00D26FE3">
        <w:rPr>
          <w:rFonts w:ascii="Times New Roman" w:eastAsia="Times New Roman" w:hAnsi="Times New Roman" w:cs="Times New Roman"/>
          <w:color w:val="000000" w:themeColor="text1"/>
          <w:sz w:val="28"/>
          <w:szCs w:val="28"/>
          <w:lang w:val="ru-RU"/>
        </w:rPr>
        <w:t xml:space="preserve"> </w:t>
      </w:r>
      <w:r w:rsidRPr="00D26FE3">
        <w:rPr>
          <w:rFonts w:ascii="Times New Roman" w:eastAsia="Times New Roman" w:hAnsi="Times New Roman" w:cs="Times New Roman"/>
          <w:color w:val="000000" w:themeColor="text1"/>
          <w:sz w:val="28"/>
          <w:szCs w:val="28"/>
        </w:rPr>
        <w:t xml:space="preserve">За оцінками Світового Банку, загальні </w:t>
      </w:r>
      <w:r w:rsidRPr="00D26FE3">
        <w:rPr>
          <w:rFonts w:ascii="Times New Roman" w:eastAsia="Times New Roman" w:hAnsi="Times New Roman" w:cs="Times New Roman"/>
          <w:color w:val="000000" w:themeColor="text1"/>
          <w:sz w:val="28"/>
          <w:szCs w:val="28"/>
        </w:rPr>
        <w:lastRenderedPageBreak/>
        <w:t>витрати на очищення від вибухонебезпечних предметів оцінюється в 37,6 млрд дол. США, вони, зокрема, включають інвестиції в обладнання, навчання та витрати на оперативну діяльність.</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Поширеним видом забруднення територій внаслідок бойових дій та обстрілів є забруднення</w:t>
      </w:r>
      <w:r w:rsidRPr="00D26FE3">
        <w:rPr>
          <w:rFonts w:ascii="Times New Roman" w:eastAsia="Times New Roman" w:hAnsi="Times New Roman" w:cs="Times New Roman"/>
          <w:color w:val="000000" w:themeColor="text1"/>
          <w:sz w:val="28"/>
          <w:szCs w:val="28"/>
          <w:highlight w:val="white"/>
        </w:rPr>
        <w:t xml:space="preserve"> </w:t>
      </w:r>
      <w:r w:rsidRPr="00D26FE3">
        <w:rPr>
          <w:rFonts w:ascii="Times New Roman" w:eastAsia="Times New Roman" w:hAnsi="Times New Roman" w:cs="Times New Roman"/>
          <w:color w:val="000000" w:themeColor="text1"/>
          <w:sz w:val="28"/>
          <w:szCs w:val="28"/>
        </w:rPr>
        <w:t>відходами</w:t>
      </w:r>
      <w:r w:rsidRPr="00D26FE3">
        <w:rPr>
          <w:rFonts w:ascii="Times New Roman" w:eastAsia="Times New Roman" w:hAnsi="Times New Roman" w:cs="Times New Roman"/>
          <w:color w:val="000000" w:themeColor="text1"/>
          <w:sz w:val="28"/>
          <w:szCs w:val="28"/>
          <w:highlight w:val="white"/>
        </w:rPr>
        <w:t>, що утворились у зв’язку з пошкодженням (руйнуванням) будівель та споруд внаслідок бойових дій, терористичних актів, диверсій</w:t>
      </w:r>
      <w:r w:rsidRPr="00D26FE3">
        <w:rPr>
          <w:rFonts w:ascii="Times New Roman" w:eastAsia="Times New Roman" w:hAnsi="Times New Roman" w:cs="Times New Roman"/>
          <w:color w:val="000000" w:themeColor="text1"/>
          <w:sz w:val="28"/>
          <w:szCs w:val="28"/>
        </w:rPr>
        <w:t xml:space="preserve">. Такі відходи, як правило, складаються з </w:t>
      </w:r>
      <w:r w:rsidRPr="00D26FE3">
        <w:rPr>
          <w:rFonts w:ascii="Times New Roman" w:eastAsia="Times New Roman" w:hAnsi="Times New Roman" w:cs="Times New Roman"/>
          <w:color w:val="000000" w:themeColor="text1"/>
          <w:sz w:val="28"/>
          <w:szCs w:val="28"/>
          <w:highlight w:val="white"/>
        </w:rPr>
        <w:t>частин (уламків) пошкоджених (зруйнованих) об’єктів, а також матеріалів, предметів, які були всередині</w:t>
      </w:r>
      <w:r w:rsidR="00120C1F" w:rsidRPr="00D26FE3">
        <w:rPr>
          <w:rFonts w:ascii="Times New Roman" w:eastAsia="Times New Roman" w:hAnsi="Times New Roman" w:cs="Times New Roman"/>
          <w:color w:val="000000" w:themeColor="text1"/>
          <w:sz w:val="28"/>
          <w:szCs w:val="28"/>
          <w:highlight w:val="white"/>
        </w:rPr>
        <w:t xml:space="preserve"> або поряд з такими об’єктами </w:t>
      </w:r>
      <w:proofErr w:type="gramStart"/>
      <w:r w:rsidR="00120C1F" w:rsidRPr="00D26FE3">
        <w:rPr>
          <w:rFonts w:ascii="Times New Roman" w:eastAsia="Times New Roman" w:hAnsi="Times New Roman" w:cs="Times New Roman"/>
          <w:color w:val="000000" w:themeColor="text1"/>
          <w:sz w:val="28"/>
          <w:szCs w:val="28"/>
          <w:highlight w:val="white"/>
        </w:rPr>
        <w:t>у</w:t>
      </w:r>
      <w:r w:rsidR="00ED30E9" w:rsidRPr="00D26FE3">
        <w:rPr>
          <w:rFonts w:ascii="Times New Roman" w:eastAsia="Times New Roman" w:hAnsi="Times New Roman" w:cs="Times New Roman"/>
          <w:color w:val="000000" w:themeColor="text1"/>
          <w:sz w:val="28"/>
          <w:szCs w:val="28"/>
          <w:highlight w:val="white"/>
          <w:lang w:val="ru-RU"/>
        </w:rPr>
        <w:t xml:space="preserve"> </w:t>
      </w:r>
      <w:r w:rsidRPr="00D26FE3">
        <w:rPr>
          <w:rFonts w:ascii="Times New Roman" w:eastAsia="Times New Roman" w:hAnsi="Times New Roman" w:cs="Times New Roman"/>
          <w:color w:val="000000" w:themeColor="text1"/>
          <w:sz w:val="28"/>
          <w:szCs w:val="28"/>
          <w:highlight w:val="white"/>
        </w:rPr>
        <w:t>момент</w:t>
      </w:r>
      <w:proofErr w:type="gramEnd"/>
      <w:r w:rsidRPr="00D26FE3">
        <w:rPr>
          <w:rFonts w:ascii="Times New Roman" w:eastAsia="Times New Roman" w:hAnsi="Times New Roman" w:cs="Times New Roman"/>
          <w:color w:val="000000" w:themeColor="text1"/>
          <w:sz w:val="28"/>
          <w:szCs w:val="28"/>
          <w:highlight w:val="white"/>
        </w:rPr>
        <w:t xml:space="preserve"> пошкодження (руйнування) та/або виконання робіт з демонтажу та які повністю або частково втратили свої споживчі властивості та не можуть у подальшому використовуватись за місцем їх утворення чи виявлення</w:t>
      </w:r>
      <w:r w:rsidRPr="00D26FE3">
        <w:rPr>
          <w:rFonts w:ascii="Times New Roman" w:eastAsia="Times New Roman" w:hAnsi="Times New Roman" w:cs="Times New Roman"/>
          <w:color w:val="000000" w:themeColor="text1"/>
          <w:sz w:val="28"/>
          <w:szCs w:val="28"/>
        </w:rPr>
        <w:t xml:space="preserve">, частина з яких містить токсичні речовини, що забруднюють повітря, ґрунт і підземні води.  На початок червня 2023 року кількість </w:t>
      </w:r>
      <w:r w:rsidRPr="00D26FE3">
        <w:rPr>
          <w:rFonts w:ascii="Times New Roman" w:eastAsia="Times New Roman" w:hAnsi="Times New Roman" w:cs="Times New Roman"/>
          <w:color w:val="000000" w:themeColor="text1"/>
          <w:sz w:val="28"/>
          <w:szCs w:val="28"/>
          <w:highlight w:val="white"/>
        </w:rPr>
        <w:t>відходів, що утворились у зв’язку з пошкодженням (руйнуванням) будівель та споруд</w:t>
      </w:r>
      <w:r w:rsidRPr="00D26FE3">
        <w:rPr>
          <w:rFonts w:ascii="Times New Roman" w:eastAsia="Times New Roman" w:hAnsi="Times New Roman" w:cs="Times New Roman"/>
          <w:color w:val="000000" w:themeColor="text1"/>
          <w:sz w:val="28"/>
          <w:szCs w:val="28"/>
        </w:rPr>
        <w:t xml:space="preserve"> становил</w:t>
      </w:r>
      <w:r w:rsidR="00120C1F" w:rsidRPr="00D26FE3">
        <w:rPr>
          <w:rFonts w:ascii="Times New Roman" w:eastAsia="Times New Roman" w:hAnsi="Times New Roman" w:cs="Times New Roman"/>
          <w:color w:val="000000" w:themeColor="text1"/>
          <w:sz w:val="28"/>
          <w:szCs w:val="28"/>
        </w:rPr>
        <w:t xml:space="preserve">а близько 450 тис т. Найбільше </w:t>
      </w:r>
      <w:r w:rsidRPr="00D26FE3">
        <w:rPr>
          <w:rFonts w:ascii="Times New Roman" w:eastAsia="Times New Roman" w:hAnsi="Times New Roman" w:cs="Times New Roman"/>
          <w:color w:val="000000" w:themeColor="text1"/>
          <w:sz w:val="28"/>
          <w:szCs w:val="28"/>
        </w:rPr>
        <w:t>таких відходів в Київській, Житомирській, Сумській, Миколаївській, Херсонській, Чернігівській та Харківській областях. При цьому, значна частина таких відходів</w:t>
      </w:r>
      <w:r w:rsidR="00120C1F" w:rsidRPr="00D26FE3">
        <w:rPr>
          <w:rFonts w:ascii="Times New Roman" w:eastAsia="Times New Roman" w:hAnsi="Times New Roman" w:cs="Times New Roman"/>
          <w:color w:val="000000" w:themeColor="text1"/>
          <w:sz w:val="28"/>
          <w:szCs w:val="28"/>
        </w:rPr>
        <w:t xml:space="preserve"> може бути повторно використана</w:t>
      </w:r>
      <w:r w:rsidRPr="00D26FE3">
        <w:rPr>
          <w:rFonts w:ascii="Times New Roman" w:eastAsia="Times New Roman" w:hAnsi="Times New Roman" w:cs="Times New Roman"/>
          <w:color w:val="000000" w:themeColor="text1"/>
          <w:sz w:val="28"/>
          <w:szCs w:val="28"/>
        </w:rPr>
        <w:t xml:space="preserve"> </w:t>
      </w:r>
      <w:r w:rsidRPr="00D26FE3">
        <w:rPr>
          <w:rFonts w:ascii="Times New Roman" w:eastAsia="Times New Roman" w:hAnsi="Times New Roman" w:cs="Times New Roman"/>
          <w:color w:val="000000" w:themeColor="text1"/>
          <w:sz w:val="28"/>
          <w:szCs w:val="28"/>
          <w:highlight w:val="white"/>
        </w:rPr>
        <w:t>після їх оброблення (перероблення) як вторинних матеріальних чи енергетичних ресурсів.</w:t>
      </w:r>
    </w:p>
    <w:p w:rsidR="005D595A" w:rsidRPr="00AD77F3" w:rsidRDefault="00183E3F" w:rsidP="00ED30E9">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Наслідки для довкілля, спричинені повномасштабною збройною агресією російської федерації, створюють значні ризики </w:t>
      </w:r>
      <w:r w:rsidR="00120C1F" w:rsidRPr="00D26FE3">
        <w:rPr>
          <w:rFonts w:ascii="Times New Roman" w:eastAsia="Times New Roman" w:hAnsi="Times New Roman" w:cs="Times New Roman"/>
          <w:color w:val="000000" w:themeColor="text1"/>
          <w:sz w:val="28"/>
          <w:szCs w:val="28"/>
        </w:rPr>
        <w:t>передачі екологічно небезпечної</w:t>
      </w:r>
      <w:r w:rsidRPr="00D26FE3">
        <w:rPr>
          <w:rFonts w:ascii="Times New Roman" w:eastAsia="Times New Roman" w:hAnsi="Times New Roman" w:cs="Times New Roman"/>
          <w:color w:val="000000" w:themeColor="text1"/>
          <w:sz w:val="28"/>
          <w:szCs w:val="28"/>
        </w:rPr>
        <w:t xml:space="preserve"> спадщини майбутнім поколінням. Важливо, щоб при відновленні територій максимально враховувались потреби відновлення довкілля, екологічної трансформації та побудови стійкості до зміни кл</w:t>
      </w:r>
      <w:r w:rsidR="00120C1F" w:rsidRPr="00D26FE3">
        <w:rPr>
          <w:rFonts w:ascii="Times New Roman" w:eastAsia="Times New Roman" w:hAnsi="Times New Roman" w:cs="Times New Roman"/>
          <w:color w:val="000000" w:themeColor="text1"/>
          <w:sz w:val="28"/>
          <w:szCs w:val="28"/>
        </w:rPr>
        <w:t>імату. Об'єкти нерухомого майна</w:t>
      </w:r>
      <w:r w:rsidRPr="00D26FE3">
        <w:rPr>
          <w:rFonts w:ascii="Times New Roman" w:eastAsia="Times New Roman" w:hAnsi="Times New Roman" w:cs="Times New Roman"/>
          <w:color w:val="000000" w:themeColor="text1"/>
          <w:sz w:val="28"/>
          <w:szCs w:val="28"/>
        </w:rPr>
        <w:t>, що відбудовуватимуться, мають максимально відповідати стандартам енергоефективності, а їх експлуатація – бути безвідходною або здійснюватися за принципом рециклінгу. Відбудова інфраструктури має включати заходи з адаптації до з</w:t>
      </w:r>
      <w:r w:rsidR="00120C1F" w:rsidRPr="00D26FE3">
        <w:rPr>
          <w:rFonts w:ascii="Times New Roman" w:eastAsia="Times New Roman" w:hAnsi="Times New Roman" w:cs="Times New Roman"/>
          <w:color w:val="000000" w:themeColor="text1"/>
          <w:sz w:val="28"/>
          <w:szCs w:val="28"/>
        </w:rPr>
        <w:t xml:space="preserve">міни клімату, надаючи перевагу </w:t>
      </w:r>
      <w:r w:rsidRPr="00D26FE3">
        <w:rPr>
          <w:rFonts w:ascii="Times New Roman" w:eastAsia="Times New Roman" w:hAnsi="Times New Roman" w:cs="Times New Roman"/>
          <w:color w:val="000000" w:themeColor="text1"/>
          <w:sz w:val="28"/>
          <w:szCs w:val="28"/>
        </w:rPr>
        <w:t>природо-орієнтованим</w:t>
      </w:r>
      <w:r w:rsidRPr="00AD77F3">
        <w:rPr>
          <w:rFonts w:ascii="Times New Roman" w:eastAsia="Times New Roman" w:hAnsi="Times New Roman" w:cs="Times New Roman"/>
          <w:color w:val="000000" w:themeColor="text1"/>
          <w:sz w:val="28"/>
          <w:szCs w:val="28"/>
        </w:rPr>
        <w:t xml:space="preserve"> рішенням.</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b/>
          <w:i/>
          <w:color w:val="000000" w:themeColor="text1"/>
          <w:sz w:val="28"/>
          <w:szCs w:val="28"/>
        </w:rPr>
      </w:pPr>
      <w:r w:rsidRPr="00AD77F3">
        <w:rPr>
          <w:rFonts w:ascii="Times New Roman" w:eastAsia="Times New Roman" w:hAnsi="Times New Roman" w:cs="Times New Roman"/>
          <w:b/>
          <w:i/>
          <w:color w:val="000000" w:themeColor="text1"/>
          <w:sz w:val="28"/>
          <w:szCs w:val="28"/>
        </w:rPr>
        <w:t>7. Тимчасова окупація територій та втрата інституційної спроможності влади на місцевому рівні внаслідок п</w:t>
      </w:r>
      <w:r w:rsidR="00120C1F" w:rsidRPr="00AD77F3">
        <w:rPr>
          <w:rFonts w:ascii="Times New Roman" w:eastAsia="Times New Roman" w:hAnsi="Times New Roman" w:cs="Times New Roman"/>
          <w:b/>
          <w:i/>
          <w:color w:val="000000" w:themeColor="text1"/>
          <w:sz w:val="28"/>
          <w:szCs w:val="28"/>
        </w:rPr>
        <w:t>овномасштабної збройної агресії</w:t>
      </w:r>
      <w:r w:rsidRPr="00AD77F3">
        <w:rPr>
          <w:rFonts w:ascii="Times New Roman" w:eastAsia="Times New Roman" w:hAnsi="Times New Roman" w:cs="Times New Roman"/>
          <w:b/>
          <w:i/>
          <w:color w:val="000000" w:themeColor="text1"/>
          <w:sz w:val="28"/>
          <w:szCs w:val="28"/>
        </w:rPr>
        <w:t xml:space="preserve"> російської федерації</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У 2020 році в рамках адміністративно-територіальної реформи в Україні було створено 1469 територіальних грома</w:t>
      </w:r>
      <w:r w:rsidR="00120C1F" w:rsidRPr="00AD77F3">
        <w:rPr>
          <w:rFonts w:ascii="Times New Roman" w:eastAsia="Times New Roman" w:hAnsi="Times New Roman" w:cs="Times New Roman"/>
          <w:color w:val="000000" w:themeColor="text1"/>
          <w:sz w:val="28"/>
          <w:szCs w:val="28"/>
        </w:rPr>
        <w:t xml:space="preserve">д та 136 районів, в тому числі </w:t>
      </w:r>
      <w:r w:rsidRPr="00AD77F3">
        <w:rPr>
          <w:rFonts w:ascii="Times New Roman" w:eastAsia="Times New Roman" w:hAnsi="Times New Roman" w:cs="Times New Roman"/>
          <w:color w:val="000000" w:themeColor="text1"/>
          <w:sz w:val="28"/>
          <w:szCs w:val="28"/>
        </w:rPr>
        <w:t>31 територіальна громада на тимчасово окупованій терит</w:t>
      </w:r>
      <w:r w:rsidR="00ED30E9" w:rsidRPr="00AD77F3">
        <w:rPr>
          <w:rFonts w:ascii="Times New Roman" w:eastAsia="Times New Roman" w:hAnsi="Times New Roman" w:cs="Times New Roman"/>
          <w:color w:val="000000" w:themeColor="text1"/>
          <w:sz w:val="28"/>
          <w:szCs w:val="28"/>
        </w:rPr>
        <w:t xml:space="preserve">орії Україні </w:t>
      </w:r>
      <w:r w:rsidRPr="00AD77F3">
        <w:rPr>
          <w:rFonts w:ascii="Times New Roman" w:eastAsia="Times New Roman" w:hAnsi="Times New Roman" w:cs="Times New Roman"/>
          <w:color w:val="000000" w:themeColor="text1"/>
          <w:sz w:val="28"/>
          <w:szCs w:val="28"/>
        </w:rPr>
        <w:t>- Донецької та Луганської областей, які були окуповані з 2014 року</w:t>
      </w:r>
      <w:r w:rsidRPr="00AD77F3">
        <w:rPr>
          <w:rFonts w:ascii="Times New Roman" w:eastAsia="Times New Roman" w:hAnsi="Times New Roman" w:cs="Times New Roman"/>
          <w:b/>
          <w:color w:val="000000" w:themeColor="text1"/>
          <w:sz w:val="28"/>
          <w:szCs w:val="28"/>
        </w:rPr>
        <w:t xml:space="preserve"> </w:t>
      </w:r>
      <w:r w:rsidRPr="00AD77F3">
        <w:rPr>
          <w:rFonts w:ascii="Times New Roman" w:eastAsia="Times New Roman" w:hAnsi="Times New Roman" w:cs="Times New Roman"/>
          <w:color w:val="000000" w:themeColor="text1"/>
          <w:sz w:val="28"/>
          <w:szCs w:val="28"/>
        </w:rPr>
        <w:t xml:space="preserve">(без врахування 1061 населеного пункту </w:t>
      </w:r>
      <w:r w:rsidRPr="00AD77F3">
        <w:rPr>
          <w:rFonts w:ascii="Times New Roman" w:eastAsia="Times New Roman" w:hAnsi="Times New Roman" w:cs="Times New Roman"/>
          <w:color w:val="000000" w:themeColor="text1"/>
          <w:sz w:val="28"/>
          <w:szCs w:val="28"/>
          <w:highlight w:val="white"/>
        </w:rPr>
        <w:t xml:space="preserve">Автономної </w:t>
      </w:r>
      <w:r w:rsidRPr="00D26FE3">
        <w:rPr>
          <w:rFonts w:ascii="Times New Roman" w:eastAsia="Times New Roman" w:hAnsi="Times New Roman" w:cs="Times New Roman"/>
          <w:color w:val="000000" w:themeColor="text1"/>
          <w:sz w:val="28"/>
          <w:szCs w:val="28"/>
          <w:highlight w:val="white"/>
        </w:rPr>
        <w:t xml:space="preserve">Республіки Крим та м. </w:t>
      </w:r>
      <w:proofErr w:type="gramStart"/>
      <w:r w:rsidRPr="00D26FE3">
        <w:rPr>
          <w:rFonts w:ascii="Times New Roman" w:eastAsia="Times New Roman" w:hAnsi="Times New Roman" w:cs="Times New Roman"/>
          <w:color w:val="000000" w:themeColor="text1"/>
          <w:sz w:val="28"/>
          <w:szCs w:val="28"/>
          <w:highlight w:val="white"/>
        </w:rPr>
        <w:t xml:space="preserve">Севастополя </w:t>
      </w:r>
      <w:r w:rsidRPr="00D26FE3">
        <w:rPr>
          <w:rFonts w:ascii="Times New Roman" w:eastAsia="Times New Roman" w:hAnsi="Times New Roman" w:cs="Times New Roman"/>
          <w:color w:val="000000" w:themeColor="text1"/>
          <w:sz w:val="28"/>
          <w:szCs w:val="28"/>
        </w:rPr>
        <w:t>)</w:t>
      </w:r>
      <w:proofErr w:type="gramEnd"/>
      <w:r w:rsidRPr="00D26FE3">
        <w:rPr>
          <w:rFonts w:ascii="Times New Roman" w:eastAsia="Times New Roman" w:hAnsi="Times New Roman" w:cs="Times New Roman"/>
          <w:color w:val="000000" w:themeColor="text1"/>
          <w:sz w:val="28"/>
          <w:szCs w:val="28"/>
        </w:rPr>
        <w:t>. У 1420 територіальних громадах України було проведено перші вибори.</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vertAlign w:val="superscript"/>
        </w:rPr>
      </w:pPr>
      <w:r w:rsidRPr="00D26FE3">
        <w:rPr>
          <w:rFonts w:ascii="Times New Roman" w:eastAsia="Times New Roman" w:hAnsi="Times New Roman" w:cs="Times New Roman"/>
          <w:color w:val="000000" w:themeColor="text1"/>
          <w:sz w:val="28"/>
          <w:szCs w:val="28"/>
        </w:rPr>
        <w:t>З початком повномас</w:t>
      </w:r>
      <w:r w:rsidR="00120C1F" w:rsidRPr="00D26FE3">
        <w:rPr>
          <w:rFonts w:ascii="Times New Roman" w:eastAsia="Times New Roman" w:hAnsi="Times New Roman" w:cs="Times New Roman"/>
          <w:color w:val="000000" w:themeColor="text1"/>
          <w:sz w:val="28"/>
          <w:szCs w:val="28"/>
        </w:rPr>
        <w:t xml:space="preserve">штабної збройної агресії майже </w:t>
      </w:r>
      <w:r w:rsidRPr="00D26FE3">
        <w:rPr>
          <w:rFonts w:ascii="Times New Roman" w:eastAsia="Times New Roman" w:hAnsi="Times New Roman" w:cs="Times New Roman"/>
          <w:color w:val="000000" w:themeColor="text1"/>
          <w:sz w:val="28"/>
          <w:szCs w:val="28"/>
        </w:rPr>
        <w:t>3800 населених пунктів в 231 територіальній громаді 11 областей України - Донецькій, Луганській, Житомирській, Запорізькій, Київській, Миколаївській, Харківській, Херсонській, Чернігівській, Сумській та Одеській областях заз</w:t>
      </w:r>
      <w:r w:rsidR="00ED30E9" w:rsidRPr="00D26FE3">
        <w:rPr>
          <w:rFonts w:ascii="Times New Roman" w:eastAsia="Times New Roman" w:hAnsi="Times New Roman" w:cs="Times New Roman"/>
          <w:color w:val="000000" w:themeColor="text1"/>
          <w:sz w:val="28"/>
          <w:szCs w:val="28"/>
        </w:rPr>
        <w:t xml:space="preserve">нали тимчасової </w:t>
      </w:r>
      <w:proofErr w:type="gramStart"/>
      <w:r w:rsidR="00ED30E9" w:rsidRPr="00D26FE3">
        <w:rPr>
          <w:rFonts w:ascii="Times New Roman" w:eastAsia="Times New Roman" w:hAnsi="Times New Roman" w:cs="Times New Roman"/>
          <w:color w:val="000000" w:themeColor="text1"/>
          <w:sz w:val="28"/>
          <w:szCs w:val="28"/>
        </w:rPr>
        <w:t>окупації</w:t>
      </w:r>
      <w:r w:rsidRPr="00D26FE3">
        <w:rPr>
          <w:rFonts w:ascii="Times New Roman" w:eastAsia="Times New Roman" w:hAnsi="Times New Roman" w:cs="Times New Roman"/>
          <w:color w:val="000000" w:themeColor="text1"/>
          <w:sz w:val="28"/>
          <w:szCs w:val="28"/>
        </w:rPr>
        <w:t>.</w:t>
      </w:r>
      <w:r w:rsidRPr="00D26FE3">
        <w:rPr>
          <w:rFonts w:ascii="Times New Roman" w:eastAsia="Times New Roman" w:hAnsi="Times New Roman" w:cs="Times New Roman"/>
          <w:color w:val="000000" w:themeColor="text1"/>
          <w:sz w:val="28"/>
          <w:szCs w:val="28"/>
          <w:vertAlign w:val="superscript"/>
        </w:rPr>
        <w:t>.</w:t>
      </w:r>
      <w:proofErr w:type="gramEnd"/>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lastRenderedPageBreak/>
        <w:t>В тимчасово окупованих територіальних громадах була зруйнована українська система управління, припинено надання адміністративних та ін</w:t>
      </w:r>
      <w:r w:rsidR="00120C1F" w:rsidRPr="00D26FE3">
        <w:rPr>
          <w:rFonts w:ascii="Times New Roman" w:eastAsia="Times New Roman" w:hAnsi="Times New Roman" w:cs="Times New Roman"/>
          <w:color w:val="000000" w:themeColor="text1"/>
          <w:sz w:val="28"/>
          <w:szCs w:val="28"/>
        </w:rPr>
        <w:t>ших публічних послуг. На деяких територіях були спроби ввести</w:t>
      </w:r>
      <w:r w:rsidRPr="00D26FE3">
        <w:rPr>
          <w:rFonts w:ascii="Times New Roman" w:eastAsia="Times New Roman" w:hAnsi="Times New Roman" w:cs="Times New Roman"/>
          <w:color w:val="000000" w:themeColor="text1"/>
          <w:sz w:val="28"/>
          <w:szCs w:val="28"/>
        </w:rPr>
        <w:t xml:space="preserve"> в обіг гроші </w:t>
      </w:r>
      <w:r w:rsidRPr="00D26FE3">
        <w:rPr>
          <w:rFonts w:ascii="Times New Roman" w:eastAsia="Times New Roman" w:hAnsi="Times New Roman" w:cs="Times New Roman"/>
          <w:color w:val="000000" w:themeColor="text1"/>
          <w:sz w:val="28"/>
          <w:szCs w:val="28"/>
          <w:highlight w:val="white"/>
        </w:rPr>
        <w:t>держави-агресора</w:t>
      </w:r>
      <w:r w:rsidRPr="00D26FE3">
        <w:rPr>
          <w:rFonts w:ascii="Times New Roman" w:eastAsia="Times New Roman" w:hAnsi="Times New Roman" w:cs="Times New Roman"/>
          <w:color w:val="000000" w:themeColor="text1"/>
          <w:sz w:val="28"/>
          <w:szCs w:val="28"/>
        </w:rPr>
        <w:t xml:space="preserve">, запровадити навчальні програми </w:t>
      </w:r>
      <w:r w:rsidRPr="00D26FE3">
        <w:rPr>
          <w:rFonts w:ascii="Times New Roman" w:eastAsia="Times New Roman" w:hAnsi="Times New Roman" w:cs="Times New Roman"/>
          <w:color w:val="000000" w:themeColor="text1"/>
          <w:sz w:val="28"/>
          <w:szCs w:val="28"/>
          <w:highlight w:val="white"/>
        </w:rPr>
        <w:t>держави-агресора</w:t>
      </w:r>
      <w:r w:rsidRPr="00D26FE3">
        <w:rPr>
          <w:rFonts w:ascii="Times New Roman" w:eastAsia="Times New Roman" w:hAnsi="Times New Roman" w:cs="Times New Roman"/>
          <w:color w:val="000000" w:themeColor="text1"/>
          <w:sz w:val="28"/>
          <w:szCs w:val="28"/>
        </w:rPr>
        <w:t>, було з</w:t>
      </w:r>
      <w:r w:rsidR="00ED30E9" w:rsidRPr="00D26FE3">
        <w:rPr>
          <w:rFonts w:ascii="Times New Roman" w:eastAsia="Times New Roman" w:hAnsi="Times New Roman" w:cs="Times New Roman"/>
          <w:color w:val="000000" w:themeColor="text1"/>
          <w:sz w:val="28"/>
          <w:szCs w:val="28"/>
        </w:rPr>
        <w:t xml:space="preserve">аблоковано роботу українського </w:t>
      </w:r>
      <w:r w:rsidRPr="00D26FE3">
        <w:rPr>
          <w:rFonts w:ascii="Times New Roman" w:eastAsia="Times New Roman" w:hAnsi="Times New Roman" w:cs="Times New Roman"/>
          <w:color w:val="000000" w:themeColor="text1"/>
          <w:sz w:val="28"/>
          <w:szCs w:val="28"/>
        </w:rPr>
        <w:t xml:space="preserve">теле - та радіомовлення. Також мали місце факти, </w:t>
      </w:r>
      <w:r w:rsidRPr="00D26FE3">
        <w:rPr>
          <w:rFonts w:ascii="Times New Roman" w:eastAsia="Times New Roman" w:hAnsi="Times New Roman" w:cs="Times New Roman"/>
          <w:color w:val="000000" w:themeColor="text1"/>
          <w:sz w:val="28"/>
          <w:szCs w:val="28"/>
          <w:highlight w:val="white"/>
        </w:rPr>
        <w:t>спрямовані на допомогу державі-агресору (пособництво), збройним формуванням та/або окупаційній адміністрації держави-агресора, вчинені громадянами України</w:t>
      </w:r>
      <w:r w:rsidRPr="00D26FE3">
        <w:rPr>
          <w:rFonts w:ascii="Times New Roman" w:eastAsia="Times New Roman" w:hAnsi="Times New Roman" w:cs="Times New Roman"/>
          <w:color w:val="000000" w:themeColor="text1"/>
          <w:sz w:val="28"/>
          <w:szCs w:val="28"/>
        </w:rPr>
        <w:t xml:space="preserve">. Інструментом дестабілізації ситуації та легітимації окупаційної влади було проведення на окремих територіях незаконних референдумів щодо приєднання частини території України до держави-агресора. </w:t>
      </w:r>
    </w:p>
    <w:p w:rsidR="005D595A" w:rsidRPr="00D26FE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На початок червня 2023 </w:t>
      </w:r>
      <w:r w:rsidR="00120C1F" w:rsidRPr="00D26FE3">
        <w:rPr>
          <w:rFonts w:ascii="Times New Roman" w:eastAsia="Times New Roman" w:hAnsi="Times New Roman" w:cs="Times New Roman"/>
          <w:color w:val="000000" w:themeColor="text1"/>
          <w:sz w:val="28"/>
          <w:szCs w:val="28"/>
        </w:rPr>
        <w:t>року</w:t>
      </w:r>
      <w:r w:rsidRPr="00D26FE3">
        <w:rPr>
          <w:rFonts w:ascii="Times New Roman" w:eastAsia="Times New Roman" w:hAnsi="Times New Roman" w:cs="Times New Roman"/>
          <w:color w:val="000000" w:themeColor="text1"/>
          <w:sz w:val="28"/>
          <w:szCs w:val="28"/>
        </w:rPr>
        <w:t xml:space="preserve"> деокуповано</w:t>
      </w:r>
      <w:r w:rsidR="00120C1F" w:rsidRPr="00D26FE3">
        <w:rPr>
          <w:rFonts w:ascii="Times New Roman" w:eastAsia="Times New Roman" w:hAnsi="Times New Roman" w:cs="Times New Roman"/>
          <w:color w:val="000000" w:themeColor="text1"/>
          <w:sz w:val="28"/>
          <w:szCs w:val="28"/>
        </w:rPr>
        <w:t xml:space="preserve"> близько 2500</w:t>
      </w:r>
      <w:r w:rsidRPr="00D26FE3">
        <w:rPr>
          <w:rFonts w:ascii="Times New Roman" w:eastAsia="Times New Roman" w:hAnsi="Times New Roman" w:cs="Times New Roman"/>
          <w:color w:val="000000" w:themeColor="text1"/>
          <w:sz w:val="28"/>
          <w:szCs w:val="28"/>
        </w:rPr>
        <w:t xml:space="preserve"> населених пунктів та близько 160 територіальних громад. Для відновлення системи управління т</w:t>
      </w:r>
      <w:r w:rsidR="00120C1F" w:rsidRPr="00D26FE3">
        <w:rPr>
          <w:rFonts w:ascii="Times New Roman" w:eastAsia="Times New Roman" w:hAnsi="Times New Roman" w:cs="Times New Roman"/>
          <w:color w:val="000000" w:themeColor="text1"/>
          <w:sz w:val="28"/>
          <w:szCs w:val="28"/>
        </w:rPr>
        <w:t xml:space="preserve">а забезпечення життєдіяльності </w:t>
      </w:r>
      <w:r w:rsidRPr="00D26FE3">
        <w:rPr>
          <w:rFonts w:ascii="Times New Roman" w:eastAsia="Times New Roman" w:hAnsi="Times New Roman" w:cs="Times New Roman"/>
          <w:color w:val="000000" w:themeColor="text1"/>
          <w:sz w:val="28"/>
          <w:szCs w:val="28"/>
        </w:rPr>
        <w:t>у постраждалих та деокупованих громадах у воєнний час, у 181 територіальній громаді 9 областей України були створені військові адміністрації населених пунктів. Серед основних проблем, які одразу постають після деокупації територій, слід виділити наступні:</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відсутність доступу до електроенергії та інших інженерних мереж;</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забруднення територій вибухонебезпечними предметами, знищення та пошкодження дорожньої інфраструктури, що між населеними пунктами, що обмежує доступність базових послуг;</w:t>
      </w:r>
    </w:p>
    <w:p w:rsidR="005D595A" w:rsidRPr="00D26FE3" w:rsidRDefault="00120C1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 руйнування соціальної </w:t>
      </w:r>
      <w:r w:rsidR="00183E3F" w:rsidRPr="00D26FE3">
        <w:rPr>
          <w:rFonts w:ascii="Times New Roman" w:eastAsia="Times New Roman" w:hAnsi="Times New Roman" w:cs="Times New Roman"/>
          <w:color w:val="000000" w:themeColor="text1"/>
          <w:sz w:val="28"/>
          <w:szCs w:val="28"/>
        </w:rPr>
        <w:t xml:space="preserve">інфраструктури та житлового фонду, недостатність </w:t>
      </w:r>
      <w:r w:rsidR="00183E3F" w:rsidRPr="00D26FE3">
        <w:rPr>
          <w:rFonts w:ascii="Times New Roman" w:eastAsia="Times New Roman" w:hAnsi="Times New Roman" w:cs="Times New Roman"/>
          <w:color w:val="000000" w:themeColor="text1"/>
          <w:sz w:val="28"/>
          <w:szCs w:val="28"/>
          <w:highlight w:val="white"/>
        </w:rPr>
        <w:t>обʼєктів фонду захисних споруд цивільного захисту</w:t>
      </w:r>
      <w:r w:rsidR="00183E3F" w:rsidRPr="00D26FE3">
        <w:rPr>
          <w:rFonts w:ascii="Times New Roman" w:eastAsia="Times New Roman" w:hAnsi="Times New Roman" w:cs="Times New Roman"/>
          <w:color w:val="000000" w:themeColor="text1"/>
          <w:sz w:val="28"/>
          <w:szCs w:val="28"/>
        </w:rPr>
        <w:t xml:space="preserve">; </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-зниження економічної активності, зумовлене ру</w:t>
      </w:r>
      <w:r w:rsidR="00120C1F" w:rsidRPr="00D26FE3">
        <w:rPr>
          <w:rFonts w:ascii="Times New Roman" w:eastAsia="Times New Roman" w:hAnsi="Times New Roman" w:cs="Times New Roman"/>
          <w:color w:val="000000" w:themeColor="text1"/>
          <w:sz w:val="28"/>
          <w:szCs w:val="28"/>
        </w:rPr>
        <w:t xml:space="preserve">йнуваннями та знищенням майна, </w:t>
      </w:r>
      <w:r w:rsidRPr="00D26FE3">
        <w:rPr>
          <w:rFonts w:ascii="Times New Roman" w:eastAsia="Times New Roman" w:hAnsi="Times New Roman" w:cs="Times New Roman"/>
          <w:color w:val="000000" w:themeColor="text1"/>
          <w:sz w:val="28"/>
          <w:szCs w:val="28"/>
        </w:rPr>
        <w:t>безпековими загрозами та втратою трудового ресурсу;</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дефіцит кадрів для роботи військових адміністрацій, комунальних служб та публічних закладів;</w:t>
      </w:r>
    </w:p>
    <w:p w:rsidR="005D595A" w:rsidRPr="00D26FE3" w:rsidRDefault="00120C1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поглиблення</w:t>
      </w:r>
      <w:r w:rsidR="00183E3F" w:rsidRPr="00D26FE3">
        <w:rPr>
          <w:rFonts w:ascii="Times New Roman" w:eastAsia="Times New Roman" w:hAnsi="Times New Roman" w:cs="Times New Roman"/>
          <w:color w:val="000000" w:themeColor="text1"/>
          <w:sz w:val="28"/>
          <w:szCs w:val="28"/>
        </w:rPr>
        <w:t xml:space="preserve"> ге</w:t>
      </w:r>
      <w:r w:rsidRPr="00D26FE3">
        <w:rPr>
          <w:rFonts w:ascii="Times New Roman" w:eastAsia="Times New Roman" w:hAnsi="Times New Roman" w:cs="Times New Roman"/>
          <w:color w:val="000000" w:themeColor="text1"/>
          <w:sz w:val="28"/>
          <w:szCs w:val="28"/>
        </w:rPr>
        <w:t xml:space="preserve">ндерної </w:t>
      </w:r>
      <w:r w:rsidR="00183E3F" w:rsidRPr="00D26FE3">
        <w:rPr>
          <w:rFonts w:ascii="Times New Roman" w:eastAsia="Times New Roman" w:hAnsi="Times New Roman" w:cs="Times New Roman"/>
          <w:color w:val="000000" w:themeColor="text1"/>
          <w:sz w:val="28"/>
          <w:szCs w:val="28"/>
        </w:rPr>
        <w:t>нерівності;</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highlight w:val="yellow"/>
        </w:rPr>
      </w:pPr>
      <w:r w:rsidRPr="00D26FE3">
        <w:rPr>
          <w:rFonts w:ascii="Times New Roman" w:eastAsia="Times New Roman" w:hAnsi="Times New Roman" w:cs="Times New Roman"/>
          <w:color w:val="000000" w:themeColor="text1"/>
          <w:sz w:val="28"/>
          <w:szCs w:val="28"/>
        </w:rPr>
        <w:t>- невідповідність наявного адміністративно-територіального устрою, викликам, пов’язаним зі зміною економічних, демографічних, безпекових та логістичних умов.</w:t>
      </w:r>
    </w:p>
    <w:p w:rsidR="005D595A" w:rsidRPr="00D26FE3" w:rsidRDefault="00120C1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Зазначені </w:t>
      </w:r>
      <w:r w:rsidR="00183E3F" w:rsidRPr="00D26FE3">
        <w:rPr>
          <w:rFonts w:ascii="Times New Roman" w:eastAsia="Times New Roman" w:hAnsi="Times New Roman" w:cs="Times New Roman"/>
          <w:color w:val="000000" w:themeColor="text1"/>
          <w:sz w:val="28"/>
          <w:szCs w:val="28"/>
        </w:rPr>
        <w:t>проблеми актуальні для д</w:t>
      </w:r>
      <w:r w:rsidRPr="00D26FE3">
        <w:rPr>
          <w:rFonts w:ascii="Times New Roman" w:eastAsia="Times New Roman" w:hAnsi="Times New Roman" w:cs="Times New Roman"/>
          <w:color w:val="000000" w:themeColor="text1"/>
          <w:sz w:val="28"/>
          <w:szCs w:val="28"/>
        </w:rPr>
        <w:t xml:space="preserve">еокупованих територій, а також </w:t>
      </w:r>
      <w:r w:rsidR="00183E3F" w:rsidRPr="00D26FE3">
        <w:rPr>
          <w:rFonts w:ascii="Times New Roman" w:eastAsia="Times New Roman" w:hAnsi="Times New Roman" w:cs="Times New Roman"/>
          <w:color w:val="000000" w:themeColor="text1"/>
          <w:sz w:val="28"/>
          <w:szCs w:val="28"/>
        </w:rPr>
        <w:t>тих, які зараз тимчасово окуповані (майже 1900 населених пунктів в близько 130 територіальних громадах 6 областей України - Донецькій, Запорізькій, Луганській, Миколаївській, Харківській, Херсонській та 1061 населеного пункту в АР Крим).</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Територіальні громади після </w:t>
      </w:r>
      <w:r w:rsidR="00120C1F" w:rsidRPr="00D26FE3">
        <w:rPr>
          <w:rFonts w:ascii="Times New Roman" w:eastAsia="Times New Roman" w:hAnsi="Times New Roman" w:cs="Times New Roman"/>
          <w:color w:val="000000" w:themeColor="text1"/>
          <w:sz w:val="28"/>
          <w:szCs w:val="28"/>
        </w:rPr>
        <w:t xml:space="preserve">деокупації </w:t>
      </w:r>
      <w:r w:rsidRPr="00D26FE3">
        <w:rPr>
          <w:rFonts w:ascii="Times New Roman" w:eastAsia="Times New Roman" w:hAnsi="Times New Roman" w:cs="Times New Roman"/>
          <w:color w:val="000000" w:themeColor="text1"/>
          <w:sz w:val="28"/>
          <w:szCs w:val="28"/>
        </w:rPr>
        <w:t>потребуватимуть диференціації підходів реінтеграції в залежності від трива</w:t>
      </w:r>
      <w:r w:rsidR="00120C1F" w:rsidRPr="00D26FE3">
        <w:rPr>
          <w:rFonts w:ascii="Times New Roman" w:eastAsia="Times New Roman" w:hAnsi="Times New Roman" w:cs="Times New Roman"/>
          <w:color w:val="000000" w:themeColor="text1"/>
          <w:sz w:val="28"/>
          <w:szCs w:val="28"/>
        </w:rPr>
        <w:t xml:space="preserve">лості окупації. Території, які </w:t>
      </w:r>
      <w:r w:rsidRPr="00D26FE3">
        <w:rPr>
          <w:rFonts w:ascii="Times New Roman" w:eastAsia="Times New Roman" w:hAnsi="Times New Roman" w:cs="Times New Roman"/>
          <w:color w:val="000000" w:themeColor="text1"/>
          <w:sz w:val="28"/>
          <w:szCs w:val="28"/>
        </w:rPr>
        <w:lastRenderedPageBreak/>
        <w:t>перебувають в окупації з 2014 року - населені пункти Донецької та Луганської областей та Автономної Республіки Крим, зазнали повної втрати інституцій влади</w:t>
      </w:r>
      <w:r w:rsidR="00120C1F" w:rsidRPr="00D26FE3">
        <w:rPr>
          <w:rFonts w:ascii="Times New Roman" w:eastAsia="Times New Roman" w:hAnsi="Times New Roman" w:cs="Times New Roman"/>
          <w:color w:val="000000" w:themeColor="text1"/>
          <w:sz w:val="28"/>
          <w:szCs w:val="28"/>
        </w:rPr>
        <w:t xml:space="preserve"> і </w:t>
      </w:r>
      <w:r w:rsidRPr="00D26FE3">
        <w:rPr>
          <w:rFonts w:ascii="Times New Roman" w:eastAsia="Times New Roman" w:hAnsi="Times New Roman" w:cs="Times New Roman"/>
          <w:color w:val="000000" w:themeColor="text1"/>
          <w:sz w:val="28"/>
          <w:szCs w:val="28"/>
        </w:rPr>
        <w:t xml:space="preserve">потребуватимуть спеціальних програм та заходів для ефективного </w:t>
      </w:r>
      <w:r w:rsidRPr="00D26FE3">
        <w:rPr>
          <w:rFonts w:ascii="Times New Roman" w:eastAsia="Times New Roman" w:hAnsi="Times New Roman" w:cs="Times New Roman"/>
          <w:color w:val="000000" w:themeColor="text1"/>
          <w:sz w:val="28"/>
          <w:szCs w:val="28"/>
          <w:highlight w:val="white"/>
        </w:rPr>
        <w:t>відновлення цілісності та суверенності держави, відновлення порушених внаслідок окупації прав і свобод людини і громадянина, у тому числі соціальних, трудових, виборчих прав та права на освіту, після залишення ними тимчасово окупованої території.</w:t>
      </w:r>
      <w:r w:rsidRPr="00D26FE3">
        <w:rPr>
          <w:rFonts w:ascii="Times New Roman" w:eastAsia="Times New Roman" w:hAnsi="Times New Roman" w:cs="Times New Roman"/>
          <w:color w:val="000000" w:themeColor="text1"/>
          <w:sz w:val="28"/>
          <w:szCs w:val="28"/>
        </w:rPr>
        <w:t xml:space="preserve"> </w:t>
      </w:r>
    </w:p>
    <w:p w:rsidR="005D595A" w:rsidRPr="00D26FE3" w:rsidRDefault="00120C1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Крім зазначених вище, для деокопуваних </w:t>
      </w:r>
      <w:r w:rsidR="00183E3F" w:rsidRPr="00D26FE3">
        <w:rPr>
          <w:rFonts w:ascii="Times New Roman" w:eastAsia="Times New Roman" w:hAnsi="Times New Roman" w:cs="Times New Roman"/>
          <w:color w:val="000000" w:themeColor="text1"/>
          <w:sz w:val="28"/>
          <w:szCs w:val="28"/>
        </w:rPr>
        <w:t>територій актуальними будуть наступні виклики:</w:t>
      </w:r>
    </w:p>
    <w:p w:rsidR="005D595A" w:rsidRPr="00D26FE3" w:rsidRDefault="00120C1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 втрата зв’язків жителів з </w:t>
      </w:r>
      <w:r w:rsidR="00183E3F" w:rsidRPr="00D26FE3">
        <w:rPr>
          <w:rFonts w:ascii="Times New Roman" w:eastAsia="Times New Roman" w:hAnsi="Times New Roman" w:cs="Times New Roman"/>
          <w:color w:val="000000" w:themeColor="text1"/>
          <w:sz w:val="28"/>
          <w:szCs w:val="28"/>
        </w:rPr>
        <w:t>українським правовим, культурним, освітнім простором;</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  присутність представників російських спецслужб, що може нести ризики для безпекової та суспільно-політичної ситуації на даних територіях; </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просування ідеології держави-агресора у всіх сферах життя людини цих територій за час окупації;</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наслідки політики росі</w:t>
      </w:r>
      <w:r w:rsidR="00120C1F" w:rsidRPr="00D26FE3">
        <w:rPr>
          <w:rFonts w:ascii="Times New Roman" w:eastAsia="Times New Roman" w:hAnsi="Times New Roman" w:cs="Times New Roman"/>
          <w:color w:val="000000" w:themeColor="text1"/>
          <w:sz w:val="28"/>
          <w:szCs w:val="28"/>
        </w:rPr>
        <w:t>йської федерації</w:t>
      </w:r>
      <w:r w:rsidRPr="00D26FE3">
        <w:rPr>
          <w:rFonts w:ascii="Times New Roman" w:eastAsia="Times New Roman" w:hAnsi="Times New Roman" w:cs="Times New Roman"/>
          <w:color w:val="000000" w:themeColor="text1"/>
          <w:sz w:val="28"/>
          <w:szCs w:val="28"/>
        </w:rPr>
        <w:t xml:space="preserve"> щодо знищення української та кримськотатарської ідентичностей, дискредитації української держави та її органів влади</w:t>
      </w:r>
    </w:p>
    <w:p w:rsidR="005D595A" w:rsidRPr="00D26FE3" w:rsidRDefault="00183E3F" w:rsidP="00ED30E9">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Важливи</w:t>
      </w:r>
      <w:r w:rsidR="00120C1F" w:rsidRPr="00D26FE3">
        <w:rPr>
          <w:rFonts w:ascii="Times New Roman" w:eastAsia="Times New Roman" w:hAnsi="Times New Roman" w:cs="Times New Roman"/>
          <w:color w:val="000000" w:themeColor="text1"/>
          <w:sz w:val="28"/>
          <w:szCs w:val="28"/>
        </w:rPr>
        <w:t xml:space="preserve">м етапом після деокупації буде </w:t>
      </w:r>
      <w:r w:rsidRPr="00D26FE3">
        <w:rPr>
          <w:rFonts w:ascii="Times New Roman" w:eastAsia="Times New Roman" w:hAnsi="Times New Roman" w:cs="Times New Roman"/>
          <w:color w:val="000000" w:themeColor="text1"/>
          <w:sz w:val="28"/>
          <w:szCs w:val="28"/>
        </w:rPr>
        <w:t>відновлення роботи органів влади України на відповідних територіях.</w:t>
      </w:r>
    </w:p>
    <w:p w:rsidR="005D595A" w:rsidRPr="00AD77F3" w:rsidRDefault="00183E3F" w:rsidP="00040BCB">
      <w:pPr>
        <w:pStyle w:val="1"/>
        <w:keepNext w:val="0"/>
        <w:keepLines w:val="0"/>
        <w:spacing w:before="0" w:line="240" w:lineRule="auto"/>
        <w:ind w:firstLine="709"/>
        <w:jc w:val="both"/>
        <w:rPr>
          <w:rFonts w:ascii="Times New Roman" w:eastAsia="Times New Roman" w:hAnsi="Times New Roman" w:cs="Times New Roman"/>
          <w:b/>
          <w:i/>
          <w:color w:val="000000" w:themeColor="text1"/>
          <w:sz w:val="28"/>
          <w:szCs w:val="28"/>
        </w:rPr>
      </w:pPr>
      <w:bookmarkStart w:id="9" w:name="_863nxyzho4ja" w:colFirst="0" w:colLast="0"/>
      <w:bookmarkEnd w:id="9"/>
      <w:r w:rsidRPr="00AD77F3">
        <w:rPr>
          <w:rFonts w:ascii="Times New Roman" w:eastAsia="Times New Roman" w:hAnsi="Times New Roman" w:cs="Times New Roman"/>
          <w:b/>
          <w:i/>
          <w:color w:val="000000" w:themeColor="text1"/>
          <w:sz w:val="28"/>
          <w:szCs w:val="28"/>
        </w:rPr>
        <w:t>8. Неготовність системи управління регіональним розвитком до процедур та кращих практик ЄС</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23 червня 2022 року Європейська Рада своїм рішенням надала Україні статус кандидата на </w:t>
      </w:r>
      <w:r w:rsidRPr="00D26FE3">
        <w:rPr>
          <w:rFonts w:ascii="Times New Roman" w:eastAsia="Times New Roman" w:hAnsi="Times New Roman" w:cs="Times New Roman"/>
          <w:color w:val="000000" w:themeColor="text1"/>
          <w:sz w:val="28"/>
          <w:szCs w:val="28"/>
        </w:rPr>
        <w:t>вступ до ЄС. Досвід попередніх розширень, особливо після 1980-х років, показав, що процес вступу до ЄС є важливим стимулом для реформування та модернізації країни-кандидата. Важливим фактором успішних передвступних переговорів, ефективного використання коштів та подальшого вступу до ЄС є інституційна спроможність на національному, регіональному та місцевому рівнях.</w:t>
      </w:r>
    </w:p>
    <w:p w:rsidR="005D595A" w:rsidRPr="00D26FE3" w:rsidRDefault="00120C1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Інституційна </w:t>
      </w:r>
      <w:r w:rsidR="00183E3F" w:rsidRPr="00D26FE3">
        <w:rPr>
          <w:rFonts w:ascii="Times New Roman" w:eastAsia="Times New Roman" w:hAnsi="Times New Roman" w:cs="Times New Roman"/>
          <w:color w:val="000000" w:themeColor="text1"/>
          <w:sz w:val="28"/>
          <w:szCs w:val="28"/>
        </w:rPr>
        <w:t>спроможність (в</w:t>
      </w:r>
      <w:r w:rsidR="00ED30E9" w:rsidRPr="00D26FE3">
        <w:rPr>
          <w:rFonts w:ascii="Times New Roman" w:eastAsia="Times New Roman" w:hAnsi="Times New Roman" w:cs="Times New Roman"/>
          <w:color w:val="000000" w:themeColor="text1"/>
          <w:sz w:val="28"/>
          <w:szCs w:val="28"/>
        </w:rPr>
        <w:t xml:space="preserve"> контексті освоєння коштів ЄС) </w:t>
      </w:r>
      <w:r w:rsidR="00183E3F" w:rsidRPr="00D26FE3">
        <w:rPr>
          <w:rFonts w:ascii="Times New Roman" w:eastAsia="Times New Roman" w:hAnsi="Times New Roman" w:cs="Times New Roman"/>
          <w:color w:val="000000" w:themeColor="text1"/>
          <w:sz w:val="28"/>
          <w:szCs w:val="28"/>
        </w:rPr>
        <w:t>визначається як загальна здатність органів державної влади та місцевого самоврядування залучених до процесу програмування, моніторингу управління й фінансування проєктів, реалізовувати програми і проєкти, що співфінансуються зі структурних фондів, відповідно до вимог законодавства ЄС. Це також включає набір, просування, навчання та пожиттєвий найм працівників з урахуванням їх компетенцій, знань та навичок.</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Досвід попередніх розширень ЄС, підтверджує, що для ефективного програмування на національному рівні важливим, є:</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lastRenderedPageBreak/>
        <w:t>- створення нормативно-правової бази для управління структурними фондами відповідно до вимог статті 174 та 175 Договору про функціонування Європейського Союзу;</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xml:space="preserve">- посилення ролі </w:t>
      </w:r>
      <w:r w:rsidRPr="00D26FE3">
        <w:rPr>
          <w:rFonts w:ascii="Times New Roman" w:eastAsia="Times New Roman" w:hAnsi="Times New Roman" w:cs="Times New Roman"/>
          <w:color w:val="000000" w:themeColor="text1"/>
          <w:sz w:val="28"/>
          <w:szCs w:val="28"/>
          <w:highlight w:val="white"/>
        </w:rPr>
        <w:t>центрального органу виконавчої влади, що забезпечує формування державної регіональної політики</w:t>
      </w:r>
      <w:r w:rsidRPr="00D26FE3">
        <w:rPr>
          <w:rFonts w:ascii="Times New Roman" w:eastAsia="Times New Roman" w:hAnsi="Times New Roman" w:cs="Times New Roman"/>
          <w:color w:val="000000" w:themeColor="text1"/>
          <w:sz w:val="28"/>
          <w:szCs w:val="28"/>
        </w:rPr>
        <w:t xml:space="preserve"> щодо підготовки програм регіонального розвитку та секторального розвитку, необхідних до вступу в ЄС, необхідних для розробки операційних програм після вступу до ЄС;</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запровадження багаторівневого управління та координації між різними субʼєктами, що беруть участьу розробці програм та управлінні коштами ЄС;</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створення відповідних інструментів підготовки, управління, моніторингу та контролю програм і проєктів.</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Для забезпечення якісного програмування та ефективного використання коштів ЄС важливою є також побудова спроможних структур та процедур на регіональному та місцевому рівнях. Це стосується:</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визначення територіальної моделі управління коштами ЄС та загальної класифікації територіальних одиниць для потреб статистики;</w:t>
      </w:r>
    </w:p>
    <w:p w:rsidR="005D595A" w:rsidRPr="00D26FE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 зміцнення інституцій на регіональному рівні, яке включає, зокрема, розбудову спроможності до програмування, розвиток навичок у сфері організації конкурсів, системи оцінки проєктів, їх моніторингу та впровадження.</w:t>
      </w:r>
    </w:p>
    <w:p w:rsidR="005D595A" w:rsidRPr="00AD77F3" w:rsidRDefault="00183E3F" w:rsidP="00ED30E9">
      <w:pPr>
        <w:spacing w:before="240" w:after="240" w:line="240" w:lineRule="auto"/>
        <w:ind w:firstLine="709"/>
        <w:jc w:val="both"/>
        <w:rPr>
          <w:rFonts w:ascii="Times New Roman" w:eastAsia="Times New Roman" w:hAnsi="Times New Roman" w:cs="Times New Roman"/>
          <w:color w:val="000000" w:themeColor="text1"/>
          <w:sz w:val="28"/>
          <w:szCs w:val="28"/>
        </w:rPr>
      </w:pPr>
      <w:r w:rsidRPr="00D26FE3">
        <w:rPr>
          <w:rFonts w:ascii="Times New Roman" w:eastAsia="Times New Roman" w:hAnsi="Times New Roman" w:cs="Times New Roman"/>
          <w:color w:val="000000" w:themeColor="text1"/>
          <w:sz w:val="28"/>
          <w:szCs w:val="28"/>
        </w:rPr>
        <w:t>Розвиток інституційної спроможності є спільним цільовим індикатором для багатьох розділів переговорного процесу.</w:t>
      </w:r>
      <w:r w:rsidRPr="00AD77F3">
        <w:rPr>
          <w:rFonts w:ascii="Times New Roman" w:eastAsia="Times New Roman" w:hAnsi="Times New Roman" w:cs="Times New Roman"/>
          <w:color w:val="000000" w:themeColor="text1"/>
          <w:sz w:val="28"/>
          <w:szCs w:val="28"/>
        </w:rPr>
        <w:t xml:space="preserve"> Саме тому Україна повинна бути готова інвестувати кошти та зусилля в покращення інституційної спроможності на національному, регіональному та місцевому рівнях.                  </w:t>
      </w:r>
      <w:r w:rsidRPr="00AD77F3">
        <w:rPr>
          <w:rFonts w:ascii="Times New Roman" w:eastAsia="Times New Roman" w:hAnsi="Times New Roman" w:cs="Times New Roman"/>
          <w:color w:val="000000" w:themeColor="text1"/>
          <w:sz w:val="28"/>
          <w:szCs w:val="28"/>
        </w:rPr>
        <w:tab/>
        <w:t xml:space="preserve">                </w:t>
      </w:r>
      <w:r w:rsidRPr="00AD77F3">
        <w:rPr>
          <w:rFonts w:ascii="Times New Roman" w:eastAsia="Times New Roman" w:hAnsi="Times New Roman" w:cs="Times New Roman"/>
          <w:color w:val="000000" w:themeColor="text1"/>
          <w:sz w:val="28"/>
          <w:szCs w:val="28"/>
        </w:rPr>
        <w:tab/>
        <w:t xml:space="preserve">  </w:t>
      </w:r>
    </w:p>
    <w:p w:rsidR="005D595A" w:rsidRPr="00AD77F3" w:rsidRDefault="00183E3F" w:rsidP="00040BCB">
      <w:pPr>
        <w:spacing w:before="240" w:after="240" w:line="240" w:lineRule="auto"/>
        <w:ind w:firstLine="709"/>
        <w:jc w:val="center"/>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b/>
          <w:color w:val="000000" w:themeColor="text1"/>
          <w:sz w:val="28"/>
          <w:szCs w:val="28"/>
        </w:rPr>
        <w:t>Державна регіональна політика до 2027 року</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Стратегічною метою державної регіональної політики до 2027 року є посилення соціально-гуманітарної, економічної, просторової згуртованості України, зростання рівня безпеки і добробуту її громадян шляхом забезпечення потреб регіонів та територіальних громад у відновленні інфраструктури та модернізації економіки за принципом “краще, ніж було”, ефективного використання внутрішнього потенціалу територій, розвитку системи демократичного, децентралізованого та інклюзивного багаторівневого врядування</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Стратегічна мета державної регіональної політики до 2027 року досягається на основі трьох стратегічних цілей:</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I. Формування згуртованої держави в соціальному, гуманітарному, економічному, екологічному, безпековому та просторовому вимірах.</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lastRenderedPageBreak/>
        <w:t>II. Підвищення рівня конкурентоспроможності регіонів.</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III. Розбудова ефективного багаторівневого врядування.</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Оперативні цілі та основні завдання, що забезпечують досягнення стратегічних цілей, наведені</w:t>
      </w:r>
      <w:hyperlink r:id="rId18" w:anchor="heading=h.s2qy533j9thp">
        <w:r w:rsidRPr="00AD77F3">
          <w:rPr>
            <w:rFonts w:ascii="Times New Roman" w:eastAsia="Times New Roman" w:hAnsi="Times New Roman" w:cs="Times New Roman"/>
            <w:color w:val="000000" w:themeColor="text1"/>
            <w:sz w:val="28"/>
            <w:szCs w:val="28"/>
          </w:rPr>
          <w:t xml:space="preserve"> </w:t>
        </w:r>
      </w:hyperlink>
      <w:hyperlink r:id="rId19" w:anchor="heading=h.s2qy533j9thp">
        <w:r w:rsidRPr="00AD77F3">
          <w:rPr>
            <w:rFonts w:ascii="Times New Roman" w:eastAsia="Times New Roman" w:hAnsi="Times New Roman" w:cs="Times New Roman"/>
            <w:color w:val="000000" w:themeColor="text1"/>
            <w:sz w:val="28"/>
            <w:szCs w:val="28"/>
          </w:rPr>
          <w:t>у</w:t>
        </w:r>
      </w:hyperlink>
      <w:r w:rsidRPr="00AD77F3">
        <w:rPr>
          <w:rFonts w:ascii="Times New Roman" w:eastAsia="Times New Roman" w:hAnsi="Times New Roman" w:cs="Times New Roman"/>
          <w:color w:val="000000" w:themeColor="text1"/>
          <w:sz w:val="28"/>
          <w:szCs w:val="28"/>
        </w:rPr>
        <w:t xml:space="preserve"> Додатку 2.</w:t>
      </w:r>
    </w:p>
    <w:p w:rsidR="005D595A" w:rsidRPr="00AD77F3" w:rsidRDefault="00183E3F" w:rsidP="00040BCB">
      <w:pPr>
        <w:spacing w:before="240" w:after="240" w:line="240" w:lineRule="auto"/>
        <w:ind w:firstLine="709"/>
        <w:jc w:val="both"/>
        <w:rPr>
          <w:rFonts w:ascii="Times New Roman" w:hAnsi="Times New Roman" w:cs="Times New Roman"/>
          <w:b/>
          <w:color w:val="000000" w:themeColor="text1"/>
          <w:sz w:val="28"/>
          <w:szCs w:val="28"/>
          <w:highlight w:val="yellow"/>
        </w:rPr>
      </w:pPr>
      <w:r w:rsidRPr="00AD77F3">
        <w:rPr>
          <w:rFonts w:ascii="Times New Roman" w:eastAsia="Times New Roman" w:hAnsi="Times New Roman" w:cs="Times New Roman"/>
          <w:b/>
          <w:color w:val="000000" w:themeColor="text1"/>
          <w:sz w:val="28"/>
          <w:szCs w:val="28"/>
        </w:rPr>
        <w:t>Пріоритетами регіонального розвитку на період до 2027 року є:</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створення безпекових та соціально-економічних умов для повернення українців в регіони та територіальні громади;</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відновлення та розвиток інфраструктури на принципах прозорості, підзвітності, сталості, інклюзивності, енергоефективност</w:t>
      </w:r>
      <w:r w:rsidR="00120C1F" w:rsidRPr="00AD77F3">
        <w:rPr>
          <w:rFonts w:ascii="Times New Roman" w:eastAsia="Times New Roman" w:hAnsi="Times New Roman" w:cs="Times New Roman"/>
          <w:color w:val="000000" w:themeColor="text1"/>
          <w:sz w:val="28"/>
          <w:szCs w:val="28"/>
        </w:rPr>
        <w:t xml:space="preserve">і, адаптації до зміни клімату, </w:t>
      </w:r>
      <w:r w:rsidRPr="00AD77F3">
        <w:rPr>
          <w:rFonts w:ascii="Times New Roman" w:eastAsia="Times New Roman" w:hAnsi="Times New Roman" w:cs="Times New Roman"/>
          <w:color w:val="000000" w:themeColor="text1"/>
          <w:sz w:val="28"/>
          <w:szCs w:val="28"/>
        </w:rPr>
        <w:t>стійкості до безпекових загроз та економічної доцільності;</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розвиток інституційної спроможності органів місцевого самоврядування на рег</w:t>
      </w:r>
      <w:r w:rsidR="00ED30E9" w:rsidRPr="00AD77F3">
        <w:rPr>
          <w:rFonts w:ascii="Times New Roman" w:eastAsia="Times New Roman" w:hAnsi="Times New Roman" w:cs="Times New Roman"/>
          <w:color w:val="000000" w:themeColor="text1"/>
          <w:sz w:val="28"/>
          <w:szCs w:val="28"/>
        </w:rPr>
        <w:t xml:space="preserve">іональному та місцевому рівні </w:t>
      </w:r>
      <w:proofErr w:type="gramStart"/>
      <w:r w:rsidR="00ED30E9" w:rsidRPr="00AD77F3">
        <w:rPr>
          <w:rFonts w:ascii="Times New Roman" w:eastAsia="Times New Roman" w:hAnsi="Times New Roman" w:cs="Times New Roman"/>
          <w:color w:val="000000" w:themeColor="text1"/>
          <w:sz w:val="28"/>
          <w:szCs w:val="28"/>
        </w:rPr>
        <w:t xml:space="preserve">у </w:t>
      </w:r>
      <w:r w:rsidRPr="00AD77F3">
        <w:rPr>
          <w:rFonts w:ascii="Times New Roman" w:eastAsia="Times New Roman" w:hAnsi="Times New Roman" w:cs="Times New Roman"/>
          <w:color w:val="000000" w:themeColor="text1"/>
          <w:sz w:val="28"/>
          <w:szCs w:val="28"/>
        </w:rPr>
        <w:t>сф</w:t>
      </w:r>
      <w:r w:rsidR="00120C1F" w:rsidRPr="00AD77F3">
        <w:rPr>
          <w:rFonts w:ascii="Times New Roman" w:eastAsia="Times New Roman" w:hAnsi="Times New Roman" w:cs="Times New Roman"/>
          <w:color w:val="000000" w:themeColor="text1"/>
          <w:sz w:val="28"/>
          <w:szCs w:val="28"/>
        </w:rPr>
        <w:t>ерах</w:t>
      </w:r>
      <w:proofErr w:type="gramEnd"/>
      <w:r w:rsidR="00120C1F" w:rsidRPr="00AD77F3">
        <w:rPr>
          <w:rFonts w:ascii="Times New Roman" w:eastAsia="Times New Roman" w:hAnsi="Times New Roman" w:cs="Times New Roman"/>
          <w:color w:val="000000" w:themeColor="text1"/>
          <w:sz w:val="28"/>
          <w:szCs w:val="28"/>
        </w:rPr>
        <w:t xml:space="preserve"> стратегічного планування, </w:t>
      </w:r>
      <w:r w:rsidRPr="00AD77F3">
        <w:rPr>
          <w:rFonts w:ascii="Times New Roman" w:eastAsia="Times New Roman" w:hAnsi="Times New Roman" w:cs="Times New Roman"/>
          <w:color w:val="000000" w:themeColor="text1"/>
          <w:sz w:val="28"/>
          <w:szCs w:val="28"/>
        </w:rPr>
        <w:t>проєктного менеджменту, цифровізації, антикорупції;</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розвиток людського капіталу, відновл</w:t>
      </w:r>
      <w:r w:rsidR="00120C1F" w:rsidRPr="00AD77F3">
        <w:rPr>
          <w:rFonts w:ascii="Times New Roman" w:eastAsia="Times New Roman" w:hAnsi="Times New Roman" w:cs="Times New Roman"/>
          <w:color w:val="000000" w:themeColor="text1"/>
          <w:sz w:val="28"/>
          <w:szCs w:val="28"/>
        </w:rPr>
        <w:t>ення підприємницької активності</w:t>
      </w:r>
      <w:r w:rsidRPr="00AD77F3">
        <w:rPr>
          <w:rFonts w:ascii="Times New Roman" w:eastAsia="Times New Roman" w:hAnsi="Times New Roman" w:cs="Times New Roman"/>
          <w:color w:val="000000" w:themeColor="text1"/>
          <w:sz w:val="28"/>
          <w:szCs w:val="28"/>
        </w:rPr>
        <w:t xml:space="preserve"> та зростання економіки на основі внутрішнього потенціалу територій та регіональних смарт-спеціалізацій;</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розвиток багаторівневого врядування, наближення системи управління регіональним розвитком до процедур та кращих практик ЄС; </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залучення громадян до прийняття рішень на державному, регіональному та місцевому рівнях;  </w:t>
      </w:r>
    </w:p>
    <w:p w:rsidR="005D595A" w:rsidRPr="00AD77F3" w:rsidRDefault="00183E3F" w:rsidP="00040BCB">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відновлення балансу екосистем, постраждалих внаслідок збройної агресії російської федерації;  </w:t>
      </w:r>
    </w:p>
    <w:p w:rsidR="005D595A" w:rsidRPr="00AD77F3" w:rsidRDefault="00183E3F" w:rsidP="00ED30E9">
      <w:pPr>
        <w:pBdr>
          <w:top w:val="nil"/>
          <w:left w:val="nil"/>
          <w:bottom w:val="nil"/>
          <w:right w:val="nil"/>
          <w:between w:val="nil"/>
        </w:pBd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розбудова партнерств, розвиток міжмуніципального, міжрегіонального та транскордонного співробітництва.</w:t>
      </w:r>
    </w:p>
    <w:p w:rsidR="005D595A" w:rsidRPr="00AD77F3" w:rsidRDefault="00183E3F" w:rsidP="00040BCB">
      <w:pPr>
        <w:pStyle w:val="1"/>
        <w:keepNext w:val="0"/>
        <w:keepLines w:val="0"/>
        <w:spacing w:before="0" w:line="240" w:lineRule="auto"/>
        <w:ind w:firstLine="709"/>
        <w:jc w:val="center"/>
        <w:rPr>
          <w:rFonts w:ascii="Times New Roman" w:eastAsia="Times New Roman" w:hAnsi="Times New Roman" w:cs="Times New Roman"/>
          <w:b/>
          <w:color w:val="000000" w:themeColor="text1"/>
          <w:sz w:val="28"/>
          <w:szCs w:val="28"/>
        </w:rPr>
      </w:pPr>
      <w:bookmarkStart w:id="10" w:name="_o6yhdpltphf6" w:colFirst="0" w:colLast="0"/>
      <w:bookmarkEnd w:id="10"/>
      <w:r w:rsidRPr="00AD77F3">
        <w:rPr>
          <w:rFonts w:ascii="Times New Roman" w:eastAsia="Times New Roman" w:hAnsi="Times New Roman" w:cs="Times New Roman"/>
          <w:b/>
          <w:color w:val="000000" w:themeColor="text1"/>
          <w:sz w:val="28"/>
          <w:szCs w:val="28"/>
        </w:rPr>
        <w:t>Механізм реалізації</w:t>
      </w:r>
    </w:p>
    <w:p w:rsidR="005D595A" w:rsidRPr="00AD77F3" w:rsidRDefault="00183E3F" w:rsidP="00040BCB">
      <w:pPr>
        <w:shd w:val="clear" w:color="auto" w:fill="FFFFFF"/>
        <w:spacing w:before="240" w:after="240" w:line="240" w:lineRule="auto"/>
        <w:ind w:firstLine="709"/>
        <w:jc w:val="center"/>
        <w:rPr>
          <w:rFonts w:ascii="Times New Roman" w:eastAsia="Times New Roman" w:hAnsi="Times New Roman" w:cs="Times New Roman"/>
          <w:i/>
          <w:color w:val="000000" w:themeColor="text1"/>
          <w:sz w:val="28"/>
          <w:szCs w:val="28"/>
        </w:rPr>
      </w:pPr>
      <w:r w:rsidRPr="00AD77F3">
        <w:rPr>
          <w:rFonts w:ascii="Times New Roman" w:eastAsia="Times New Roman" w:hAnsi="Times New Roman" w:cs="Times New Roman"/>
          <w:i/>
          <w:color w:val="000000" w:themeColor="text1"/>
          <w:sz w:val="28"/>
          <w:szCs w:val="28"/>
        </w:rPr>
        <w:t>Органи, що забезпечують реалізацію</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Органами, що забезпечують реалізацію Стратегії, є: міністерства, інші центральні органи виконавчої влади; Верховна Рада Автономної Республіки Крим, обласні, Київська та Севастопольська міські ради; Рада міністрів Автономної Республіки Крим, обласні, Київська та Севастопольська міські  (військові) держадміністрації; військові адміністрації населених пунктів; міські, селищні, сільські ради; всеукраїнські асоціації органів місцевого самоврядування; громадські об’єднання, юридичні та фізичні особи, що беруть участь у формуванні </w:t>
      </w:r>
      <w:r w:rsidRPr="00AD77F3">
        <w:rPr>
          <w:rFonts w:ascii="Times New Roman" w:eastAsia="Times New Roman" w:hAnsi="Times New Roman" w:cs="Times New Roman"/>
          <w:color w:val="000000" w:themeColor="text1"/>
          <w:sz w:val="28"/>
          <w:szCs w:val="28"/>
        </w:rPr>
        <w:lastRenderedPageBreak/>
        <w:t>та забезпеченні реалізації державної регіональної політики. До реалізації державної регіональної політики розвитку можуть бути залучені також відповідні проєкти міжнародної технічної допомоги.</w:t>
      </w:r>
    </w:p>
    <w:p w:rsidR="005D595A" w:rsidRPr="00AD77F3" w:rsidRDefault="00183E3F" w:rsidP="00040BCB">
      <w:pPr>
        <w:shd w:val="clear" w:color="auto" w:fill="FFFFFF"/>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Реалізація Стратегії здійснюється на основі партнерства, координації та узгодження діяльності всіх органів, що забезпечують її реалізацію.</w:t>
      </w:r>
    </w:p>
    <w:p w:rsidR="005D595A" w:rsidRPr="00AD77F3" w:rsidRDefault="00183E3F" w:rsidP="00040BCB">
      <w:pPr>
        <w:shd w:val="clear" w:color="auto" w:fill="FFFFFF"/>
        <w:spacing w:before="240" w:after="240" w:line="240" w:lineRule="auto"/>
        <w:ind w:firstLine="709"/>
        <w:jc w:val="center"/>
        <w:rPr>
          <w:rFonts w:ascii="Times New Roman" w:eastAsia="Times New Roman" w:hAnsi="Times New Roman" w:cs="Times New Roman"/>
          <w:i/>
          <w:color w:val="000000" w:themeColor="text1"/>
          <w:sz w:val="28"/>
          <w:szCs w:val="28"/>
        </w:rPr>
      </w:pPr>
      <w:r w:rsidRPr="00AD77F3">
        <w:rPr>
          <w:rFonts w:ascii="Times New Roman" w:eastAsia="Times New Roman" w:hAnsi="Times New Roman" w:cs="Times New Roman"/>
          <w:color w:val="000000" w:themeColor="text1"/>
          <w:sz w:val="28"/>
          <w:szCs w:val="28"/>
        </w:rPr>
        <w:t xml:space="preserve"> </w:t>
      </w:r>
      <w:r w:rsidRPr="00AD77F3">
        <w:rPr>
          <w:rFonts w:ascii="Times New Roman" w:eastAsia="Times New Roman" w:hAnsi="Times New Roman" w:cs="Times New Roman"/>
          <w:i/>
          <w:color w:val="000000" w:themeColor="text1"/>
          <w:sz w:val="28"/>
          <w:szCs w:val="28"/>
        </w:rPr>
        <w:t>Інструменти реалізації</w:t>
      </w:r>
    </w:p>
    <w:p w:rsidR="005D595A" w:rsidRPr="00AD77F3" w:rsidRDefault="00183E3F" w:rsidP="00ED30E9">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Інструментами реалізації Стратегії є плани заходів щодо її реалізації відповідно на 2021-2023 і 2024-2027 роки; програми та проєкти регіонального розвитку;</w:t>
      </w:r>
      <w:r w:rsidR="000E0906">
        <w:rPr>
          <w:rFonts w:ascii="Times New Roman" w:eastAsia="Times New Roman" w:hAnsi="Times New Roman" w:cs="Times New Roman"/>
          <w:color w:val="000000" w:themeColor="text1"/>
          <w:sz w:val="28"/>
          <w:szCs w:val="28"/>
          <w:lang w:val="ru-RU"/>
        </w:rPr>
        <w:t xml:space="preserve"> </w:t>
      </w:r>
      <w:r w:rsidR="000E0906" w:rsidRPr="000E0906">
        <w:rPr>
          <w:rFonts w:ascii="Times New Roman" w:eastAsia="Times New Roman" w:hAnsi="Times New Roman" w:cs="Times New Roman"/>
          <w:color w:val="000000" w:themeColor="text1"/>
          <w:sz w:val="28"/>
          <w:szCs w:val="28"/>
          <w:lang w:val="ru-RU"/>
        </w:rPr>
        <w:t>програми комплексного відновлення</w:t>
      </w:r>
      <w:r w:rsidR="000E0906">
        <w:rPr>
          <w:rFonts w:ascii="Times New Roman" w:eastAsia="Times New Roman" w:hAnsi="Times New Roman" w:cs="Times New Roman"/>
          <w:color w:val="000000" w:themeColor="text1"/>
          <w:sz w:val="28"/>
          <w:szCs w:val="28"/>
          <w:lang w:val="ru-RU"/>
        </w:rPr>
        <w:t>;</w:t>
      </w:r>
      <w:r w:rsidRPr="00AD77F3">
        <w:rPr>
          <w:rFonts w:ascii="Times New Roman" w:eastAsia="Times New Roman" w:hAnsi="Times New Roman" w:cs="Times New Roman"/>
          <w:color w:val="000000" w:themeColor="text1"/>
          <w:sz w:val="28"/>
          <w:szCs w:val="28"/>
        </w:rPr>
        <w:t xml:space="preserve"> план відновлення та розвитку регіонів; регіональні стратегії розвитку та плани заходів з їх реалізації; стратегії розвитку територіальних громад та плани заходів з їх реалізації; плани відновлення та розвитку територіальних громад; державні програми щодо розвитку транскордонного співробітництва, соціально-економічного розвитку окремих територій, угоди щодо регіонального розвитку тощо.</w:t>
      </w:r>
    </w:p>
    <w:p w:rsidR="005D595A" w:rsidRPr="00AD77F3" w:rsidRDefault="00183E3F" w:rsidP="00040BCB">
      <w:pPr>
        <w:shd w:val="clear" w:color="auto" w:fill="FFFFFF"/>
        <w:spacing w:before="240" w:after="240" w:line="240" w:lineRule="auto"/>
        <w:ind w:firstLine="709"/>
        <w:jc w:val="center"/>
        <w:rPr>
          <w:rFonts w:ascii="Times New Roman" w:eastAsia="Times New Roman" w:hAnsi="Times New Roman" w:cs="Times New Roman"/>
          <w:i/>
          <w:color w:val="000000" w:themeColor="text1"/>
          <w:sz w:val="28"/>
          <w:szCs w:val="28"/>
        </w:rPr>
      </w:pPr>
      <w:r w:rsidRPr="00AD77F3">
        <w:rPr>
          <w:rFonts w:ascii="Times New Roman" w:eastAsia="Times New Roman" w:hAnsi="Times New Roman" w:cs="Times New Roman"/>
          <w:i/>
          <w:color w:val="000000" w:themeColor="text1"/>
          <w:sz w:val="28"/>
          <w:szCs w:val="28"/>
        </w:rPr>
        <w:t>Фінансове забезпечення реалізації</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Фінансове забезпечення реалізації Стратегії здійснюється за рахунок:</w:t>
      </w:r>
    </w:p>
    <w:p w:rsidR="005D595A" w:rsidRPr="00AD77F3" w:rsidRDefault="00183E3F" w:rsidP="00C762F0">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 державного фонду регіонального розвитку;</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 коштів державного бюджету в межах бюджетних програм, що спрямовуються на розвиток відповідної сфери у регіонах;</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 субвенцій, інших трансфертів з державного бюджету місцевим бюджетам;</w:t>
      </w:r>
    </w:p>
    <w:p w:rsidR="005D595A" w:rsidRPr="00AD77F3" w:rsidRDefault="00C762F0"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u-RU"/>
        </w:rPr>
        <w:t xml:space="preserve"> </w:t>
      </w:r>
      <w:r w:rsidR="00183E3F" w:rsidRPr="00AD77F3">
        <w:rPr>
          <w:rFonts w:ascii="Times New Roman" w:eastAsia="Times New Roman" w:hAnsi="Times New Roman" w:cs="Times New Roman"/>
          <w:color w:val="000000" w:themeColor="text1"/>
          <w:sz w:val="28"/>
          <w:szCs w:val="28"/>
        </w:rPr>
        <w:t>коштів місцевих бюджетів;</w:t>
      </w:r>
    </w:p>
    <w:p w:rsidR="005D595A" w:rsidRPr="00AD77F3" w:rsidRDefault="00C762F0"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83E3F" w:rsidRPr="00AD77F3">
        <w:rPr>
          <w:rFonts w:ascii="Times New Roman" w:eastAsia="Times New Roman" w:hAnsi="Times New Roman" w:cs="Times New Roman"/>
          <w:color w:val="000000" w:themeColor="text1"/>
          <w:sz w:val="28"/>
          <w:szCs w:val="28"/>
        </w:rPr>
        <w:t>коштів міжнародних партнерів з розвитку, міжнародних фінансових організацій;</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 коштів інвесторів, власних коштів підприємств та фізичних осіб.</w:t>
      </w:r>
    </w:p>
    <w:p w:rsidR="005D595A" w:rsidRPr="00AD77F3" w:rsidRDefault="00183E3F" w:rsidP="00040BCB">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Джерелом фінансового забезпечення реалізації Стратегії також можуть бу</w:t>
      </w:r>
      <w:r w:rsidR="00ED30E9" w:rsidRPr="00AD77F3">
        <w:rPr>
          <w:rFonts w:ascii="Times New Roman" w:eastAsia="Times New Roman" w:hAnsi="Times New Roman" w:cs="Times New Roman"/>
          <w:color w:val="000000" w:themeColor="text1"/>
          <w:sz w:val="28"/>
          <w:szCs w:val="28"/>
        </w:rPr>
        <w:t xml:space="preserve">ти кошти приватних інвесторів </w:t>
      </w:r>
      <w:proofErr w:type="gramStart"/>
      <w:r w:rsidR="00ED30E9" w:rsidRPr="00AD77F3">
        <w:rPr>
          <w:rFonts w:ascii="Times New Roman" w:eastAsia="Times New Roman" w:hAnsi="Times New Roman" w:cs="Times New Roman"/>
          <w:color w:val="000000" w:themeColor="text1"/>
          <w:sz w:val="28"/>
          <w:szCs w:val="28"/>
        </w:rPr>
        <w:t xml:space="preserve">у </w:t>
      </w:r>
      <w:r w:rsidRPr="00AD77F3">
        <w:rPr>
          <w:rFonts w:ascii="Times New Roman" w:eastAsia="Times New Roman" w:hAnsi="Times New Roman" w:cs="Times New Roman"/>
          <w:color w:val="000000" w:themeColor="text1"/>
          <w:sz w:val="28"/>
          <w:szCs w:val="28"/>
        </w:rPr>
        <w:t>рамках</w:t>
      </w:r>
      <w:proofErr w:type="gramEnd"/>
      <w:r w:rsidRPr="00AD77F3">
        <w:rPr>
          <w:rFonts w:ascii="Times New Roman" w:eastAsia="Times New Roman" w:hAnsi="Times New Roman" w:cs="Times New Roman"/>
          <w:color w:val="000000" w:themeColor="text1"/>
          <w:sz w:val="28"/>
          <w:szCs w:val="28"/>
        </w:rPr>
        <w:t xml:space="preserve"> реалізації інвестиційних проєктів із застосуванням механізму державно-приватного партнерства.</w:t>
      </w:r>
    </w:p>
    <w:p w:rsidR="005D595A" w:rsidRPr="00AD77F3" w:rsidRDefault="00183E3F" w:rsidP="00ED30E9">
      <w:pPr>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Обсяги фінансування завдань з реалізації Стратегії визначаються на основі пропозицій центральних органів виконавчої влади, що є державними замовниками відповідних державних програм, з урахуванням бюджетних призначень головних розпорядників бюджетних коштів за програмами, визначеними в Державному бюджеті України на відповідний рік, та у</w:t>
      </w:r>
      <w:r w:rsidR="00ED30E9" w:rsidRPr="00AD77F3">
        <w:rPr>
          <w:rFonts w:ascii="Times New Roman" w:eastAsia="Times New Roman" w:hAnsi="Times New Roman" w:cs="Times New Roman"/>
          <w:color w:val="000000" w:themeColor="text1"/>
          <w:sz w:val="28"/>
          <w:szCs w:val="28"/>
        </w:rPr>
        <w:t xml:space="preserve">точнюються щороку відповідно </w:t>
      </w:r>
      <w:proofErr w:type="gramStart"/>
      <w:r w:rsidR="00ED30E9" w:rsidRPr="00AD77F3">
        <w:rPr>
          <w:rFonts w:ascii="Times New Roman" w:eastAsia="Times New Roman" w:hAnsi="Times New Roman" w:cs="Times New Roman"/>
          <w:color w:val="000000" w:themeColor="text1"/>
          <w:sz w:val="28"/>
          <w:szCs w:val="28"/>
        </w:rPr>
        <w:t xml:space="preserve">до </w:t>
      </w:r>
      <w:r w:rsidRPr="00AD77F3">
        <w:rPr>
          <w:rFonts w:ascii="Times New Roman" w:eastAsia="Times New Roman" w:hAnsi="Times New Roman" w:cs="Times New Roman"/>
          <w:color w:val="000000" w:themeColor="text1"/>
          <w:sz w:val="28"/>
          <w:szCs w:val="28"/>
        </w:rPr>
        <w:t>за</w:t>
      </w:r>
      <w:bookmarkStart w:id="11" w:name="_GoBack"/>
      <w:bookmarkEnd w:id="11"/>
      <w:r w:rsidRPr="00AD77F3">
        <w:rPr>
          <w:rFonts w:ascii="Times New Roman" w:eastAsia="Times New Roman" w:hAnsi="Times New Roman" w:cs="Times New Roman"/>
          <w:color w:val="000000" w:themeColor="text1"/>
          <w:sz w:val="28"/>
          <w:szCs w:val="28"/>
        </w:rPr>
        <w:t>кону</w:t>
      </w:r>
      <w:proofErr w:type="gramEnd"/>
      <w:r w:rsidRPr="00AD77F3">
        <w:rPr>
          <w:rFonts w:ascii="Times New Roman" w:eastAsia="Times New Roman" w:hAnsi="Times New Roman" w:cs="Times New Roman"/>
          <w:color w:val="000000" w:themeColor="text1"/>
          <w:sz w:val="28"/>
          <w:szCs w:val="28"/>
        </w:rPr>
        <w:t xml:space="preserve"> про Державний бюджет України на відповідний рік та Бюджетної декларації з урахуванням наявних бюджетних можливостей.</w:t>
      </w:r>
    </w:p>
    <w:p w:rsidR="005D595A" w:rsidRPr="00AD77F3" w:rsidRDefault="00183E3F" w:rsidP="00040BCB">
      <w:pPr>
        <w:shd w:val="clear" w:color="auto" w:fill="FFFFFF"/>
        <w:spacing w:before="240" w:after="240" w:line="240" w:lineRule="auto"/>
        <w:ind w:firstLine="709"/>
        <w:jc w:val="center"/>
        <w:rPr>
          <w:rFonts w:ascii="Times New Roman" w:eastAsia="Times New Roman" w:hAnsi="Times New Roman" w:cs="Times New Roman"/>
          <w:b/>
          <w:color w:val="000000" w:themeColor="text1"/>
          <w:sz w:val="28"/>
          <w:szCs w:val="28"/>
        </w:rPr>
      </w:pPr>
      <w:r w:rsidRPr="00AD77F3">
        <w:rPr>
          <w:rFonts w:ascii="Times New Roman" w:eastAsia="Times New Roman" w:hAnsi="Times New Roman" w:cs="Times New Roman"/>
          <w:b/>
          <w:color w:val="000000" w:themeColor="text1"/>
          <w:sz w:val="28"/>
          <w:szCs w:val="28"/>
        </w:rPr>
        <w:lastRenderedPageBreak/>
        <w:t>Етапи реалізації</w:t>
      </w:r>
    </w:p>
    <w:p w:rsidR="005D595A" w:rsidRPr="00AD77F3" w:rsidRDefault="00183E3F" w:rsidP="00ED30E9">
      <w:pPr>
        <w:shd w:val="clear" w:color="auto" w:fill="FFFFFF"/>
        <w:spacing w:before="240" w:after="240" w:line="240" w:lineRule="auto"/>
        <w:ind w:firstLine="709"/>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Стратегія реалізується двома етапами: перший етап (2021-2023 роки); другий етап (2024-2027 роки). На кожному етапі передбачається розроблення та виконання плану заходів на відповідний період та програм і проєктів регіонального розвитку, в рамках яких будуть конкретизовані пріоритетні завдання кожної стратегічної цілі. </w:t>
      </w:r>
    </w:p>
    <w:p w:rsidR="005D595A" w:rsidRPr="00AD77F3" w:rsidRDefault="00183E3F" w:rsidP="00ED30E9">
      <w:pPr>
        <w:spacing w:before="240" w:after="240" w:line="240" w:lineRule="auto"/>
        <w:ind w:firstLine="709"/>
        <w:jc w:val="center"/>
        <w:rPr>
          <w:rFonts w:ascii="Times New Roman" w:eastAsia="Times New Roman" w:hAnsi="Times New Roman" w:cs="Times New Roman"/>
          <w:b/>
          <w:color w:val="000000" w:themeColor="text1"/>
          <w:sz w:val="28"/>
          <w:szCs w:val="28"/>
        </w:rPr>
      </w:pPr>
      <w:r w:rsidRPr="00AD77F3">
        <w:rPr>
          <w:rFonts w:ascii="Times New Roman" w:eastAsia="Times New Roman" w:hAnsi="Times New Roman" w:cs="Times New Roman"/>
          <w:b/>
          <w:color w:val="000000" w:themeColor="text1"/>
          <w:sz w:val="28"/>
          <w:szCs w:val="28"/>
        </w:rPr>
        <w:t>Система моніторингу та оцінки результативності реалізації цієї Стратегії</w:t>
      </w:r>
    </w:p>
    <w:p w:rsidR="005D595A" w:rsidRPr="00AD77F3" w:rsidRDefault="00183E3F">
      <w:pPr>
        <w:shd w:val="clear" w:color="auto" w:fill="FFFFFF"/>
        <w:spacing w:after="160" w:line="240" w:lineRule="auto"/>
        <w:ind w:firstLine="460"/>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Моніторинг реалізації цієї Стратегії здійснюється шляхом відстеження, вимірювання та аналізу відхилення показників фактичних результатів від цільових (проміжних) значень індикаторів досягнення цілей, визначених Стратегією. Моніторинг реалізації Стратегії проводиться щороку Мінінфраструктури відповідно до Порядку розроблення Державної стратегії регіонального розвитку України і плану заходів з її реалізації, а також проведення моніторингу реалізації зазначених Стратегії і плану заходів, затвердженого постановою Кабінету Міністрів України від 4 серпня 2023 р. № 817.</w:t>
      </w:r>
    </w:p>
    <w:p w:rsidR="005D595A" w:rsidRPr="00AD77F3" w:rsidRDefault="00183E3F">
      <w:pPr>
        <w:shd w:val="clear" w:color="auto" w:fill="FFFFFF"/>
        <w:spacing w:after="160" w:line="240" w:lineRule="auto"/>
        <w:ind w:firstLine="460"/>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Показники моніторингу реалізації Стратегії наведені у Додатку 3.</w:t>
      </w:r>
    </w:p>
    <w:p w:rsidR="005D595A" w:rsidRPr="00AD77F3" w:rsidRDefault="00183E3F">
      <w:pPr>
        <w:shd w:val="clear" w:color="auto" w:fill="FFFFFF"/>
        <w:spacing w:after="160" w:line="240" w:lineRule="auto"/>
        <w:ind w:firstLine="465"/>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 xml:space="preserve">Оцінка результативності реалізації цієї Стратегії здійснюється шляхом проведення внутрішнього та зовнішнього оцінювання відповідно до Порядку проведення оцінювання реалізації державної регіональної політики, затвердженого постановою Кабінету Міністрів України від             </w:t>
      </w:r>
      <w:r w:rsidRPr="00AD77F3">
        <w:rPr>
          <w:rFonts w:ascii="Times New Roman" w:eastAsia="Times New Roman" w:hAnsi="Times New Roman" w:cs="Times New Roman"/>
          <w:color w:val="000000" w:themeColor="text1"/>
          <w:sz w:val="28"/>
          <w:szCs w:val="28"/>
        </w:rPr>
        <w:tab/>
        <w:t xml:space="preserve">2023 р. №    </w:t>
      </w:r>
      <w:r w:rsidRPr="00AD77F3">
        <w:rPr>
          <w:rFonts w:ascii="Times New Roman" w:eastAsia="Times New Roman" w:hAnsi="Times New Roman" w:cs="Times New Roman"/>
          <w:color w:val="000000" w:themeColor="text1"/>
          <w:sz w:val="28"/>
          <w:szCs w:val="28"/>
        </w:rPr>
        <w:tab/>
        <w:t>«Про затвердження Порядків з пи</w:t>
      </w:r>
      <w:r w:rsidR="00AD77F3" w:rsidRPr="00AD77F3">
        <w:rPr>
          <w:rFonts w:ascii="Times New Roman" w:eastAsia="Times New Roman" w:hAnsi="Times New Roman" w:cs="Times New Roman"/>
          <w:color w:val="000000" w:themeColor="text1"/>
          <w:sz w:val="28"/>
          <w:szCs w:val="28"/>
        </w:rPr>
        <w:t xml:space="preserve">тань моніторингу та оцінювання </w:t>
      </w:r>
      <w:r w:rsidRPr="00AD77F3">
        <w:rPr>
          <w:rFonts w:ascii="Times New Roman" w:eastAsia="Times New Roman" w:hAnsi="Times New Roman" w:cs="Times New Roman"/>
          <w:color w:val="000000" w:themeColor="text1"/>
          <w:sz w:val="28"/>
          <w:szCs w:val="28"/>
        </w:rPr>
        <w:t>державної регіональної політики».</w:t>
      </w:r>
    </w:p>
    <w:p w:rsidR="005D595A" w:rsidRPr="00AD77F3" w:rsidRDefault="00183E3F">
      <w:pPr>
        <w:shd w:val="clear" w:color="auto" w:fill="FFFFFF"/>
        <w:spacing w:after="160" w:line="240" w:lineRule="auto"/>
        <w:ind w:firstLine="460"/>
        <w:jc w:val="both"/>
        <w:rPr>
          <w:rFonts w:ascii="Times New Roman" w:eastAsia="Times New Roman" w:hAnsi="Times New Roman" w:cs="Times New Roman"/>
          <w:color w:val="000000" w:themeColor="text1"/>
          <w:sz w:val="28"/>
          <w:szCs w:val="28"/>
        </w:rPr>
      </w:pPr>
      <w:r w:rsidRPr="00AD77F3">
        <w:rPr>
          <w:rFonts w:ascii="Times New Roman" w:eastAsia="Times New Roman" w:hAnsi="Times New Roman" w:cs="Times New Roman"/>
          <w:color w:val="000000" w:themeColor="text1"/>
          <w:sz w:val="28"/>
          <w:szCs w:val="28"/>
        </w:rPr>
        <w:t>Внутрішнє оцінювання реалізації Стратегії проводиться Мінінфраструктури за результатами виконання першого та другого етапів реалізації Стратегії шляхом оцінювання індикаторів досягнення визначених нею цілей, результативності, ефективності та впливу виконання Стратегії на розвиток регіонів, територіальних громад та функціональних типів територій.</w:t>
      </w:r>
    </w:p>
    <w:p w:rsidR="005D595A" w:rsidRPr="00AD77F3" w:rsidRDefault="00183E3F">
      <w:pPr>
        <w:shd w:val="clear" w:color="auto" w:fill="FFFFFF"/>
        <w:spacing w:before="240" w:after="120" w:line="240" w:lineRule="auto"/>
        <w:ind w:firstLine="460"/>
        <w:jc w:val="both"/>
        <w:rPr>
          <w:rFonts w:ascii="Times New Roman" w:eastAsia="Times New Roman" w:hAnsi="Times New Roman" w:cs="Times New Roman"/>
          <w:b/>
          <w:color w:val="000000" w:themeColor="text1"/>
          <w:sz w:val="28"/>
          <w:szCs w:val="28"/>
        </w:rPr>
      </w:pPr>
      <w:r w:rsidRPr="00AD77F3">
        <w:rPr>
          <w:rFonts w:ascii="Times New Roman" w:eastAsia="Times New Roman" w:hAnsi="Times New Roman" w:cs="Times New Roman"/>
          <w:color w:val="000000" w:themeColor="text1"/>
          <w:sz w:val="28"/>
          <w:szCs w:val="28"/>
        </w:rPr>
        <w:t>Зовнішнє оцінювання реалізації Стратегії проводиться протягом року після завершення її реалізації незалежними організаціями (експертами) за запитом Мінінфраструктури.</w:t>
      </w:r>
    </w:p>
    <w:p w:rsidR="000E0906" w:rsidRDefault="000E0906" w:rsidP="000E0906">
      <w:pPr>
        <w:shd w:val="clear" w:color="auto" w:fill="FFFFFF"/>
        <w:spacing w:before="240" w:after="240" w:line="240" w:lineRule="auto"/>
        <w:ind w:left="-708" w:right="-749"/>
        <w:rPr>
          <w:rFonts w:ascii="Times New Roman" w:eastAsia="Times New Roman" w:hAnsi="Times New Roman" w:cs="Times New Roman"/>
          <w:b/>
          <w:color w:val="000000" w:themeColor="text1"/>
          <w:sz w:val="20"/>
          <w:szCs w:val="20"/>
        </w:rPr>
      </w:pPr>
    </w:p>
    <w:p w:rsidR="005D595A" w:rsidRPr="00AD77F3" w:rsidRDefault="000E0906" w:rsidP="000E0906">
      <w:pPr>
        <w:shd w:val="clear" w:color="auto" w:fill="FFFFFF"/>
        <w:spacing w:before="240" w:after="240" w:line="240" w:lineRule="auto"/>
        <w:ind w:left="-708" w:right="-74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lang w:val="ru-RU"/>
        </w:rPr>
        <w:t>__________________________________</w:t>
      </w:r>
    </w:p>
    <w:p w:rsidR="00ED30E9" w:rsidRPr="00AD77F3" w:rsidRDefault="00ED30E9" w:rsidP="00120C1F">
      <w:pPr>
        <w:shd w:val="clear" w:color="auto" w:fill="FFFFFF"/>
        <w:spacing w:before="240" w:after="240" w:line="240" w:lineRule="auto"/>
        <w:ind w:left="-708" w:right="-749"/>
        <w:jc w:val="center"/>
        <w:rPr>
          <w:rFonts w:ascii="Times New Roman" w:eastAsia="Times New Roman" w:hAnsi="Times New Roman" w:cs="Times New Roman"/>
          <w:b/>
          <w:color w:val="000000" w:themeColor="text1"/>
          <w:sz w:val="20"/>
          <w:szCs w:val="20"/>
        </w:rPr>
      </w:pPr>
    </w:p>
    <w:p w:rsidR="005D595A" w:rsidRPr="000E0906" w:rsidRDefault="005D595A" w:rsidP="000E0906">
      <w:pPr>
        <w:spacing w:before="240" w:after="240" w:line="240" w:lineRule="auto"/>
        <w:ind w:right="-749"/>
        <w:jc w:val="both"/>
        <w:rPr>
          <w:rFonts w:ascii="Times New Roman" w:eastAsia="Times New Roman" w:hAnsi="Times New Roman" w:cs="Times New Roman"/>
          <w:b/>
          <w:color w:val="000000" w:themeColor="text1"/>
          <w:sz w:val="20"/>
          <w:szCs w:val="20"/>
        </w:rPr>
      </w:pPr>
    </w:p>
    <w:sectPr w:rsidR="005D595A" w:rsidRPr="000E0906" w:rsidSect="00EB3F3F">
      <w:headerReference w:type="default" r:id="rId20"/>
      <w:pgSz w:w="11909" w:h="16834"/>
      <w:pgMar w:top="1134" w:right="569" w:bottom="1440" w:left="141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0BA" w:rsidRDefault="00AE30BA" w:rsidP="00EB3F3F">
      <w:pPr>
        <w:spacing w:line="240" w:lineRule="auto"/>
      </w:pPr>
      <w:r>
        <w:separator/>
      </w:r>
    </w:p>
  </w:endnote>
  <w:endnote w:type="continuationSeparator" w:id="0">
    <w:p w:rsidR="00AE30BA" w:rsidRDefault="00AE30BA" w:rsidP="00EB3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roman"/>
    <w:pitch w:val="default"/>
  </w:font>
  <w:font w:name="Gungsuh">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0BA" w:rsidRDefault="00AE30BA" w:rsidP="00EB3F3F">
      <w:pPr>
        <w:spacing w:line="240" w:lineRule="auto"/>
      </w:pPr>
      <w:r>
        <w:separator/>
      </w:r>
    </w:p>
  </w:footnote>
  <w:footnote w:type="continuationSeparator" w:id="0">
    <w:p w:rsidR="00AE30BA" w:rsidRDefault="00AE30BA" w:rsidP="00EB3F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250667"/>
      <w:docPartObj>
        <w:docPartGallery w:val="Page Numbers (Top of Page)"/>
        <w:docPartUnique/>
      </w:docPartObj>
    </w:sdtPr>
    <w:sdtEndPr/>
    <w:sdtContent>
      <w:p w:rsidR="00EB3F3F" w:rsidRDefault="00EB3F3F">
        <w:pPr>
          <w:pStyle w:val="af1"/>
          <w:jc w:val="center"/>
        </w:pPr>
        <w:r>
          <w:fldChar w:fldCharType="begin"/>
        </w:r>
        <w:r>
          <w:instrText>PAGE   \* MERGEFORMAT</w:instrText>
        </w:r>
        <w:r>
          <w:fldChar w:fldCharType="separate"/>
        </w:r>
        <w:r w:rsidR="00D26FE3" w:rsidRPr="00D26FE3">
          <w:rPr>
            <w:noProof/>
            <w:lang w:val="uk-UA"/>
          </w:rPr>
          <w:t>25</w:t>
        </w:r>
        <w:r>
          <w:fldChar w:fldCharType="end"/>
        </w:r>
      </w:p>
    </w:sdtContent>
  </w:sdt>
  <w:p w:rsidR="00EB3F3F" w:rsidRDefault="00EB3F3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7DB5"/>
    <w:multiLevelType w:val="multilevel"/>
    <w:tmpl w:val="DC1C9CF2"/>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2A7F25"/>
    <w:multiLevelType w:val="multilevel"/>
    <w:tmpl w:val="15BC3962"/>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5011DA"/>
    <w:multiLevelType w:val="multilevel"/>
    <w:tmpl w:val="F162E5A0"/>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486492"/>
    <w:multiLevelType w:val="multilevel"/>
    <w:tmpl w:val="2486AA62"/>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B02D77"/>
    <w:multiLevelType w:val="multilevel"/>
    <w:tmpl w:val="D8A83F78"/>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0256C4"/>
    <w:multiLevelType w:val="multilevel"/>
    <w:tmpl w:val="E69466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C25F7C"/>
    <w:multiLevelType w:val="hybridMultilevel"/>
    <w:tmpl w:val="2FA8962C"/>
    <w:lvl w:ilvl="0" w:tplc="8CC030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5962422"/>
    <w:multiLevelType w:val="multilevel"/>
    <w:tmpl w:val="CF684B38"/>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067F9B"/>
    <w:multiLevelType w:val="multilevel"/>
    <w:tmpl w:val="47D06C5E"/>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0F4603"/>
    <w:multiLevelType w:val="multilevel"/>
    <w:tmpl w:val="3ACE739E"/>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C0D46E1"/>
    <w:multiLevelType w:val="multilevel"/>
    <w:tmpl w:val="F3B4EBD0"/>
    <w:lvl w:ilvl="0">
      <w:start w:val="1"/>
      <w:numFmt w:val="decimal"/>
      <w:lvlText w:val="%1."/>
      <w:lvlJc w:val="left"/>
      <w:pPr>
        <w:ind w:left="1353" w:hanging="360"/>
      </w:pPr>
      <w:rPr>
        <w:u w:val="none"/>
      </w:rPr>
    </w:lvl>
    <w:lvl w:ilvl="1">
      <w:start w:val="1"/>
      <w:numFmt w:val="lowerLetter"/>
      <w:lvlText w:val="%2."/>
      <w:lvlJc w:val="left"/>
      <w:pPr>
        <w:ind w:left="2073" w:hanging="360"/>
      </w:pPr>
      <w:rPr>
        <w:u w:val="none"/>
      </w:rPr>
    </w:lvl>
    <w:lvl w:ilvl="2">
      <w:start w:val="1"/>
      <w:numFmt w:val="lowerRoman"/>
      <w:lvlText w:val="%3."/>
      <w:lvlJc w:val="right"/>
      <w:pPr>
        <w:ind w:left="2793" w:hanging="360"/>
      </w:pPr>
      <w:rPr>
        <w:u w:val="none"/>
      </w:rPr>
    </w:lvl>
    <w:lvl w:ilvl="3">
      <w:start w:val="1"/>
      <w:numFmt w:val="decimal"/>
      <w:lvlText w:val="%4."/>
      <w:lvlJc w:val="left"/>
      <w:pPr>
        <w:ind w:left="3513" w:hanging="360"/>
      </w:pPr>
      <w:rPr>
        <w:u w:val="none"/>
      </w:rPr>
    </w:lvl>
    <w:lvl w:ilvl="4">
      <w:start w:val="1"/>
      <w:numFmt w:val="lowerLetter"/>
      <w:lvlText w:val="%5."/>
      <w:lvlJc w:val="left"/>
      <w:pPr>
        <w:ind w:left="4233" w:hanging="360"/>
      </w:pPr>
      <w:rPr>
        <w:u w:val="none"/>
      </w:rPr>
    </w:lvl>
    <w:lvl w:ilvl="5">
      <w:start w:val="1"/>
      <w:numFmt w:val="lowerRoman"/>
      <w:lvlText w:val="%6."/>
      <w:lvlJc w:val="right"/>
      <w:pPr>
        <w:ind w:left="4953" w:hanging="360"/>
      </w:pPr>
      <w:rPr>
        <w:u w:val="none"/>
      </w:rPr>
    </w:lvl>
    <w:lvl w:ilvl="6">
      <w:start w:val="1"/>
      <w:numFmt w:val="decimal"/>
      <w:lvlText w:val="%7."/>
      <w:lvlJc w:val="left"/>
      <w:pPr>
        <w:ind w:left="5673" w:hanging="360"/>
      </w:pPr>
      <w:rPr>
        <w:u w:val="none"/>
      </w:rPr>
    </w:lvl>
    <w:lvl w:ilvl="7">
      <w:start w:val="1"/>
      <w:numFmt w:val="lowerLetter"/>
      <w:lvlText w:val="%8."/>
      <w:lvlJc w:val="left"/>
      <w:pPr>
        <w:ind w:left="6393" w:hanging="360"/>
      </w:pPr>
      <w:rPr>
        <w:u w:val="none"/>
      </w:rPr>
    </w:lvl>
    <w:lvl w:ilvl="8">
      <w:start w:val="1"/>
      <w:numFmt w:val="lowerRoman"/>
      <w:lvlText w:val="%9."/>
      <w:lvlJc w:val="right"/>
      <w:pPr>
        <w:ind w:left="7113" w:hanging="360"/>
      </w:pPr>
      <w:rPr>
        <w:u w:val="none"/>
      </w:rPr>
    </w:lvl>
  </w:abstractNum>
  <w:abstractNum w:abstractNumId="11" w15:restartNumberingAfterBreak="0">
    <w:nsid w:val="55306074"/>
    <w:multiLevelType w:val="multilevel"/>
    <w:tmpl w:val="302A19D2"/>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55C75DB"/>
    <w:multiLevelType w:val="multilevel"/>
    <w:tmpl w:val="67221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6972595"/>
    <w:multiLevelType w:val="multilevel"/>
    <w:tmpl w:val="0EBC9E74"/>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72F66F1"/>
    <w:multiLevelType w:val="multilevel"/>
    <w:tmpl w:val="E640C4C0"/>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7032A23"/>
    <w:multiLevelType w:val="multilevel"/>
    <w:tmpl w:val="913AEF22"/>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976235A"/>
    <w:multiLevelType w:val="multilevel"/>
    <w:tmpl w:val="BA86407A"/>
    <w:lvl w:ilvl="0">
      <w:start w:val="1"/>
      <w:numFmt w:val="decimal"/>
      <w:lvlText w:val="%1."/>
      <w:lvlJc w:val="left"/>
      <w:pPr>
        <w:ind w:left="720"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99B3F20"/>
    <w:multiLevelType w:val="multilevel"/>
    <w:tmpl w:val="FC4445BE"/>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9E07E24"/>
    <w:multiLevelType w:val="multilevel"/>
    <w:tmpl w:val="06AE8BAE"/>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F03191A"/>
    <w:multiLevelType w:val="multilevel"/>
    <w:tmpl w:val="5EEE504C"/>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2976520"/>
    <w:multiLevelType w:val="multilevel"/>
    <w:tmpl w:val="75444098"/>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72A55B7"/>
    <w:multiLevelType w:val="multilevel"/>
    <w:tmpl w:val="2C16A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7C51819"/>
    <w:multiLevelType w:val="multilevel"/>
    <w:tmpl w:val="4588D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0"/>
  </w:num>
  <w:num w:numId="3">
    <w:abstractNumId w:val="9"/>
  </w:num>
  <w:num w:numId="4">
    <w:abstractNumId w:val="18"/>
  </w:num>
  <w:num w:numId="5">
    <w:abstractNumId w:val="1"/>
  </w:num>
  <w:num w:numId="6">
    <w:abstractNumId w:val="22"/>
  </w:num>
  <w:num w:numId="7">
    <w:abstractNumId w:val="14"/>
  </w:num>
  <w:num w:numId="8">
    <w:abstractNumId w:val="11"/>
  </w:num>
  <w:num w:numId="9">
    <w:abstractNumId w:val="19"/>
  </w:num>
  <w:num w:numId="10">
    <w:abstractNumId w:val="16"/>
  </w:num>
  <w:num w:numId="11">
    <w:abstractNumId w:val="2"/>
  </w:num>
  <w:num w:numId="12">
    <w:abstractNumId w:val="13"/>
  </w:num>
  <w:num w:numId="13">
    <w:abstractNumId w:val="8"/>
  </w:num>
  <w:num w:numId="14">
    <w:abstractNumId w:val="15"/>
  </w:num>
  <w:num w:numId="15">
    <w:abstractNumId w:val="12"/>
  </w:num>
  <w:num w:numId="16">
    <w:abstractNumId w:val="17"/>
  </w:num>
  <w:num w:numId="17">
    <w:abstractNumId w:val="3"/>
  </w:num>
  <w:num w:numId="18">
    <w:abstractNumId w:val="20"/>
  </w:num>
  <w:num w:numId="19">
    <w:abstractNumId w:val="10"/>
  </w:num>
  <w:num w:numId="20">
    <w:abstractNumId w:val="5"/>
  </w:num>
  <w:num w:numId="21">
    <w:abstractNumId w:val="21"/>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5A"/>
    <w:rsid w:val="00040BCB"/>
    <w:rsid w:val="000E0906"/>
    <w:rsid w:val="00120C1F"/>
    <w:rsid w:val="0012131A"/>
    <w:rsid w:val="00183E3F"/>
    <w:rsid w:val="001C4558"/>
    <w:rsid w:val="00265FDF"/>
    <w:rsid w:val="003E54DF"/>
    <w:rsid w:val="004926EB"/>
    <w:rsid w:val="005D2406"/>
    <w:rsid w:val="005D595A"/>
    <w:rsid w:val="00725331"/>
    <w:rsid w:val="0076190B"/>
    <w:rsid w:val="00846AE0"/>
    <w:rsid w:val="009A6168"/>
    <w:rsid w:val="00AD77F3"/>
    <w:rsid w:val="00AE30BA"/>
    <w:rsid w:val="00B727BC"/>
    <w:rsid w:val="00C762F0"/>
    <w:rsid w:val="00D26FE3"/>
    <w:rsid w:val="00E85A30"/>
    <w:rsid w:val="00EB3F3F"/>
    <w:rsid w:val="00ED30E9"/>
    <w:rsid w:val="00F9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69123-065D-48CA-BC30-F54AEE87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183E3F"/>
    <w:pPr>
      <w:spacing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83E3F"/>
    <w:rPr>
      <w:rFonts w:ascii="Segoe UI" w:hAnsi="Segoe UI" w:cs="Segoe UI"/>
      <w:sz w:val="18"/>
      <w:szCs w:val="18"/>
    </w:rPr>
  </w:style>
  <w:style w:type="paragraph" w:styleId="ab">
    <w:name w:val="Revision"/>
    <w:hidden/>
    <w:uiPriority w:val="99"/>
    <w:semiHidden/>
    <w:rsid w:val="00183E3F"/>
    <w:pPr>
      <w:spacing w:line="240" w:lineRule="auto"/>
    </w:pPr>
  </w:style>
  <w:style w:type="paragraph" w:styleId="ac">
    <w:name w:val="List Paragraph"/>
    <w:basedOn w:val="a"/>
    <w:uiPriority w:val="34"/>
    <w:qFormat/>
    <w:rsid w:val="00AD77F3"/>
    <w:pPr>
      <w:ind w:left="720"/>
      <w:contextualSpacing/>
    </w:pPr>
  </w:style>
  <w:style w:type="paragraph" w:customStyle="1" w:styleId="ad">
    <w:name w:val="Нормальний текст"/>
    <w:basedOn w:val="a"/>
    <w:qFormat/>
    <w:rsid w:val="00846AE0"/>
    <w:pPr>
      <w:spacing w:before="120" w:line="240" w:lineRule="auto"/>
      <w:ind w:firstLine="567"/>
      <w:jc w:val="both"/>
    </w:pPr>
    <w:rPr>
      <w:rFonts w:ascii="Antiqua" w:eastAsia="Times New Roman" w:hAnsi="Antiqua" w:cs="Times New Roman"/>
      <w:kern w:val="2"/>
      <w:sz w:val="26"/>
      <w:szCs w:val="20"/>
      <w:lang w:val="uk-UA" w:eastAsia="ru-RU"/>
    </w:rPr>
  </w:style>
  <w:style w:type="paragraph" w:customStyle="1" w:styleId="ae">
    <w:name w:val="Установа"/>
    <w:basedOn w:val="a"/>
    <w:rsid w:val="00846AE0"/>
    <w:pPr>
      <w:keepNext/>
      <w:keepLines/>
      <w:spacing w:before="120" w:line="240" w:lineRule="auto"/>
      <w:jc w:val="center"/>
    </w:pPr>
    <w:rPr>
      <w:rFonts w:ascii="Antiqua" w:eastAsia="Times New Roman" w:hAnsi="Antiqua" w:cs="Times New Roman"/>
      <w:b/>
      <w:kern w:val="2"/>
      <w:sz w:val="40"/>
      <w:szCs w:val="20"/>
      <w:lang w:val="uk-UA" w:eastAsia="ru-RU"/>
    </w:rPr>
  </w:style>
  <w:style w:type="paragraph" w:customStyle="1" w:styleId="af">
    <w:name w:val="Вид документа"/>
    <w:basedOn w:val="ae"/>
    <w:next w:val="a"/>
    <w:rsid w:val="00846AE0"/>
    <w:pPr>
      <w:spacing w:before="360" w:after="240"/>
    </w:pPr>
    <w:rPr>
      <w:spacing w:val="20"/>
      <w:sz w:val="26"/>
    </w:rPr>
  </w:style>
  <w:style w:type="paragraph" w:customStyle="1" w:styleId="af0">
    <w:name w:val="Час та місце"/>
    <w:basedOn w:val="a"/>
    <w:rsid w:val="00846AE0"/>
    <w:pPr>
      <w:keepNext/>
      <w:keepLines/>
      <w:spacing w:before="120" w:after="240" w:line="240" w:lineRule="auto"/>
      <w:jc w:val="center"/>
    </w:pPr>
    <w:rPr>
      <w:rFonts w:ascii="Antiqua" w:eastAsia="Times New Roman" w:hAnsi="Antiqua" w:cs="Times New Roman"/>
      <w:kern w:val="2"/>
      <w:sz w:val="26"/>
      <w:szCs w:val="20"/>
      <w:lang w:val="uk-UA" w:eastAsia="ru-RU"/>
    </w:rPr>
  </w:style>
  <w:style w:type="paragraph" w:styleId="af1">
    <w:name w:val="header"/>
    <w:basedOn w:val="a"/>
    <w:link w:val="af2"/>
    <w:uiPriority w:val="99"/>
    <w:unhideWhenUsed/>
    <w:rsid w:val="00EB3F3F"/>
    <w:pPr>
      <w:tabs>
        <w:tab w:val="center" w:pos="4844"/>
        <w:tab w:val="right" w:pos="9689"/>
      </w:tabs>
      <w:spacing w:line="240" w:lineRule="auto"/>
    </w:pPr>
  </w:style>
  <w:style w:type="character" w:customStyle="1" w:styleId="af2">
    <w:name w:val="Верхній колонтитул Знак"/>
    <w:basedOn w:val="a0"/>
    <w:link w:val="af1"/>
    <w:uiPriority w:val="99"/>
    <w:rsid w:val="00EB3F3F"/>
  </w:style>
  <w:style w:type="paragraph" w:styleId="af3">
    <w:name w:val="footer"/>
    <w:basedOn w:val="a"/>
    <w:link w:val="af4"/>
    <w:uiPriority w:val="99"/>
    <w:unhideWhenUsed/>
    <w:rsid w:val="00EB3F3F"/>
    <w:pPr>
      <w:tabs>
        <w:tab w:val="center" w:pos="4844"/>
        <w:tab w:val="right" w:pos="9689"/>
      </w:tabs>
      <w:spacing w:line="240" w:lineRule="auto"/>
    </w:pPr>
  </w:style>
  <w:style w:type="character" w:customStyle="1" w:styleId="af4">
    <w:name w:val="Нижній колонтитул Знак"/>
    <w:basedOn w:val="a0"/>
    <w:link w:val="af3"/>
    <w:uiPriority w:val="99"/>
    <w:rsid w:val="00EB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22/2019" TargetMode="External"/><Relationship Id="rId13" Type="http://schemas.openxmlformats.org/officeDocument/2006/relationships/hyperlink" Target="https://uk.wikipedia.org/wiki/%D0%9F%D0%BE%D1%82%D0%B5%D0%BD%D1%86%D1%96%D0%B0%D0%BB" TargetMode="External"/><Relationship Id="rId18" Type="http://schemas.openxmlformats.org/officeDocument/2006/relationships/hyperlink" Target="https://docs.google.com/document/d/1mK8xvXnOZTGArDv4P_08mDw-uTvX2Nmh/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722/2019" TargetMode="External"/><Relationship Id="rId12" Type="http://schemas.openxmlformats.org/officeDocument/2006/relationships/hyperlink" Target="https://uk.wikipedia.org/wiki/%D0%94%D0%BE%D0%B2%D0%B3%D0%BE%D0%BB%D1%96%D1%82%D1%82%D1%8F" TargetMode="External"/><Relationship Id="rId17" Type="http://schemas.openxmlformats.org/officeDocument/2006/relationships/hyperlink" Target="https://www.facebook.com/ANTSngo/videos/206642192103677" TargetMode="External"/><Relationship Id="rId2" Type="http://schemas.openxmlformats.org/officeDocument/2006/relationships/styles" Target="styles.xml"/><Relationship Id="rId16" Type="http://schemas.openxmlformats.org/officeDocument/2006/relationships/hyperlink" Target="https://www.facebook.com/ANTSngo/videos/20664219210367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4%D0%BE%D0%B2%D0%B3%D0%BE%D0%BB%D1%96%D1%82%D1%82%D1%8F" TargetMode="External"/><Relationship Id="rId5" Type="http://schemas.openxmlformats.org/officeDocument/2006/relationships/footnotes" Target="footnotes.xml"/><Relationship Id="rId15" Type="http://schemas.openxmlformats.org/officeDocument/2006/relationships/hyperlink" Target="https://docs.google.com/document/d/1asKb968JLUSrNqoEJGK4jP0BfNJ6iAam/edit" TargetMode="External"/><Relationship Id="rId10" Type="http://schemas.openxmlformats.org/officeDocument/2006/relationships/hyperlink" Target="https://uk.wikipedia.org/wiki/%D0%93%D1%80%D0%B0%D0%BC%D0%BE%D1%82%D0%BD%D1%96%D1%81%D1%82%D1%8C" TargetMode="External"/><Relationship Id="rId19" Type="http://schemas.openxmlformats.org/officeDocument/2006/relationships/hyperlink" Target="https://docs.google.com/document/d/1mK8xvXnOZTGArDv4P_08mDw-uTvX2Nmh/edit" TargetMode="External"/><Relationship Id="rId4" Type="http://schemas.openxmlformats.org/officeDocument/2006/relationships/webSettings" Target="webSettings.xml"/><Relationship Id="rId9" Type="http://schemas.openxmlformats.org/officeDocument/2006/relationships/hyperlink" Target="https://uk.wikipedia.org/wiki/%D0%93%D1%80%D0%B0%D0%BC%D0%BE%D1%82%D0%BD%D1%96%D1%81%D1%82%D1%8C" TargetMode="External"/><Relationship Id="rId14" Type="http://schemas.openxmlformats.org/officeDocument/2006/relationships/hyperlink" Target="https://uk.wikipedia.org/wiki/%D0%9F%D0%BE%D1%82%D0%B5%D0%BD%D1%86%D1%96%D0%B0%D0%B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40361</Words>
  <Characters>23006</Characters>
  <Application>Microsoft Office Word</Application>
  <DocSecurity>0</DocSecurity>
  <Lines>191</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Хомич Олена Сергіївна</dc:creator>
  <cp:lastModifiedBy>Кінщак Алла Вікторівна</cp:lastModifiedBy>
  <cp:revision>4</cp:revision>
  <dcterms:created xsi:type="dcterms:W3CDTF">2023-12-04T13:56:00Z</dcterms:created>
  <dcterms:modified xsi:type="dcterms:W3CDTF">2023-12-04T14:39:00Z</dcterms:modified>
</cp:coreProperties>
</file>