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DD5F70" w:rsidRDefault="002F7DD2" w:rsidP="002F7DD2">
      <w:pPr>
        <w:pStyle w:val="ShapkaDocumentu"/>
        <w:ind w:left="2694"/>
        <w:rPr>
          <w:rFonts w:ascii="Times New Roman" w:hAnsi="Times New Roman"/>
          <w:b/>
          <w:sz w:val="24"/>
          <w:szCs w:val="24"/>
          <w:lang w:eastAsia="x-none"/>
        </w:rPr>
      </w:pPr>
      <w:bookmarkStart w:id="0" w:name="_GoBack"/>
      <w:bookmarkEnd w:id="0"/>
      <w:r w:rsidRPr="00DD5F70">
        <w:rPr>
          <w:rFonts w:ascii="Times New Roman" w:hAnsi="Times New Roman"/>
          <w:sz w:val="24"/>
          <w:szCs w:val="24"/>
        </w:rPr>
        <w:t>Додаток 7</w:t>
      </w:r>
      <w:r w:rsidRPr="00DD5F70">
        <w:rPr>
          <w:rFonts w:ascii="Times New Roman" w:hAnsi="Times New Roman"/>
          <w:sz w:val="24"/>
          <w:szCs w:val="24"/>
        </w:rPr>
        <w:br/>
        <w:t xml:space="preserve">до Порядку зупинення реєстрації податкової </w:t>
      </w:r>
      <w:r w:rsidR="00DD5F70">
        <w:rPr>
          <w:rFonts w:ascii="Times New Roman" w:hAnsi="Times New Roman"/>
          <w:sz w:val="24"/>
          <w:szCs w:val="24"/>
        </w:rPr>
        <w:br/>
      </w:r>
      <w:r w:rsidRPr="00DD5F70">
        <w:rPr>
          <w:rFonts w:ascii="Times New Roman" w:hAnsi="Times New Roman"/>
          <w:sz w:val="24"/>
          <w:szCs w:val="24"/>
        </w:rPr>
        <w:t>накладної/розрахунку коригування в Єдиному</w:t>
      </w:r>
      <w:r w:rsidR="00DD5F70">
        <w:rPr>
          <w:rFonts w:ascii="Times New Roman" w:hAnsi="Times New Roman"/>
          <w:sz w:val="24"/>
          <w:szCs w:val="24"/>
        </w:rPr>
        <w:br/>
      </w:r>
      <w:r w:rsidRPr="00DD5F70">
        <w:rPr>
          <w:rFonts w:ascii="Times New Roman" w:hAnsi="Times New Roman"/>
          <w:sz w:val="24"/>
          <w:szCs w:val="24"/>
        </w:rPr>
        <w:t xml:space="preserve"> реєстрі податкових накладних </w:t>
      </w:r>
      <w:r w:rsidRPr="00DD5F70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="009A7782">
        <w:rPr>
          <w:rFonts w:ascii="Times New Roman" w:hAnsi="Times New Roman"/>
          <w:sz w:val="24"/>
          <w:szCs w:val="24"/>
        </w:rPr>
        <w:br/>
      </w:r>
      <w:r w:rsidRPr="00DD5F70">
        <w:rPr>
          <w:rFonts w:ascii="Times New Roman" w:hAnsi="Times New Roman"/>
          <w:sz w:val="24"/>
          <w:szCs w:val="24"/>
        </w:rPr>
        <w:t>від</w:t>
      </w:r>
      <w:r w:rsidR="00660EC6" w:rsidRPr="00DD5F70">
        <w:rPr>
          <w:rFonts w:ascii="Times New Roman" w:hAnsi="Times New Roman"/>
          <w:sz w:val="24"/>
          <w:szCs w:val="24"/>
        </w:rPr>
        <w:t xml:space="preserve"> 2 червня </w:t>
      </w:r>
      <w:r w:rsidRPr="00DD5F70">
        <w:rPr>
          <w:rFonts w:ascii="Times New Roman" w:hAnsi="Times New Roman"/>
          <w:sz w:val="24"/>
          <w:szCs w:val="24"/>
        </w:rPr>
        <w:t>2023 р. №</w:t>
      </w:r>
      <w:r w:rsidR="00660EC6" w:rsidRPr="00DD5F70">
        <w:rPr>
          <w:rFonts w:ascii="Times New Roman" w:hAnsi="Times New Roman"/>
          <w:sz w:val="24"/>
          <w:szCs w:val="24"/>
        </w:rPr>
        <w:t xml:space="preserve"> 574</w:t>
      </w:r>
      <w:r w:rsidRPr="00DD5F70">
        <w:rPr>
          <w:rFonts w:ascii="Times New Roman" w:hAnsi="Times New Roman"/>
          <w:sz w:val="24"/>
          <w:szCs w:val="24"/>
        </w:rPr>
        <w:t>)</w:t>
      </w:r>
    </w:p>
    <w:p w:rsidR="002F7DD2" w:rsidRPr="00DD5F70" w:rsidRDefault="002F7DD2" w:rsidP="002F7DD2">
      <w:pPr>
        <w:pStyle w:val="ae"/>
        <w:rPr>
          <w:rFonts w:ascii="Times New Roman" w:hAnsi="Times New Roman"/>
          <w:sz w:val="28"/>
          <w:szCs w:val="28"/>
        </w:rPr>
      </w:pPr>
      <w:r w:rsidRPr="00DD5F70">
        <w:rPr>
          <w:rFonts w:ascii="Times New Roman" w:hAnsi="Times New Roman"/>
          <w:sz w:val="28"/>
          <w:szCs w:val="28"/>
        </w:rPr>
        <w:t>РІШЕННЯ</w:t>
      </w:r>
      <w:r w:rsidRPr="00DD5F70">
        <w:rPr>
          <w:rFonts w:ascii="Times New Roman" w:hAnsi="Times New Roman"/>
          <w:sz w:val="28"/>
          <w:szCs w:val="28"/>
        </w:rPr>
        <w:br/>
        <w:t>про неврахування таблиці даних платника податку на додану вартість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17"/>
        <w:gridCol w:w="4354"/>
      </w:tblGrid>
      <w:tr w:rsidR="002F7DD2" w:rsidTr="002F7DD2">
        <w:tc>
          <w:tcPr>
            <w:tcW w:w="2567" w:type="pct"/>
            <w:hideMark/>
          </w:tcPr>
          <w:p w:rsidR="002F7DD2" w:rsidRPr="00DD5F70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 ____________ 20__ р.</w:t>
            </w:r>
          </w:p>
        </w:tc>
        <w:tc>
          <w:tcPr>
            <w:tcW w:w="2370" w:type="pct"/>
            <w:hideMark/>
          </w:tcPr>
          <w:p w:rsidR="002F7DD2" w:rsidRPr="00DD5F70" w:rsidRDefault="002F7DD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№ __________</w:t>
            </w:r>
          </w:p>
        </w:tc>
      </w:tr>
    </w:tbl>
    <w:p w:rsidR="002F7DD2" w:rsidRPr="00DD5F70" w:rsidRDefault="002F7DD2" w:rsidP="002F7DD2">
      <w:pPr>
        <w:spacing w:before="240" w:after="12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D5F70">
        <w:rPr>
          <w:rFonts w:ascii="Times New Roman" w:hAnsi="Times New Roman"/>
          <w:sz w:val="24"/>
          <w:szCs w:val="24"/>
          <w:lang w:eastAsia="uk-UA"/>
        </w:rPr>
        <w:t>Дані щодо платника податку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1763"/>
      </w:tblGrid>
      <w:tr w:rsidR="002F7DD2" w:rsidRPr="00DD5F70" w:rsidTr="002F7DD2">
        <w:trPr>
          <w:trHeight w:val="245"/>
        </w:trPr>
        <w:tc>
          <w:tcPr>
            <w:tcW w:w="4028" w:type="pct"/>
            <w:tcBorders>
              <w:left w:val="nil"/>
            </w:tcBorders>
            <w:hideMark/>
          </w:tcPr>
          <w:p w:rsidR="002F7DD2" w:rsidRPr="00DD5F70" w:rsidRDefault="002F7D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Податковий номер або серія (за наявності) та номер паспорта*</w:t>
            </w:r>
          </w:p>
        </w:tc>
        <w:tc>
          <w:tcPr>
            <w:tcW w:w="972" w:type="pct"/>
            <w:tcBorders>
              <w:right w:val="nil"/>
            </w:tcBorders>
          </w:tcPr>
          <w:p w:rsidR="002F7DD2" w:rsidRPr="00DD5F70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DD2" w:rsidRPr="00DD5F70" w:rsidTr="002F7DD2">
        <w:trPr>
          <w:trHeight w:val="505"/>
        </w:trPr>
        <w:tc>
          <w:tcPr>
            <w:tcW w:w="4028" w:type="pct"/>
            <w:tcBorders>
              <w:left w:val="nil"/>
            </w:tcBorders>
            <w:hideMark/>
          </w:tcPr>
          <w:p w:rsidR="002F7DD2" w:rsidRPr="00DD5F70" w:rsidRDefault="002F7DD2" w:rsidP="00DD5F7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Індивідуальний податковий номер платника податку на додану вартість (далі </w:t>
            </w:r>
            <w:r w:rsidR="00DD5F70" w:rsidRPr="00DD5F70">
              <w:rPr>
                <w:rFonts w:ascii="Times New Roman" w:hAnsi="Times New Roman"/>
                <w:sz w:val="24"/>
                <w:szCs w:val="24"/>
                <w:lang w:val="ru-RU" w:eastAsia="en-US"/>
              </w:rPr>
              <w:t>-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платник податку)</w:t>
            </w:r>
          </w:p>
        </w:tc>
        <w:tc>
          <w:tcPr>
            <w:tcW w:w="972" w:type="pct"/>
            <w:tcBorders>
              <w:right w:val="nil"/>
            </w:tcBorders>
          </w:tcPr>
          <w:p w:rsidR="002F7DD2" w:rsidRPr="00DD5F70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DD2" w:rsidRPr="00DD5F70" w:rsidTr="002F7DD2">
        <w:trPr>
          <w:trHeight w:val="994"/>
        </w:trPr>
        <w:tc>
          <w:tcPr>
            <w:tcW w:w="4028" w:type="pct"/>
            <w:tcBorders>
              <w:left w:val="nil"/>
            </w:tcBorders>
            <w:hideMark/>
          </w:tcPr>
          <w:p w:rsidR="002F7DD2" w:rsidRPr="00DD5F70" w:rsidRDefault="002F7DD2" w:rsidP="00DD5F7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DD5F70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972" w:type="pct"/>
            <w:tcBorders>
              <w:right w:val="nil"/>
            </w:tcBorders>
          </w:tcPr>
          <w:p w:rsidR="002F7DD2" w:rsidRPr="00DD5F70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F7DD2" w:rsidRPr="00B25A7B" w:rsidRDefault="002F7DD2" w:rsidP="002F7DD2">
      <w:pPr>
        <w:rPr>
          <w:rFonts w:ascii="Times New Roman" w:hAnsi="Times New Roman"/>
          <w:vanish/>
          <w:sz w:val="10"/>
          <w:szCs w:val="24"/>
          <w:lang w:eastAsia="uk-UA"/>
        </w:rPr>
      </w:pPr>
    </w:p>
    <w:p w:rsidR="002F7DD2" w:rsidRPr="00DD5F70" w:rsidRDefault="002F7DD2" w:rsidP="002F7DD2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D5F70">
        <w:rPr>
          <w:rFonts w:ascii="Times New Roman" w:hAnsi="Times New Roman"/>
          <w:sz w:val="24"/>
          <w:szCs w:val="24"/>
          <w:lang w:eastAsia="en-US"/>
        </w:rPr>
        <w:t xml:space="preserve">Відповідно до пункту 19 Порядку зупинення реєстрації податкової накладної/розрахунку коригування в Єдиному реєстрі податкових накладних, затвердженого постановою Кабінету Міністрів України від </w:t>
      </w:r>
      <w:r w:rsidRPr="00DD5F70">
        <w:rPr>
          <w:rFonts w:ascii="Times New Roman" w:hAnsi="Times New Roman"/>
          <w:sz w:val="24"/>
          <w:szCs w:val="24"/>
          <w:lang w:eastAsia="en-US"/>
        </w:rPr>
        <w:br/>
        <w:t xml:space="preserve">11 грудня 2019 р. № 1165, комісією </w:t>
      </w:r>
      <w:r w:rsidR="00F81589" w:rsidRPr="00DD5F70">
        <w:rPr>
          <w:rFonts w:ascii="Times New Roman" w:hAnsi="Times New Roman"/>
          <w:sz w:val="24"/>
          <w:szCs w:val="24"/>
          <w:lang w:eastAsia="en-US"/>
        </w:rPr>
        <w:t xml:space="preserve">____ </w:t>
      </w:r>
      <w:r w:rsidRPr="00DD5F70">
        <w:rPr>
          <w:rFonts w:ascii="Times New Roman" w:hAnsi="Times New Roman"/>
          <w:sz w:val="24"/>
          <w:szCs w:val="24"/>
          <w:lang w:eastAsia="en-US"/>
        </w:rPr>
        <w:t>прийнято рішення про неврахування таблиці даних платника податку, зареєстрованої у контролюючому органі ___ ____________ 20__ р. за № ______, врахованої згідно з рішенням комісії від ___ ____________ 20__ р. № _______.</w:t>
      </w:r>
    </w:p>
    <w:p w:rsidR="002F7DD2" w:rsidRPr="00DD5F70" w:rsidRDefault="002F7DD2" w:rsidP="002F7DD2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DD5F70">
        <w:rPr>
          <w:rFonts w:ascii="Times New Roman" w:hAnsi="Times New Roman"/>
          <w:sz w:val="24"/>
          <w:szCs w:val="24"/>
          <w:lang w:eastAsia="en-US"/>
        </w:rPr>
        <w:t>Підстави:</w:t>
      </w:r>
    </w:p>
    <w:p w:rsidR="002F7DD2" w:rsidRDefault="00DD5F70" w:rsidP="002F7DD2">
      <w:pPr>
        <w:pStyle w:val="a5"/>
        <w:spacing w:befor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D5F70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0" b="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2DD74F" id="Rectangle 36" o:spid="_x0000_s1026" style="position:absolute;margin-left:3.65pt;margin-top:1.35pt;width:12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2MHwIAAD4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"/>
            </w:pict>
          </mc:Fallback>
        </mc:AlternateContent>
      </w:r>
      <w:r w:rsidR="002F7DD2" w:rsidRPr="00DD5F70">
        <w:rPr>
          <w:rFonts w:ascii="Times New Roman" w:hAnsi="Times New Roman"/>
          <w:sz w:val="24"/>
          <w:szCs w:val="24"/>
          <w:lang w:eastAsia="en-US"/>
        </w:rPr>
        <w:t>наявність у контролюючих органах податкової інформації, що свідчить про здійснення платником податку ризикових операцій</w:t>
      </w:r>
    </w:p>
    <w:p w:rsidR="00DD5F70" w:rsidRPr="00DD5F70" w:rsidRDefault="00DD5F70" w:rsidP="002F7DD2">
      <w:pPr>
        <w:pStyle w:val="a5"/>
        <w:spacing w:before="0"/>
        <w:jc w:val="both"/>
        <w:rPr>
          <w:rFonts w:ascii="Times New Roman" w:hAnsi="Times New Roman"/>
          <w:vanish/>
          <w:sz w:val="24"/>
          <w:szCs w:val="24"/>
          <w:lang w:eastAsia="uk-UA"/>
        </w:rPr>
      </w:pPr>
    </w:p>
    <w:tbl>
      <w:tblPr>
        <w:tblW w:w="10065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76"/>
        <w:gridCol w:w="1392"/>
        <w:gridCol w:w="1392"/>
        <w:gridCol w:w="1392"/>
        <w:gridCol w:w="1239"/>
        <w:gridCol w:w="1675"/>
      </w:tblGrid>
      <w:tr w:rsidR="002F7DD2" w:rsidRPr="007F72A5" w:rsidTr="004F1A40">
        <w:trPr>
          <w:trHeight w:val="3426"/>
        </w:trPr>
        <w:tc>
          <w:tcPr>
            <w:tcW w:w="1399" w:type="dxa"/>
            <w:tcBorders>
              <w:left w:val="nil"/>
            </w:tcBorders>
            <w:vAlign w:val="center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Тип операції придбання/ постачання</w:t>
            </w:r>
          </w:p>
        </w:tc>
        <w:tc>
          <w:tcPr>
            <w:tcW w:w="1576" w:type="dxa"/>
            <w:vAlign w:val="center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Період здійснення господарської операції**</w:t>
            </w:r>
          </w:p>
        </w:tc>
        <w:tc>
          <w:tcPr>
            <w:tcW w:w="1392" w:type="dxa"/>
            <w:vAlign w:val="center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Код згідно з УКТЗЕД операції, визначеної як ризикова</w:t>
            </w:r>
          </w:p>
        </w:tc>
        <w:tc>
          <w:tcPr>
            <w:tcW w:w="1392" w:type="dxa"/>
            <w:vAlign w:val="center"/>
            <w:hideMark/>
          </w:tcPr>
          <w:p w:rsidR="002F7DD2" w:rsidRPr="007F72A5" w:rsidRDefault="002F7DD2" w:rsidP="00DD5F7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Код згідно з Державним класифікатором </w:t>
            </w:r>
            <w:r w:rsidR="001950CE"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продукції та послуг </w:t>
            </w: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операції, визначеної як ризикова</w:t>
            </w:r>
          </w:p>
        </w:tc>
        <w:tc>
          <w:tcPr>
            <w:tcW w:w="1392" w:type="dxa"/>
            <w:vAlign w:val="center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Умовний код товару операції, визначеної як ризикова</w:t>
            </w:r>
          </w:p>
        </w:tc>
        <w:tc>
          <w:tcPr>
            <w:tcW w:w="1239" w:type="dxa"/>
            <w:vAlign w:val="center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Податковий номер платника податку, задіяного в ризиковій операції</w:t>
            </w:r>
          </w:p>
        </w:tc>
        <w:tc>
          <w:tcPr>
            <w:tcW w:w="1675" w:type="dxa"/>
            <w:tcBorders>
              <w:right w:val="nil"/>
            </w:tcBorders>
            <w:vAlign w:val="center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Дата включення платника податку, задіяного в ризиковій операції, до переліку платників, які відповідають критеріям ризиковості платника податку</w:t>
            </w:r>
          </w:p>
        </w:tc>
      </w:tr>
      <w:tr w:rsidR="002F7DD2" w:rsidRPr="007F72A5" w:rsidTr="002F7DD2">
        <w:trPr>
          <w:trHeight w:val="761"/>
        </w:trPr>
        <w:tc>
          <w:tcPr>
            <w:tcW w:w="1399" w:type="dxa"/>
            <w:tcBorders>
              <w:left w:val="nil"/>
            </w:tcBorders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один  варіант)</w:t>
            </w:r>
          </w:p>
        </w:tc>
        <w:tc>
          <w:tcPr>
            <w:tcW w:w="1576" w:type="dxa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з __.__.__ по __.__.__</w:t>
            </w:r>
          </w:p>
        </w:tc>
        <w:tc>
          <w:tcPr>
            <w:tcW w:w="1392" w:type="dxa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1392" w:type="dxa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1392" w:type="dxa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1239" w:type="dxa"/>
            <w:hideMark/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75" w:type="dxa"/>
            <w:tcBorders>
              <w:right w:val="nil"/>
            </w:tcBorders>
          </w:tcPr>
          <w:p w:rsidR="002F7DD2" w:rsidRPr="007F72A5" w:rsidRDefault="002F7DD2" w:rsidP="004F1A40">
            <w:pPr>
              <w:spacing w:before="100" w:beforeAutospacing="1" w:after="100" w:afterAutospacing="1" w:line="228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F7DD2" w:rsidRDefault="002F7DD2" w:rsidP="002F7DD2">
      <w:pPr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300" w:type="pct"/>
        <w:tblInd w:w="-176" w:type="dxa"/>
        <w:tblLook w:val="04A0" w:firstRow="1" w:lastRow="0" w:firstColumn="1" w:lastColumn="0" w:noHBand="0" w:noVBand="1"/>
      </w:tblPr>
      <w:tblGrid>
        <w:gridCol w:w="9816"/>
      </w:tblGrid>
      <w:tr w:rsidR="002F7DD2" w:rsidRPr="00DD5F70" w:rsidTr="004F1A40">
        <w:tc>
          <w:tcPr>
            <w:tcW w:w="5000" w:type="pct"/>
          </w:tcPr>
          <w:p w:rsidR="002F7DD2" w:rsidRPr="00DD5F70" w:rsidRDefault="00DD5F70" w:rsidP="00B25A7B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30480</wp:posOffset>
                      </wp:positionV>
                      <wp:extent cx="152400" cy="152400"/>
                      <wp:effectExtent l="0" t="0" r="0" b="0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46FF24A" id="Rectangle 37" o:spid="_x0000_s1026" style="position:absolute;margin-left:6.05pt;margin-top:2.4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Z7HwIAAD4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"/>
                  </w:pict>
                </mc:Fallback>
              </mc:AlternateConten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прийнято рішення про відповідність критерію ризиковості платника податку згідно з пунктом ___ (зазначається пункт 1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5) додатка 1 до Порядку зупинення реєстрації податкової 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накладної/розрахунку коригування в Єдиному реєстрі податкових накладних, затвердженого постановою Кабінету Міністрів України від 11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 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грудня 2019 р. № 1165;</w:t>
            </w:r>
          </w:p>
          <w:p w:rsidR="002F7DD2" w:rsidRPr="00DD5F70" w:rsidRDefault="00DD5F70" w:rsidP="00B25A7B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34290</wp:posOffset>
                      </wp:positionV>
                      <wp:extent cx="152400" cy="152400"/>
                      <wp:effectExtent l="0" t="0" r="0" b="0"/>
                      <wp:wrapNone/>
                      <wp:docPr id="5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F0F9144" id="Прямоугольник 9" o:spid="_x0000_s1026" style="position:absolute;margin-left:6.05pt;margin-top:2.7pt;width:12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"/>
                  </w:pict>
                </mc:Fallback>
              </mc:AlternateConten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відсутність необхідних умов та/або обсягів матеріальних ресурсів для виробництва товарів, виконання робіт або надання послуг (відсутні відомості про об’єкти оподаткування, відсутнє придбання послуг оренди об’єктів оподаткування, послуг транспортування, послуг оренди місць зберігання</w:t>
            </w:r>
            <w:r w:rsidR="00A9125C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товарно-матеріальних цінностей, послуг оренди місць зберігання паливно-мастильних матеріалів тощо) відповідно до поданої до контролюючих органів звітності: _________________________________________________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</w:t>
            </w:r>
            <w:r w:rsidR="004F1A40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</w:p>
          <w:p w:rsidR="002F7DD2" w:rsidRPr="00DD5F70" w:rsidRDefault="002F7DD2" w:rsidP="00B25A7B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D5F70">
              <w:rPr>
                <w:rFonts w:ascii="Times New Roman" w:hAnsi="Times New Roman"/>
                <w:sz w:val="20"/>
                <w:lang w:eastAsia="en-US"/>
              </w:rPr>
              <w:t>(зазначити необхідне)</w:t>
            </w:r>
          </w:p>
          <w:p w:rsidR="002F7DD2" w:rsidRPr="00DD5F70" w:rsidRDefault="00DD5F7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31115</wp:posOffset>
                      </wp:positionV>
                      <wp:extent cx="152400" cy="152400"/>
                      <wp:effectExtent l="0" t="0" r="0" b="0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10A54DC" id="Rectangle 39" o:spid="_x0000_s1026" style="position:absolute;margin-left:3.8pt;margin-top:2.45pt;width:12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cBHgIAAD4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"/>
                  </w:pict>
                </mc:Fallback>
              </mc:AlternateConten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недостатня кількість трудових ресурсів, необхідних для </w:t>
            </w:r>
            <w:r w:rsidR="006A3950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провадження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господарської діяльності (за відсутності інформації щодо придбання послуг з виконання робіт, які необхідні для </w:t>
            </w:r>
            <w:r w:rsidR="00D444CA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провадження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господарської діяльності):</w:t>
            </w:r>
          </w:p>
          <w:p w:rsidR="002F7DD2" w:rsidRPr="00DD5F70" w:rsidRDefault="002F7DD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</w:t>
            </w:r>
            <w:r w:rsidR="00DD5F70" w:rsidRPr="007F72A5">
              <w:rPr>
                <w:rFonts w:ascii="Times New Roman" w:hAnsi="Times New Roman"/>
                <w:sz w:val="24"/>
                <w:szCs w:val="24"/>
                <w:lang w:eastAsia="en-US"/>
              </w:rPr>
              <w:t>_____________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</w:t>
            </w: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D5F70">
              <w:rPr>
                <w:rFonts w:ascii="Times New Roman" w:hAnsi="Times New Roman"/>
                <w:sz w:val="20"/>
                <w:lang w:eastAsia="en-US"/>
              </w:rPr>
              <w:t>(зазначити необхідне)</w:t>
            </w:r>
          </w:p>
          <w:p w:rsidR="002F7DD2" w:rsidRPr="00DD5F70" w:rsidRDefault="00DD5F7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33020</wp:posOffset>
                      </wp:positionV>
                      <wp:extent cx="152400" cy="152400"/>
                      <wp:effectExtent l="0" t="0" r="0" b="0"/>
                      <wp:wrapNone/>
                      <wp:docPr id="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117D039" id="Rectangle 40" o:spid="_x0000_s1026" style="position:absolute;margin-left:3.8pt;margin-top:2.6pt;width:12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"/>
                  </w:pict>
                </mc:Fallback>
              </mc:AlternateConten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     постачання сільськогосподарської продукції за відсутності придбання такої продукції, сплати земельного податку (сплати єдиного податку для платника податку, який перебуває на спрощеній системі оподаткування четвертої групи) та/або придбання пального, мінеральних добрив, допоміжних послуг з вирощування сільськогосподарської продукції за наявності земельних ділянок:</w:t>
            </w:r>
          </w:p>
          <w:p w:rsidR="002F7DD2" w:rsidRPr="00DD5F70" w:rsidRDefault="002F7DD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</w:t>
            </w:r>
            <w:r w:rsidR="00DD5F70" w:rsidRPr="007F72A5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_____________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  <w:r w:rsidR="004F1A40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</w:t>
            </w: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D5F70">
              <w:rPr>
                <w:rFonts w:ascii="Times New Roman" w:hAnsi="Times New Roman"/>
                <w:sz w:val="20"/>
                <w:lang w:eastAsia="en-US"/>
              </w:rPr>
              <w:t>(зазначити необхідне)</w:t>
            </w:r>
          </w:p>
          <w:p w:rsidR="002F7DD2" w:rsidRPr="00DD5F70" w:rsidRDefault="00DD5F7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48260</wp:posOffset>
                      </wp:positionV>
                      <wp:extent cx="152400" cy="152400"/>
                      <wp:effectExtent l="0" t="0" r="0" b="0"/>
                      <wp:wrapNone/>
                      <wp:docPr id="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5F71B21" id="Rectangle 41" o:spid="_x0000_s1026" style="position:absolute;margin-left:3.8pt;margin-top:3.8pt;width:12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"/>
                  </w:pict>
                </mc:Fallback>
              </mc:AlternateConten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  </w:t>
            </w:r>
            <w:r w:rsidRPr="00DD5F70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 пояснення до таблиці даних платника/у поясненні недостатньо інформації щодо змісту господарської діяльності платника податку</w:t>
            </w: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  <w:r w:rsidRPr="00DD5F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D5F70">
              <w:rPr>
                <w:rFonts w:ascii="Times New Roman" w:hAnsi="Times New Roman"/>
                <w:sz w:val="20"/>
                <w:lang w:eastAsia="en-US"/>
              </w:rPr>
              <w:t>(зазначити необхідне)</w:t>
            </w:r>
          </w:p>
          <w:p w:rsidR="00661D4A" w:rsidRDefault="00DD5F7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50800</wp:posOffset>
                      </wp:positionV>
                      <wp:extent cx="152400" cy="152400"/>
                      <wp:effectExtent l="0" t="0" r="0" b="0"/>
                      <wp:wrapNone/>
                      <wp:docPr id="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43980F3" id="Rectangle 42" o:spid="_x0000_s1026" style="position:absolute;margin-left:3.8pt;margin-top:4pt;width:12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"/>
                  </w:pict>
                </mc:Fallback>
              </mc:AlternateContent>
            </w:r>
            <w:r w:rsidR="002F7DD2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     інше </w:t>
            </w:r>
          </w:p>
          <w:p w:rsidR="002F7DD2" w:rsidRPr="00DD5F70" w:rsidRDefault="002F7DD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</w:t>
            </w:r>
            <w:r w:rsidR="00661D4A"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</w:t>
            </w:r>
            <w:r w:rsidR="004F1A40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</w:t>
            </w:r>
          </w:p>
          <w:p w:rsidR="002F7DD2" w:rsidRPr="00DD5F70" w:rsidRDefault="002F7DD2">
            <w:pPr>
              <w:ind w:left="1168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D5F70">
              <w:rPr>
                <w:rFonts w:ascii="Times New Roman" w:hAnsi="Times New Roman"/>
                <w:sz w:val="20"/>
                <w:lang w:eastAsia="en-US"/>
              </w:rPr>
              <w:t>(зазначити причини неврахування таблиці даних платника податку)</w:t>
            </w:r>
          </w:p>
          <w:p w:rsidR="002F7DD2" w:rsidRPr="00DD5F70" w:rsidRDefault="002F7DD2">
            <w:pPr>
              <w:spacing w:before="120"/>
              <w:ind w:firstLine="60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Рішення про неврахування таблиці даних платника податку може бути оскаржено:</w:t>
            </w:r>
          </w:p>
          <w:p w:rsidR="002F7DD2" w:rsidRPr="00DD5F70" w:rsidRDefault="002F7DD2">
            <w:pPr>
              <w:spacing w:before="120"/>
              <w:ind w:firstLine="60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в адміністративному або судовому порядку в разі прийняття рішення комісією регіонального рівня;</w:t>
            </w:r>
          </w:p>
          <w:p w:rsidR="002F7DD2" w:rsidRPr="00DD5F70" w:rsidRDefault="002F7DD2">
            <w:pPr>
              <w:spacing w:before="120"/>
              <w:ind w:firstLine="60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у судовому порядку в разі прийняття рішення комісією центрального рівня.</w:t>
            </w:r>
          </w:p>
        </w:tc>
      </w:tr>
    </w:tbl>
    <w:p w:rsidR="00147D8D" w:rsidRPr="00DD5F70" w:rsidRDefault="00147D8D" w:rsidP="002F7DD2">
      <w:pPr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84"/>
        <w:gridCol w:w="1931"/>
        <w:gridCol w:w="2856"/>
      </w:tblGrid>
      <w:tr w:rsidR="002F7DD2" w:rsidRPr="00DD5F70" w:rsidTr="002F7DD2">
        <w:tc>
          <w:tcPr>
            <w:tcW w:w="2378" w:type="pct"/>
            <w:hideMark/>
          </w:tcPr>
          <w:p w:rsidR="002F7DD2" w:rsidRPr="00DD5F70" w:rsidRDefault="002F7DD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Голова комісії з питань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зупинення реєстрації податкової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накладної/розрахунку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коригування в Єдиному реєстрі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податкових накладних ____________________</w:t>
            </w:r>
            <w:r w:rsidR="00DD5F70"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</w:p>
          <w:p w:rsidR="002F7DD2" w:rsidRPr="00DD5F70" w:rsidRDefault="00DD5F70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7F72A5">
              <w:rPr>
                <w:rFonts w:ascii="Times New Roman" w:hAnsi="Times New Roman"/>
                <w:sz w:val="20"/>
                <w:lang w:eastAsia="en-US"/>
              </w:rPr>
              <w:t xml:space="preserve">   </w:t>
            </w:r>
            <w:r w:rsidR="002F7DD2" w:rsidRPr="00DD5F70">
              <w:rPr>
                <w:rFonts w:ascii="Times New Roman" w:hAnsi="Times New Roman"/>
                <w:sz w:val="20"/>
                <w:lang w:eastAsia="en-US"/>
              </w:rPr>
              <w:t>(найменування контролюючого органу)</w:t>
            </w:r>
          </w:p>
        </w:tc>
        <w:tc>
          <w:tcPr>
            <w:tcW w:w="1081" w:type="pct"/>
          </w:tcPr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DD5F70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41" w:type="pct"/>
          </w:tcPr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DD5F70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DD5F70" w:rsidRDefault="002F7DD2" w:rsidP="00DD5F7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_</w:t>
            </w:r>
            <w:r w:rsidR="00DD5F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</w:t>
            </w:r>
            <w:r w:rsidRPr="00DD5F7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DD5F70">
              <w:rPr>
                <w:rFonts w:ascii="Times New Roman" w:hAnsi="Times New Roman"/>
                <w:sz w:val="20"/>
                <w:lang w:eastAsia="en-US"/>
              </w:rPr>
              <w:t>(власне ім’я та прізвище)</w:t>
            </w:r>
          </w:p>
        </w:tc>
      </w:tr>
    </w:tbl>
    <w:p w:rsidR="002F7DD2" w:rsidRDefault="002F7DD2" w:rsidP="002F7DD2">
      <w:pPr>
        <w:spacing w:before="12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____________</w:t>
      </w:r>
      <w:r>
        <w:rPr>
          <w:rFonts w:ascii="Times New Roman" w:hAnsi="Times New Roman"/>
          <w:sz w:val="22"/>
          <w:szCs w:val="22"/>
          <w:lang w:eastAsia="en-US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2F7DD2" w:rsidRDefault="002F7DD2" w:rsidP="002F7DD2">
      <w:pPr>
        <w:spacing w:before="12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** У разі наявності в контролюючих органах податкової інформації, що свідчить про здійснення платником податку ризикових операцій, зазначається період здійснення господарської операції, визнаної як ризикова, та код згідно з УКТЗЕД/Державним класифікатором </w:t>
      </w:r>
      <w:r w:rsidR="00BC6AFD">
        <w:rPr>
          <w:rFonts w:ascii="Times New Roman" w:hAnsi="Times New Roman"/>
          <w:sz w:val="22"/>
          <w:szCs w:val="22"/>
          <w:lang w:eastAsia="en-US"/>
        </w:rPr>
        <w:t xml:space="preserve">продукції та послуг </w:t>
      </w:r>
      <w:r w:rsidR="006B63BE">
        <w:rPr>
          <w:rFonts w:ascii="Times New Roman" w:hAnsi="Times New Roman"/>
          <w:sz w:val="22"/>
          <w:szCs w:val="22"/>
          <w:lang w:eastAsia="en-US"/>
        </w:rPr>
        <w:t>такої операції.</w:t>
      </w:r>
    </w:p>
    <w:p w:rsidR="006B63BE" w:rsidRDefault="006B63BE" w:rsidP="002F7DD2">
      <w:pPr>
        <w:spacing w:before="120"/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F7DD2" w:rsidRPr="006B63BE" w:rsidRDefault="006B63BE" w:rsidP="006B63BE">
      <w:pPr>
        <w:spacing w:before="120"/>
        <w:jc w:val="both"/>
        <w:rPr>
          <w:rFonts w:ascii="Times New Roman" w:hAnsi="Times New Roman"/>
          <w:sz w:val="24"/>
          <w:szCs w:val="28"/>
          <w:highlight w:val="yellow"/>
        </w:rPr>
      </w:pPr>
      <w:r w:rsidRPr="006B63BE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7 в редакції Постанов КМ </w:t>
      </w:r>
      <w:r w:rsidRPr="006B63BE">
        <w:rPr>
          <w:rStyle w:val="st131"/>
          <w:rFonts w:ascii="Times New Roman" w:hAnsi="Times New Roman"/>
          <w:color w:val="auto"/>
          <w:sz w:val="24"/>
        </w:rPr>
        <w:t>№ 1428 від 23.12.2022</w:t>
      </w:r>
      <w:r w:rsidRPr="006B63BE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B63BE">
        <w:rPr>
          <w:rStyle w:val="st131"/>
          <w:rFonts w:ascii="Times New Roman" w:hAnsi="Times New Roman"/>
          <w:color w:val="auto"/>
          <w:sz w:val="24"/>
        </w:rPr>
        <w:t>№ 574 від 02.06.2023</w:t>
      </w:r>
      <w:r w:rsidRPr="006B63BE">
        <w:rPr>
          <w:rStyle w:val="st46"/>
          <w:rFonts w:ascii="Times New Roman" w:hAnsi="Times New Roman"/>
          <w:color w:val="auto"/>
          <w:sz w:val="24"/>
        </w:rPr>
        <w:t>}</w:t>
      </w:r>
    </w:p>
    <w:sectPr w:rsidR="002F7DD2" w:rsidRPr="006B63BE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22" w:rsidRDefault="00C12922">
      <w:r>
        <w:separator/>
      </w:r>
    </w:p>
  </w:endnote>
  <w:endnote w:type="continuationSeparator" w:id="0">
    <w:p w:rsidR="00C12922" w:rsidRDefault="00C1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22" w:rsidRDefault="00C12922">
      <w:r>
        <w:separator/>
      </w:r>
    </w:p>
  </w:footnote>
  <w:footnote w:type="continuationSeparator" w:id="0">
    <w:p w:rsidR="00C12922" w:rsidRDefault="00C1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6B63BE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6554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4195A"/>
    <w:rsid w:val="00343AA9"/>
    <w:rsid w:val="00357302"/>
    <w:rsid w:val="0036108C"/>
    <w:rsid w:val="0039696C"/>
    <w:rsid w:val="003974A7"/>
    <w:rsid w:val="00397F60"/>
    <w:rsid w:val="003A6E6B"/>
    <w:rsid w:val="003B0F14"/>
    <w:rsid w:val="003B3A12"/>
    <w:rsid w:val="003B4F34"/>
    <w:rsid w:val="003B75A6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E10E4"/>
    <w:rsid w:val="004F1A40"/>
    <w:rsid w:val="00500E5E"/>
    <w:rsid w:val="00500FBB"/>
    <w:rsid w:val="0050432F"/>
    <w:rsid w:val="00512DE4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1D4A"/>
    <w:rsid w:val="0066211B"/>
    <w:rsid w:val="006644D8"/>
    <w:rsid w:val="00666D82"/>
    <w:rsid w:val="00672B65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B63BE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474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7F72A5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B0825"/>
    <w:rsid w:val="008C0A88"/>
    <w:rsid w:val="008D1D71"/>
    <w:rsid w:val="008D3211"/>
    <w:rsid w:val="008D67EB"/>
    <w:rsid w:val="008E0337"/>
    <w:rsid w:val="008E2A19"/>
    <w:rsid w:val="008E671C"/>
    <w:rsid w:val="008E7D03"/>
    <w:rsid w:val="00904215"/>
    <w:rsid w:val="0091059C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416D9"/>
    <w:rsid w:val="009502AB"/>
    <w:rsid w:val="00966E1C"/>
    <w:rsid w:val="009674A2"/>
    <w:rsid w:val="0098648D"/>
    <w:rsid w:val="009A1801"/>
    <w:rsid w:val="009A54A2"/>
    <w:rsid w:val="009A778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425FF"/>
    <w:rsid w:val="00A47AD8"/>
    <w:rsid w:val="00A723B0"/>
    <w:rsid w:val="00A75227"/>
    <w:rsid w:val="00A76476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4B24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F125A"/>
    <w:rsid w:val="00BF13B2"/>
    <w:rsid w:val="00BF17DC"/>
    <w:rsid w:val="00BF2232"/>
    <w:rsid w:val="00C01C10"/>
    <w:rsid w:val="00C033AD"/>
    <w:rsid w:val="00C04E6B"/>
    <w:rsid w:val="00C12922"/>
    <w:rsid w:val="00C2508C"/>
    <w:rsid w:val="00C25CD7"/>
    <w:rsid w:val="00C307A4"/>
    <w:rsid w:val="00C34C62"/>
    <w:rsid w:val="00C36457"/>
    <w:rsid w:val="00C40C63"/>
    <w:rsid w:val="00C420D3"/>
    <w:rsid w:val="00C45B1E"/>
    <w:rsid w:val="00C5231C"/>
    <w:rsid w:val="00C55546"/>
    <w:rsid w:val="00C66814"/>
    <w:rsid w:val="00C67CE5"/>
    <w:rsid w:val="00C71D62"/>
    <w:rsid w:val="00C76944"/>
    <w:rsid w:val="00C77770"/>
    <w:rsid w:val="00C85027"/>
    <w:rsid w:val="00C96204"/>
    <w:rsid w:val="00C9720C"/>
    <w:rsid w:val="00CA3DE2"/>
    <w:rsid w:val="00CA4427"/>
    <w:rsid w:val="00CB2D64"/>
    <w:rsid w:val="00CC4580"/>
    <w:rsid w:val="00CC621A"/>
    <w:rsid w:val="00CE5F93"/>
    <w:rsid w:val="00CF1120"/>
    <w:rsid w:val="00D008A0"/>
    <w:rsid w:val="00D0393E"/>
    <w:rsid w:val="00D1222C"/>
    <w:rsid w:val="00D13166"/>
    <w:rsid w:val="00D14031"/>
    <w:rsid w:val="00D149F0"/>
    <w:rsid w:val="00D20596"/>
    <w:rsid w:val="00D32123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D5F70"/>
    <w:rsid w:val="00DE7613"/>
    <w:rsid w:val="00E14E67"/>
    <w:rsid w:val="00E327E7"/>
    <w:rsid w:val="00E34F4E"/>
    <w:rsid w:val="00E4313A"/>
    <w:rsid w:val="00E46D98"/>
    <w:rsid w:val="00E50620"/>
    <w:rsid w:val="00E53213"/>
    <w:rsid w:val="00E64EA3"/>
    <w:rsid w:val="00E8340A"/>
    <w:rsid w:val="00E83D0D"/>
    <w:rsid w:val="00E86CC6"/>
    <w:rsid w:val="00E90CA2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16C"/>
    <w:rsid w:val="00F72BC7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6F9BB"/>
  <w14:defaultImageDpi w14:val="0"/>
  <w15:docId w15:val="{963B4046-5A5F-4013-8081-97D6C95D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6B63BE"/>
    <w:rPr>
      <w:i/>
      <w:iCs/>
      <w:color w:val="0000FF"/>
    </w:rPr>
  </w:style>
  <w:style w:type="character" w:customStyle="1" w:styleId="st46">
    <w:name w:val="st46"/>
    <w:uiPriority w:val="99"/>
    <w:rsid w:val="006B63B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6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60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060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060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3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60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3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607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3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30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0395-4219-4521-ABC6-77F42FE3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3342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2023-09-04T20:06:00Z</dcterms:created>
  <dcterms:modified xsi:type="dcterms:W3CDTF">2023-09-04T20:06:00Z</dcterms:modified>
</cp:coreProperties>
</file>