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6FED" w14:textId="2FF3EC99" w:rsidR="000056A2" w:rsidRPr="00BF3489" w:rsidRDefault="000056A2" w:rsidP="000056A2">
      <w:pPr>
        <w:pStyle w:val="a3"/>
        <w:rPr>
          <w:lang w:val="uk-UA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6"/>
        <w:gridCol w:w="4720"/>
      </w:tblGrid>
      <w:tr w:rsidR="000056A2" w:rsidRPr="00BF3489" w14:paraId="3919E5C2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0A71C3D2" w14:textId="77777777" w:rsidR="000056A2" w:rsidRPr="00BF3489" w:rsidRDefault="000056A2">
            <w:pPr>
              <w:pStyle w:val="a3"/>
              <w:jc w:val="center"/>
              <w:rPr>
                <w:lang w:val="uk-UA"/>
              </w:rPr>
            </w:pPr>
            <w:r w:rsidRPr="00BF3489">
              <w:rPr>
                <w:rStyle w:val="a4"/>
                <w:lang w:val="uk-UA"/>
              </w:rPr>
              <w:t>Звільнення за п. 4 ст. 40 КЗпП</w:t>
            </w:r>
          </w:p>
        </w:tc>
        <w:tc>
          <w:tcPr>
            <w:tcW w:w="4845" w:type="dxa"/>
            <w:vAlign w:val="center"/>
            <w:hideMark/>
          </w:tcPr>
          <w:p w14:paraId="49721845" w14:textId="77777777" w:rsidR="000056A2" w:rsidRPr="00BF3489" w:rsidRDefault="000056A2">
            <w:pPr>
              <w:pStyle w:val="a3"/>
              <w:jc w:val="center"/>
              <w:rPr>
                <w:lang w:val="uk-UA"/>
              </w:rPr>
            </w:pPr>
            <w:r w:rsidRPr="00BF3489">
              <w:rPr>
                <w:rStyle w:val="a4"/>
                <w:lang w:val="uk-UA"/>
              </w:rPr>
              <w:t>Звільнення за п. 8</w:t>
            </w:r>
            <w:r w:rsidRPr="00BF3489">
              <w:rPr>
                <w:rStyle w:val="a4"/>
                <w:vertAlign w:val="superscript"/>
                <w:lang w:val="uk-UA"/>
              </w:rPr>
              <w:t>3</w:t>
            </w:r>
            <w:r w:rsidRPr="00BF3489">
              <w:rPr>
                <w:rStyle w:val="a4"/>
                <w:lang w:val="uk-UA"/>
              </w:rPr>
              <w:t xml:space="preserve"> ст. 36 КЗпП</w:t>
            </w:r>
          </w:p>
        </w:tc>
      </w:tr>
      <w:tr w:rsidR="000056A2" w:rsidRPr="00BF3489" w14:paraId="01AA53A0" w14:textId="77777777" w:rsidTr="000056A2">
        <w:trPr>
          <w:tblCellSpacing w:w="15" w:type="dxa"/>
        </w:trPr>
        <w:tc>
          <w:tcPr>
            <w:tcW w:w="9675" w:type="dxa"/>
            <w:gridSpan w:val="2"/>
            <w:vAlign w:val="center"/>
            <w:hideMark/>
          </w:tcPr>
          <w:p w14:paraId="31902363" w14:textId="77777777" w:rsidR="000056A2" w:rsidRPr="00BF3489" w:rsidRDefault="000056A2">
            <w:pPr>
              <w:pStyle w:val="a3"/>
              <w:jc w:val="center"/>
              <w:rPr>
                <w:lang w:val="uk-UA"/>
              </w:rPr>
            </w:pPr>
            <w:r w:rsidRPr="00BF3489">
              <w:rPr>
                <w:rStyle w:val="a4"/>
                <w:lang w:val="uk-UA"/>
              </w:rPr>
              <w:t>Умови звільнення</w:t>
            </w:r>
          </w:p>
        </w:tc>
      </w:tr>
      <w:tr w:rsidR="000056A2" w:rsidRPr="00BF3489" w14:paraId="164C0555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7E56DF9D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Працівник відсутній на робочому місці більше трьох годин протягом робочого дня без поважних причин</w:t>
            </w:r>
          </w:p>
        </w:tc>
        <w:tc>
          <w:tcPr>
            <w:tcW w:w="4845" w:type="dxa"/>
            <w:vAlign w:val="center"/>
            <w:hideMark/>
          </w:tcPr>
          <w:p w14:paraId="65CD769B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Відсутність працівника на роботі та інформації про причини такої відсутності понад чотири місяці поспіль</w:t>
            </w:r>
          </w:p>
        </w:tc>
      </w:tr>
      <w:tr w:rsidR="000056A2" w:rsidRPr="00BF3489" w14:paraId="4478DA53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7D754C5E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Працівник відсутній на робочому місці без поважних причин</w:t>
            </w:r>
          </w:p>
        </w:tc>
        <w:tc>
          <w:tcPr>
            <w:tcW w:w="4845" w:type="dxa"/>
            <w:vAlign w:val="center"/>
            <w:hideMark/>
          </w:tcPr>
          <w:p w14:paraId="17FF9EB9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Не відомі причини відсутності працівника, поважність чи неповажність значення не має</w:t>
            </w:r>
          </w:p>
        </w:tc>
      </w:tr>
      <w:tr w:rsidR="000056A2" w:rsidRPr="00BF3489" w14:paraId="3BC705C7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6B5C880D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Підсумовування годин відсутності, в тому числі протягом робочого дня, допускається</w:t>
            </w:r>
          </w:p>
        </w:tc>
        <w:tc>
          <w:tcPr>
            <w:tcW w:w="4845" w:type="dxa"/>
            <w:vAlign w:val="center"/>
            <w:hideMark/>
          </w:tcPr>
          <w:p w14:paraId="57DC5C1F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Не допускається підсумовування місяців відсутності, вони рахуються лише підряд</w:t>
            </w:r>
          </w:p>
        </w:tc>
      </w:tr>
      <w:tr w:rsidR="000056A2" w:rsidRPr="00BF3489" w14:paraId="7D49AB4A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5D356813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На період відсутності (у т. ч. години відсутності) працівника в табелі ставиться відмітка «НЗ»</w:t>
            </w:r>
          </w:p>
        </w:tc>
        <w:tc>
          <w:tcPr>
            <w:tcW w:w="4845" w:type="dxa"/>
            <w:vAlign w:val="center"/>
            <w:hideMark/>
          </w:tcPr>
          <w:p w14:paraId="64E6975D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За всі робочі дні (протягом 4 місяців) ставиться в табелі «НЗ»</w:t>
            </w:r>
          </w:p>
        </w:tc>
      </w:tr>
      <w:tr w:rsidR="000056A2" w:rsidRPr="00BF3489" w14:paraId="26A534A5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0E3D344A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У період воєнного стану звільнення не бажане, але не забороняється</w:t>
            </w:r>
          </w:p>
        </w:tc>
        <w:tc>
          <w:tcPr>
            <w:tcW w:w="4845" w:type="dxa"/>
            <w:vAlign w:val="center"/>
            <w:hideMark/>
          </w:tcPr>
          <w:p w14:paraId="5D0BBED7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У період воєнного стану звільнення допускається</w:t>
            </w:r>
          </w:p>
        </w:tc>
      </w:tr>
      <w:tr w:rsidR="000056A2" w:rsidRPr="00BF3489" w14:paraId="15BDC0FD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2AE15F0E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Грошова компенсація за невикористану відпустку виплачується</w:t>
            </w:r>
          </w:p>
        </w:tc>
        <w:tc>
          <w:tcPr>
            <w:tcW w:w="4845" w:type="dxa"/>
            <w:vAlign w:val="center"/>
            <w:hideMark/>
          </w:tcPr>
          <w:p w14:paraId="23087002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Грошова компенсація за невикористану відпустку виплачується</w:t>
            </w:r>
          </w:p>
        </w:tc>
      </w:tr>
      <w:tr w:rsidR="000056A2" w:rsidRPr="00BF3489" w14:paraId="022C7A0A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2BA16F98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Період відсутності на роботі не зараховується до стажу, що дає право на щорічну відпустку</w:t>
            </w:r>
          </w:p>
        </w:tc>
        <w:tc>
          <w:tcPr>
            <w:tcW w:w="4845" w:type="dxa"/>
            <w:vAlign w:val="center"/>
            <w:hideMark/>
          </w:tcPr>
          <w:p w14:paraId="6B42F135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Період відсутності на роботі не зараховується до стажу, що дає право на щорічну відпустку</w:t>
            </w:r>
          </w:p>
        </w:tc>
      </w:tr>
      <w:tr w:rsidR="000056A2" w:rsidRPr="00BF3489" w14:paraId="1C30D031" w14:textId="77777777" w:rsidTr="000056A2">
        <w:trPr>
          <w:tblCellSpacing w:w="15" w:type="dxa"/>
        </w:trPr>
        <w:tc>
          <w:tcPr>
            <w:tcW w:w="9675" w:type="dxa"/>
            <w:gridSpan w:val="2"/>
            <w:vAlign w:val="center"/>
            <w:hideMark/>
          </w:tcPr>
          <w:p w14:paraId="7F5287CD" w14:textId="77777777" w:rsidR="000056A2" w:rsidRPr="00BF3489" w:rsidRDefault="000056A2">
            <w:pPr>
              <w:pStyle w:val="a3"/>
              <w:jc w:val="center"/>
              <w:rPr>
                <w:lang w:val="uk-UA"/>
              </w:rPr>
            </w:pPr>
            <w:r w:rsidRPr="00BF3489">
              <w:rPr>
                <w:rStyle w:val="a4"/>
                <w:lang w:val="uk-UA"/>
              </w:rPr>
              <w:t>Процедура звільнення</w:t>
            </w:r>
          </w:p>
        </w:tc>
      </w:tr>
      <w:tr w:rsidR="000056A2" w:rsidRPr="00BF3489" w14:paraId="3316EE2B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17AFB701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Звільнення в мирний час відбувається за згодою профспілки, у період дії воєнного стану – допускається без такої згоди</w:t>
            </w:r>
          </w:p>
        </w:tc>
        <w:tc>
          <w:tcPr>
            <w:tcW w:w="4845" w:type="dxa"/>
            <w:vAlign w:val="center"/>
            <w:hideMark/>
          </w:tcPr>
          <w:p w14:paraId="4B0C549D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Звільнення здійснюється без згоди профспілки як у воєнний, так і в мирний час</w:t>
            </w:r>
          </w:p>
        </w:tc>
      </w:tr>
      <w:tr w:rsidR="000056A2" w:rsidRPr="00BF3489" w14:paraId="76058D1D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11BBA703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Потрібно зажадати пояснення від працівника</w:t>
            </w:r>
          </w:p>
        </w:tc>
        <w:tc>
          <w:tcPr>
            <w:tcW w:w="4845" w:type="dxa"/>
            <w:vAlign w:val="center"/>
            <w:hideMark/>
          </w:tcPr>
          <w:p w14:paraId="6702EB30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Пояснення не потрібні</w:t>
            </w:r>
          </w:p>
        </w:tc>
      </w:tr>
      <w:tr w:rsidR="000056A2" w:rsidRPr="00BF3489" w14:paraId="49755525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4E039B54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Звільнення чітко заборонено під час відпустки та тимчасової непрацездатності</w:t>
            </w:r>
          </w:p>
        </w:tc>
        <w:tc>
          <w:tcPr>
            <w:tcW w:w="4845" w:type="dxa"/>
            <w:vAlign w:val="center"/>
            <w:hideMark/>
          </w:tcPr>
          <w:p w14:paraId="7B6AC0DA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Звільнення неможливе під час відпустки та тимчасової непрацездатності, засвідченої листком непрацездатності</w:t>
            </w:r>
          </w:p>
        </w:tc>
      </w:tr>
      <w:tr w:rsidR="000056A2" w:rsidRPr="00BF3489" w14:paraId="5775CC27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3550404A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Не допускається звільнення працівників захищених категорій (ст. 184 та 186</w:t>
            </w:r>
            <w:r w:rsidRPr="00BF3489">
              <w:rPr>
                <w:vertAlign w:val="superscript"/>
                <w:lang w:val="uk-UA"/>
              </w:rPr>
              <w:t>1</w:t>
            </w:r>
            <w:r w:rsidRPr="00BF3489">
              <w:rPr>
                <w:lang w:val="uk-UA"/>
              </w:rPr>
              <w:t xml:space="preserve"> КЗпП)</w:t>
            </w:r>
          </w:p>
        </w:tc>
        <w:tc>
          <w:tcPr>
            <w:tcW w:w="4845" w:type="dxa"/>
            <w:vAlign w:val="center"/>
            <w:hideMark/>
          </w:tcPr>
          <w:p w14:paraId="62BF142C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Допускається звільнення працівників захищених категорій (ст. 184 та 186</w:t>
            </w:r>
            <w:r w:rsidRPr="00BF3489">
              <w:rPr>
                <w:vertAlign w:val="superscript"/>
                <w:lang w:val="uk-UA"/>
              </w:rPr>
              <w:t>1</w:t>
            </w:r>
            <w:r w:rsidRPr="00BF3489">
              <w:rPr>
                <w:lang w:val="uk-UA"/>
              </w:rPr>
              <w:t xml:space="preserve"> КЗпП)</w:t>
            </w:r>
          </w:p>
        </w:tc>
      </w:tr>
      <w:tr w:rsidR="000056A2" w:rsidRPr="00BF3489" w14:paraId="1944FD26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5D25CAC9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Необхідно скласти акт про відсутність на робочому місці</w:t>
            </w:r>
          </w:p>
        </w:tc>
        <w:tc>
          <w:tcPr>
            <w:tcW w:w="4845" w:type="dxa"/>
            <w:vAlign w:val="center"/>
            <w:hideMark/>
          </w:tcPr>
          <w:p w14:paraId="0DE159F6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 Відсутність необхідно фіксувати в табелі обліку як «НЗ», бажано скласти акт про відсутність працівника або доповідну записку</w:t>
            </w:r>
          </w:p>
        </w:tc>
      </w:tr>
      <w:tr w:rsidR="000056A2" w:rsidRPr="00BF3489" w14:paraId="3AD3E7E1" w14:textId="77777777" w:rsidTr="000056A2">
        <w:trPr>
          <w:tblCellSpacing w:w="15" w:type="dxa"/>
        </w:trPr>
        <w:tc>
          <w:tcPr>
            <w:tcW w:w="4845" w:type="dxa"/>
            <w:vAlign w:val="center"/>
            <w:hideMark/>
          </w:tcPr>
          <w:p w14:paraId="06B058ED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Звільнити можна не пізніше одного місяця з моменту виявлення прогулу й не пізніше шести місяців з моменту його вчинення</w:t>
            </w:r>
          </w:p>
        </w:tc>
        <w:tc>
          <w:tcPr>
            <w:tcW w:w="4845" w:type="dxa"/>
            <w:vAlign w:val="center"/>
            <w:hideMark/>
          </w:tcPr>
          <w:p w14:paraId="36501F77" w14:textId="77777777" w:rsidR="000056A2" w:rsidRPr="00BF3489" w:rsidRDefault="000056A2">
            <w:pPr>
              <w:pStyle w:val="a3"/>
              <w:rPr>
                <w:lang w:val="uk-UA"/>
              </w:rPr>
            </w:pPr>
            <w:r w:rsidRPr="00BF3489">
              <w:rPr>
                <w:lang w:val="uk-UA"/>
              </w:rPr>
              <w:t>Звільнення раніше чотирьох місяців не допускається, максимальний термін не обмежено</w:t>
            </w:r>
          </w:p>
        </w:tc>
      </w:tr>
    </w:tbl>
    <w:p w14:paraId="1D006A8C" w14:textId="45388B83" w:rsidR="00200B02" w:rsidRPr="00BF3489" w:rsidRDefault="00200B02" w:rsidP="00A42265"/>
    <w:sectPr w:rsidR="00200B02" w:rsidRPr="00BF3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E768" w14:textId="77777777" w:rsidR="00FF7775" w:rsidRDefault="00FF7775" w:rsidP="00B0602B">
      <w:r>
        <w:separator/>
      </w:r>
    </w:p>
  </w:endnote>
  <w:endnote w:type="continuationSeparator" w:id="0">
    <w:p w14:paraId="6EBE5980" w14:textId="77777777" w:rsidR="00FF7775" w:rsidRDefault="00FF7775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17F2" w14:textId="77777777" w:rsidR="00FF7775" w:rsidRDefault="00FF7775" w:rsidP="00B0602B">
      <w:r>
        <w:separator/>
      </w:r>
    </w:p>
  </w:footnote>
  <w:footnote w:type="continuationSeparator" w:id="0">
    <w:p w14:paraId="53B2F97A" w14:textId="77777777" w:rsidR="00FF7775" w:rsidRDefault="00FF7775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56A2"/>
    <w:rsid w:val="0001181A"/>
    <w:rsid w:val="00081A19"/>
    <w:rsid w:val="000953CA"/>
    <w:rsid w:val="001167CE"/>
    <w:rsid w:val="0012143E"/>
    <w:rsid w:val="001214D3"/>
    <w:rsid w:val="001B3FC9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2A45"/>
    <w:rsid w:val="004F3E82"/>
    <w:rsid w:val="00557F6A"/>
    <w:rsid w:val="00595B66"/>
    <w:rsid w:val="00633722"/>
    <w:rsid w:val="00634739"/>
    <w:rsid w:val="006B0635"/>
    <w:rsid w:val="007167EA"/>
    <w:rsid w:val="007505FE"/>
    <w:rsid w:val="00752ECB"/>
    <w:rsid w:val="0075331D"/>
    <w:rsid w:val="007E64CA"/>
    <w:rsid w:val="007F713E"/>
    <w:rsid w:val="007F798A"/>
    <w:rsid w:val="0080267F"/>
    <w:rsid w:val="00853166"/>
    <w:rsid w:val="008E3C0F"/>
    <w:rsid w:val="00915131"/>
    <w:rsid w:val="00927488"/>
    <w:rsid w:val="009936CC"/>
    <w:rsid w:val="009954D3"/>
    <w:rsid w:val="009A107D"/>
    <w:rsid w:val="009C2E08"/>
    <w:rsid w:val="009E4EDC"/>
    <w:rsid w:val="00A42265"/>
    <w:rsid w:val="00A505F7"/>
    <w:rsid w:val="00A61F2E"/>
    <w:rsid w:val="00A736E6"/>
    <w:rsid w:val="00AF2AFA"/>
    <w:rsid w:val="00AF3BED"/>
    <w:rsid w:val="00AF6CE3"/>
    <w:rsid w:val="00B0602B"/>
    <w:rsid w:val="00B36491"/>
    <w:rsid w:val="00B41132"/>
    <w:rsid w:val="00B8595A"/>
    <w:rsid w:val="00B94E1F"/>
    <w:rsid w:val="00B96D70"/>
    <w:rsid w:val="00BC3D50"/>
    <w:rsid w:val="00BF3489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01AB"/>
    <w:rsid w:val="00F35915"/>
    <w:rsid w:val="00F41ACC"/>
    <w:rsid w:val="00F61CF3"/>
    <w:rsid w:val="00F77185"/>
    <w:rsid w:val="00F9172D"/>
    <w:rsid w:val="00FC6C3A"/>
    <w:rsid w:val="00FE2938"/>
    <w:rsid w:val="00FE65A0"/>
    <w:rsid w:val="00FF7775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2023-05-25T18:06:00Z</dcterms:created>
  <dcterms:modified xsi:type="dcterms:W3CDTF">2023-05-25T18:06:00Z</dcterms:modified>
</cp:coreProperties>
</file>