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C8E8" w14:textId="77777777" w:rsidR="00F77185" w:rsidRPr="00F301AB" w:rsidRDefault="00F77185" w:rsidP="00F77185">
      <w:pPr>
        <w:rPr>
          <w:sz w:val="24"/>
          <w:szCs w:val="24"/>
          <w:lang w:val="ru-RU"/>
        </w:rPr>
      </w:pPr>
      <w:r w:rsidRPr="00F301AB">
        <w:rPr>
          <w:rStyle w:val="a4"/>
          <w:b w:val="0"/>
          <w:bCs w:val="0"/>
          <w:sz w:val="24"/>
          <w:szCs w:val="24"/>
          <w:lang w:val="ru-RU"/>
        </w:rPr>
        <w:t>Таблица. Минимальные сроки хранения документов согласно НК</w:t>
      </w:r>
    </w:p>
    <w:p w14:paraId="720D3C01" w14:textId="77777777" w:rsidR="00F77185" w:rsidRPr="00F301AB" w:rsidRDefault="00F77185" w:rsidP="00F77185">
      <w:pPr>
        <w:pStyle w:val="a3"/>
        <w:jc w:val="right"/>
      </w:pPr>
      <w:r w:rsidRPr="00F301AB">
        <w:rPr>
          <w:rStyle w:val="a4"/>
        </w:rPr>
        <w:t> (дней)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6"/>
        <w:gridCol w:w="1763"/>
        <w:gridCol w:w="1787"/>
      </w:tblGrid>
      <w:tr w:rsidR="00F77185" w:rsidRPr="00F301AB" w14:paraId="718966B4" w14:textId="77777777" w:rsidTr="00915118">
        <w:trPr>
          <w:tblCellSpacing w:w="15" w:type="dxa"/>
        </w:trPr>
        <w:tc>
          <w:tcPr>
            <w:tcW w:w="5842" w:type="dxa"/>
            <w:vMerge w:val="restart"/>
            <w:vAlign w:val="center"/>
            <w:hideMark/>
          </w:tcPr>
          <w:p w14:paraId="00C3D666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>Виды документов и случаи</w:t>
            </w:r>
          </w:p>
        </w:tc>
        <w:tc>
          <w:tcPr>
            <w:tcW w:w="3504" w:type="dxa"/>
            <w:gridSpan w:val="2"/>
            <w:vAlign w:val="center"/>
            <w:hideMark/>
          </w:tcPr>
          <w:p w14:paraId="7404A70C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>Минимальный срок хранения</w:t>
            </w:r>
          </w:p>
        </w:tc>
      </w:tr>
      <w:tr w:rsidR="00F77185" w:rsidRPr="00F301AB" w14:paraId="717B3A5A" w14:textId="77777777" w:rsidTr="009151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35E99F" w14:textId="77777777" w:rsidR="00F77185" w:rsidRPr="00F301AB" w:rsidRDefault="00F77185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  <w:hideMark/>
          </w:tcPr>
          <w:p w14:paraId="125057B3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>Было</w:t>
            </w:r>
          </w:p>
        </w:tc>
        <w:tc>
          <w:tcPr>
            <w:tcW w:w="1742" w:type="dxa"/>
            <w:vAlign w:val="center"/>
            <w:hideMark/>
          </w:tcPr>
          <w:p w14:paraId="2F4126D3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>Стало</w:t>
            </w:r>
          </w:p>
        </w:tc>
      </w:tr>
      <w:tr w:rsidR="00F77185" w:rsidRPr="00F301AB" w14:paraId="0C4D43CB" w14:textId="77777777" w:rsidTr="00915118">
        <w:trPr>
          <w:tblCellSpacing w:w="15" w:type="dxa"/>
        </w:trPr>
        <w:tc>
          <w:tcPr>
            <w:tcW w:w="5842" w:type="dxa"/>
            <w:vAlign w:val="center"/>
            <w:hideMark/>
          </w:tcPr>
          <w:p w14:paraId="1F7A7666" w14:textId="77777777" w:rsidR="00F77185" w:rsidRPr="00F301AB" w:rsidRDefault="00F77185">
            <w:pPr>
              <w:pStyle w:val="a3"/>
            </w:pPr>
            <w:r w:rsidRPr="00F301AB">
              <w:t>Для документов и информации, необходимых для осуществления налогового контроля в соответствии со ст. 39 и 39</w:t>
            </w:r>
            <w:r w:rsidRPr="00F301AB">
              <w:rPr>
                <w:vertAlign w:val="superscript"/>
              </w:rPr>
              <w:t>2</w:t>
            </w:r>
            <w:r w:rsidRPr="00F301AB">
              <w:t xml:space="preserve"> НК (т. е. для трансфертного ценообразования и КИК) (</w:t>
            </w:r>
            <w:proofErr w:type="spellStart"/>
            <w:r w:rsidRPr="00F301AB">
              <w:t>пп</w:t>
            </w:r>
            <w:proofErr w:type="spellEnd"/>
            <w:r w:rsidRPr="00F301AB">
              <w:t>. 44.3.1 НК)</w:t>
            </w:r>
          </w:p>
        </w:tc>
        <w:tc>
          <w:tcPr>
            <w:tcW w:w="1733" w:type="dxa"/>
            <w:vAlign w:val="center"/>
            <w:hideMark/>
          </w:tcPr>
          <w:p w14:paraId="381CE984" w14:textId="77777777" w:rsidR="00F77185" w:rsidRPr="00F301AB" w:rsidRDefault="00F77185">
            <w:pPr>
              <w:pStyle w:val="a3"/>
              <w:jc w:val="center"/>
            </w:pPr>
            <w:r w:rsidRPr="00F301AB">
              <w:t>2 555</w:t>
            </w:r>
          </w:p>
        </w:tc>
        <w:tc>
          <w:tcPr>
            <w:tcW w:w="1741" w:type="dxa"/>
            <w:vAlign w:val="center"/>
            <w:hideMark/>
          </w:tcPr>
          <w:p w14:paraId="48374B36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 xml:space="preserve">2 555 </w:t>
            </w:r>
          </w:p>
        </w:tc>
      </w:tr>
      <w:tr w:rsidR="00F77185" w:rsidRPr="00F301AB" w14:paraId="2910FE6C" w14:textId="77777777" w:rsidTr="00915118">
        <w:trPr>
          <w:tblCellSpacing w:w="15" w:type="dxa"/>
        </w:trPr>
        <w:tc>
          <w:tcPr>
            <w:tcW w:w="5842" w:type="dxa"/>
            <w:vAlign w:val="center"/>
            <w:hideMark/>
          </w:tcPr>
          <w:p w14:paraId="0B2E68D0" w14:textId="77777777" w:rsidR="00F77185" w:rsidRPr="00F301AB" w:rsidRDefault="00F77185">
            <w:pPr>
              <w:pStyle w:val="a3"/>
            </w:pPr>
            <w:r w:rsidRPr="00F301AB">
              <w:t xml:space="preserve">Для первичных документов, регистров бухгалтерского учета, финансовой отчетности, других документов, связанных с исчислением и уплатой налогов и сборов, ведение которых предусмотрено законодательством, которые составляются лицами, определенными п. 133.1, </w:t>
            </w:r>
            <w:proofErr w:type="spellStart"/>
            <w:r w:rsidRPr="00F301AB">
              <w:t>пп</w:t>
            </w:r>
            <w:proofErr w:type="spellEnd"/>
            <w:r w:rsidRPr="00F301AB">
              <w:t xml:space="preserve">. 133.2.2 и п. 133.4 НК, а также юридическими лицами, которые выбрали упрощенную систему налогообложения, за исключением документов, к которым применяется более длительный срок хранения согласно </w:t>
            </w:r>
            <w:proofErr w:type="spellStart"/>
            <w:r w:rsidRPr="00F301AB">
              <w:t>пп</w:t>
            </w:r>
            <w:proofErr w:type="spellEnd"/>
            <w:r w:rsidRPr="00F301AB">
              <w:t>. 44.3.1 НК (т. е. кроме документов трансфертных и КИК – у них срок больше) (</w:t>
            </w:r>
            <w:proofErr w:type="spellStart"/>
            <w:r w:rsidRPr="00F301AB">
              <w:t>пп</w:t>
            </w:r>
            <w:proofErr w:type="spellEnd"/>
            <w:r w:rsidRPr="00F301AB">
              <w:t>. 44.3.2 НК)</w:t>
            </w:r>
          </w:p>
        </w:tc>
        <w:tc>
          <w:tcPr>
            <w:tcW w:w="1733" w:type="dxa"/>
            <w:vAlign w:val="center"/>
            <w:hideMark/>
          </w:tcPr>
          <w:p w14:paraId="0E77B188" w14:textId="77777777" w:rsidR="00F77185" w:rsidRPr="00F301AB" w:rsidRDefault="00F77185">
            <w:pPr>
              <w:pStyle w:val="a3"/>
              <w:jc w:val="center"/>
            </w:pPr>
            <w:r w:rsidRPr="00F301AB">
              <w:t>1 095</w:t>
            </w:r>
          </w:p>
        </w:tc>
        <w:tc>
          <w:tcPr>
            <w:tcW w:w="1741" w:type="dxa"/>
            <w:vAlign w:val="center"/>
            <w:hideMark/>
          </w:tcPr>
          <w:p w14:paraId="20E26A34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 xml:space="preserve">1 825 </w:t>
            </w:r>
          </w:p>
        </w:tc>
      </w:tr>
      <w:tr w:rsidR="00F77185" w:rsidRPr="00F301AB" w14:paraId="5CC58DD8" w14:textId="77777777" w:rsidTr="00915118">
        <w:trPr>
          <w:tblCellSpacing w:w="15" w:type="dxa"/>
        </w:trPr>
        <w:tc>
          <w:tcPr>
            <w:tcW w:w="5842" w:type="dxa"/>
            <w:vAlign w:val="center"/>
            <w:hideMark/>
          </w:tcPr>
          <w:p w14:paraId="0BFD2B30" w14:textId="77777777" w:rsidR="00F77185" w:rsidRPr="00F301AB" w:rsidRDefault="00F77185">
            <w:pPr>
              <w:pStyle w:val="a3"/>
            </w:pPr>
            <w:r w:rsidRPr="00F301AB">
              <w:t>Для других документов, на которые не распространяются требования подпунктов 44.3.1 и 44.3.2 НК (</w:t>
            </w:r>
            <w:proofErr w:type="spellStart"/>
            <w:r w:rsidRPr="00F301AB">
              <w:t>пп</w:t>
            </w:r>
            <w:proofErr w:type="spellEnd"/>
            <w:r w:rsidRPr="00F301AB">
              <w:t>. 44.3.3 НК)</w:t>
            </w:r>
          </w:p>
        </w:tc>
        <w:tc>
          <w:tcPr>
            <w:tcW w:w="1733" w:type="dxa"/>
            <w:vAlign w:val="center"/>
            <w:hideMark/>
          </w:tcPr>
          <w:p w14:paraId="0A6E7B86" w14:textId="77777777" w:rsidR="00F77185" w:rsidRPr="00F301AB" w:rsidRDefault="00F77185">
            <w:pPr>
              <w:pStyle w:val="a3"/>
              <w:jc w:val="center"/>
            </w:pPr>
            <w:r w:rsidRPr="00F301AB">
              <w:t>1 095</w:t>
            </w:r>
          </w:p>
        </w:tc>
        <w:tc>
          <w:tcPr>
            <w:tcW w:w="1741" w:type="dxa"/>
            <w:vAlign w:val="center"/>
            <w:hideMark/>
          </w:tcPr>
          <w:p w14:paraId="4B85882A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 xml:space="preserve">1 095 </w:t>
            </w:r>
          </w:p>
        </w:tc>
      </w:tr>
      <w:tr w:rsidR="00F77185" w:rsidRPr="00F301AB" w14:paraId="2349F8CD" w14:textId="77777777" w:rsidTr="00915118">
        <w:trPr>
          <w:tblCellSpacing w:w="15" w:type="dxa"/>
        </w:trPr>
        <w:tc>
          <w:tcPr>
            <w:tcW w:w="5842" w:type="dxa"/>
            <w:vAlign w:val="center"/>
            <w:hideMark/>
          </w:tcPr>
          <w:p w14:paraId="21DF8876" w14:textId="77777777" w:rsidR="00F77185" w:rsidRPr="00F301AB" w:rsidRDefault="00F77185">
            <w:pPr>
              <w:pStyle w:val="a3"/>
            </w:pPr>
            <w:r w:rsidRPr="00F301AB">
              <w:t>Для документов, связанных с выполнением требований другого законодательства, контроль за соблюдением которого возложен на контролирующие органы, включая разрешительные документы (</w:t>
            </w:r>
            <w:proofErr w:type="spellStart"/>
            <w:r w:rsidRPr="00F301AB">
              <w:t>пп</w:t>
            </w:r>
            <w:proofErr w:type="spellEnd"/>
            <w:r w:rsidRPr="00F301AB">
              <w:t>. 44.3.4 НК)</w:t>
            </w:r>
          </w:p>
        </w:tc>
        <w:tc>
          <w:tcPr>
            <w:tcW w:w="1733" w:type="dxa"/>
            <w:vAlign w:val="center"/>
            <w:hideMark/>
          </w:tcPr>
          <w:p w14:paraId="1782ED6A" w14:textId="77777777" w:rsidR="00F77185" w:rsidRPr="00F301AB" w:rsidRDefault="00F77185">
            <w:pPr>
              <w:pStyle w:val="a3"/>
              <w:jc w:val="center"/>
            </w:pPr>
            <w:r w:rsidRPr="00F301AB">
              <w:t>1 095</w:t>
            </w:r>
          </w:p>
        </w:tc>
        <w:tc>
          <w:tcPr>
            <w:tcW w:w="1741" w:type="dxa"/>
            <w:vAlign w:val="center"/>
            <w:hideMark/>
          </w:tcPr>
          <w:p w14:paraId="14DAA71E" w14:textId="77777777" w:rsidR="00F77185" w:rsidRPr="00F301AB" w:rsidRDefault="00F77185">
            <w:pPr>
              <w:pStyle w:val="a3"/>
              <w:jc w:val="center"/>
            </w:pPr>
            <w:r w:rsidRPr="00F301AB">
              <w:rPr>
                <w:rStyle w:val="a4"/>
              </w:rPr>
              <w:t xml:space="preserve">1 095 </w:t>
            </w:r>
          </w:p>
        </w:tc>
      </w:tr>
      <w:tr w:rsidR="00F77185" w:rsidRPr="00F301AB" w14:paraId="20C40EA4" w14:textId="77777777" w:rsidTr="00915118">
        <w:trPr>
          <w:tblCellSpacing w:w="15" w:type="dxa"/>
        </w:trPr>
        <w:tc>
          <w:tcPr>
            <w:tcW w:w="5842" w:type="dxa"/>
            <w:vAlign w:val="center"/>
            <w:hideMark/>
          </w:tcPr>
          <w:p w14:paraId="67DA8E36" w14:textId="77777777" w:rsidR="00F77185" w:rsidRPr="00F301AB" w:rsidRDefault="00F77185">
            <w:pPr>
              <w:pStyle w:val="a3"/>
            </w:pPr>
            <w:r w:rsidRPr="00F301AB">
              <w:t xml:space="preserve">В случае ликвидации налогоплательщика передаются в архив в установленном законодательством порядке документы, определенные п. 44.1 ПК, </w:t>
            </w:r>
            <w:r w:rsidRPr="00F301AB">
              <w:rPr>
                <w:rStyle w:val="a4"/>
              </w:rPr>
              <w:t>за период</w:t>
            </w:r>
            <w:r w:rsidRPr="00F301AB">
              <w:t xml:space="preserve"> </w:t>
            </w:r>
            <w:r w:rsidRPr="00F301AB">
              <w:rPr>
                <w:rStyle w:val="a4"/>
              </w:rPr>
              <w:t>деятельности налогоплательщика</w:t>
            </w:r>
            <w:r w:rsidRPr="00F301AB">
              <w:t xml:space="preserve"> (отсчет – по дату, предшествующую дате ликвидации):</w:t>
            </w:r>
          </w:p>
          <w:p w14:paraId="468EA13B" w14:textId="77777777" w:rsidR="00F77185" w:rsidRPr="00F301AB" w:rsidRDefault="00F77185">
            <w:pPr>
              <w:pStyle w:val="a3"/>
            </w:pPr>
            <w:r w:rsidRPr="00F301AB">
              <w:t>– для документов и информации, необходимых для осуществления налогового контроля в соответствии со ст. 39 и ст. 39-2 НК (трансферное ценообразование и КИК);</w:t>
            </w:r>
          </w:p>
        </w:tc>
        <w:tc>
          <w:tcPr>
            <w:tcW w:w="1733" w:type="dxa"/>
            <w:vAlign w:val="center"/>
            <w:hideMark/>
          </w:tcPr>
          <w:p w14:paraId="68CC38AF" w14:textId="77777777" w:rsidR="00F77185" w:rsidRPr="00F301AB" w:rsidRDefault="00F77185">
            <w:pPr>
              <w:pStyle w:val="a3"/>
              <w:jc w:val="center"/>
            </w:pPr>
            <w:r w:rsidRPr="00F301AB">
              <w:t>2 555</w:t>
            </w:r>
          </w:p>
        </w:tc>
        <w:tc>
          <w:tcPr>
            <w:tcW w:w="1741" w:type="dxa"/>
            <w:vAlign w:val="center"/>
            <w:hideMark/>
          </w:tcPr>
          <w:p w14:paraId="7DA7931F" w14:textId="77777777" w:rsidR="00F77185" w:rsidRPr="00F301AB" w:rsidRDefault="00F77185">
            <w:pPr>
              <w:pStyle w:val="a3"/>
              <w:jc w:val="center"/>
            </w:pPr>
            <w:r w:rsidRPr="00F301AB">
              <w:t>2 555</w:t>
            </w:r>
          </w:p>
        </w:tc>
      </w:tr>
      <w:tr w:rsidR="00F77185" w:rsidRPr="00F301AB" w14:paraId="73FEC28C" w14:textId="77777777" w:rsidTr="00915118">
        <w:trPr>
          <w:tblCellSpacing w:w="15" w:type="dxa"/>
        </w:trPr>
        <w:tc>
          <w:tcPr>
            <w:tcW w:w="5842" w:type="dxa"/>
            <w:vAlign w:val="center"/>
            <w:hideMark/>
          </w:tcPr>
          <w:p w14:paraId="1C725F28" w14:textId="77777777" w:rsidR="00F77185" w:rsidRPr="00F301AB" w:rsidRDefault="00F77185">
            <w:pPr>
              <w:pStyle w:val="a3"/>
            </w:pPr>
            <w:r w:rsidRPr="00F301AB">
              <w:t>– для прочих документов</w:t>
            </w:r>
          </w:p>
        </w:tc>
        <w:tc>
          <w:tcPr>
            <w:tcW w:w="1733" w:type="dxa"/>
            <w:vAlign w:val="center"/>
            <w:hideMark/>
          </w:tcPr>
          <w:p w14:paraId="6AB93022" w14:textId="77777777" w:rsidR="00F77185" w:rsidRPr="00F301AB" w:rsidRDefault="00F77185">
            <w:pPr>
              <w:pStyle w:val="a3"/>
              <w:jc w:val="center"/>
            </w:pPr>
            <w:r w:rsidRPr="00F301AB">
              <w:t>1 095</w:t>
            </w:r>
          </w:p>
        </w:tc>
        <w:tc>
          <w:tcPr>
            <w:tcW w:w="1741" w:type="dxa"/>
            <w:vAlign w:val="center"/>
            <w:hideMark/>
          </w:tcPr>
          <w:p w14:paraId="5D7887CE" w14:textId="77777777" w:rsidR="00F77185" w:rsidRPr="00F301AB" w:rsidRDefault="00F77185">
            <w:pPr>
              <w:pStyle w:val="a3"/>
              <w:jc w:val="center"/>
            </w:pPr>
            <w:r w:rsidRPr="00F301AB">
              <w:t>1 825</w:t>
            </w:r>
          </w:p>
        </w:tc>
      </w:tr>
    </w:tbl>
    <w:p w14:paraId="1D006A8C" w14:textId="78C9FE43" w:rsidR="00200B02" w:rsidRPr="00F301AB" w:rsidRDefault="00200B02" w:rsidP="00F77185">
      <w:pPr>
        <w:rPr>
          <w:sz w:val="24"/>
          <w:szCs w:val="24"/>
        </w:rPr>
      </w:pPr>
    </w:p>
    <w:sectPr w:rsidR="00200B02" w:rsidRPr="00F30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465C" w14:textId="77777777" w:rsidR="00971EC7" w:rsidRDefault="00971EC7" w:rsidP="00B0602B">
      <w:r>
        <w:separator/>
      </w:r>
    </w:p>
  </w:endnote>
  <w:endnote w:type="continuationSeparator" w:id="0">
    <w:p w14:paraId="3DD0E925" w14:textId="77777777" w:rsidR="00971EC7" w:rsidRDefault="00971EC7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573E" w14:textId="77777777" w:rsidR="00971EC7" w:rsidRDefault="00971EC7" w:rsidP="00B0602B">
      <w:r>
        <w:separator/>
      </w:r>
    </w:p>
  </w:footnote>
  <w:footnote w:type="continuationSeparator" w:id="0">
    <w:p w14:paraId="51BD29D1" w14:textId="77777777" w:rsidR="00971EC7" w:rsidRDefault="00971EC7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F713E"/>
    <w:rsid w:val="007F798A"/>
    <w:rsid w:val="0080267F"/>
    <w:rsid w:val="008E3C0F"/>
    <w:rsid w:val="00915118"/>
    <w:rsid w:val="00915131"/>
    <w:rsid w:val="00971EC7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5</cp:revision>
  <dcterms:created xsi:type="dcterms:W3CDTF">2023-05-12T17:22:00Z</dcterms:created>
  <dcterms:modified xsi:type="dcterms:W3CDTF">2023-05-23T08:23:00Z</dcterms:modified>
</cp:coreProperties>
</file>