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AC" w:rsidRPr="00EB2CAC" w:rsidRDefault="00EB2CAC" w:rsidP="00EB2C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bookmarkStart w:id="0" w:name="_GoBack"/>
      <w:r w:rsidRPr="00EB2CA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Рекомендації</w:t>
      </w:r>
    </w:p>
    <w:p w:rsidR="00EB2CAC" w:rsidRPr="00EB2CAC" w:rsidRDefault="00EB2CAC" w:rsidP="00EB2C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EB2CA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щодо співставлення статей балансу і субрахунків бухгалтерського обліку</w:t>
      </w:r>
    </w:p>
    <w:p w:rsidR="00EB2CAC" w:rsidRPr="00EB2CAC" w:rsidRDefault="00EB2CAC" w:rsidP="00EB2C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EB2CA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розпорядників бюджетних коштів</w:t>
      </w:r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851"/>
        <w:gridCol w:w="2796"/>
        <w:gridCol w:w="1138"/>
        <w:gridCol w:w="45"/>
        <w:gridCol w:w="698"/>
      </w:tblGrid>
      <w:tr w:rsidR="00EB2CAC" w:rsidRPr="00EB2CAC" w:rsidTr="00693E38">
        <w:tc>
          <w:tcPr>
            <w:tcW w:w="77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" w:type="dxa"/>
            <w:tcBorders>
              <w:bottom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B2CAC" w:rsidRPr="00EB2CAC" w:rsidTr="00693E38">
        <w:trPr>
          <w:trHeight w:val="8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АКТИВ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Код рядка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91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Рахунки Плану рахунків бухгалтерського обліку в державному секторі</w:t>
            </w:r>
          </w:p>
        </w:tc>
      </w:tr>
      <w:tr w:rsidR="00EB2CAC" w:rsidRPr="00EB2CAC" w:rsidTr="00693E3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3</w:t>
            </w:r>
          </w:p>
        </w:tc>
      </w:tr>
      <w:tr w:rsidR="00EB2CAC" w:rsidRPr="00EB2CAC" w:rsidTr="00693E38">
        <w:trPr>
          <w:trHeight w:val="27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І. НЕФІНАНСОВІ АКТИВИ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Основні засоби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1000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AB72A0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10 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«Основні засоби»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(крім інвестиційної нерухомості) - 1411 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«Знос основних засобів»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+ 11 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 необоротні матеріальні активи»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- 1412 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Знос інших н</w:t>
            </w:r>
            <w:r w:rsidR="00AB72A0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еоборотних матеріальних активів»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первісна вартість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1001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10 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«Основні засоби»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(крім інвестиційної нерухомості) 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+ 11 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 необоротні матеріальні активи»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знос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1002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1411 «Знос основних засобів» + 1412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Знос інших н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еоборотних матеріальних активів»</w:t>
            </w:r>
          </w:p>
        </w:tc>
      </w:tr>
      <w:tr w:rsidR="00EB2CAC" w:rsidRPr="00EB2CAC" w:rsidTr="00EB2CAC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Інвестиційна нерухомість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1010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1010 «Інвестиційна нерухомість» - 1414 «Знос інвестиційної нерухомості»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первісна вартість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1011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1010 «Інвестиційна нерухомість»</w:t>
            </w:r>
          </w:p>
        </w:tc>
      </w:tr>
      <w:tr w:rsidR="00EB2CAC" w:rsidRPr="00EB2CAC" w:rsidTr="00EB2CAC">
        <w:trPr>
          <w:trHeight w:val="6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знос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1012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1414 «Знос інвестиційної нерухомості»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Нематеріальні активи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1020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12 «Нематеріальні активи» - 1413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Накопичена амо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ртизація нематеріальних активів»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первісна вартість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1021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12 «Нематеріальні активи»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накопичена амортизація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1022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1413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Накопичена амо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ртизація нематеріальних активів»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Незавершені капітальні інвестиції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1030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13 «Капітальні інвестиції»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біологічні активи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1040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1711 «Довгострокові біологічні активи рослинництва» + 1712  </w:t>
            </w:r>
            <w:r w:rsidR="00C136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Довгострокові</w:t>
            </w:r>
            <w:r w:rsidR="00C136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біологічні активи тваринництва» - 1415  «</w:t>
            </w: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Накопичена амортизація дов</w:t>
            </w:r>
            <w:r w:rsidR="00C136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гострокових біологічних активів»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первісна вартість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1041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1711 «Довгострокові біологічні активи рослинництва» + 1712  </w:t>
            </w:r>
            <w:r w:rsidR="00C136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«</w:t>
            </w:r>
            <w:r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Довгострокові</w:t>
            </w:r>
            <w:r w:rsidR="00C136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біологічні активи тваринництва»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знос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1042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snapToGrid w:val="0"/>
              <w:spacing w:after="0" w:line="240" w:lineRule="auto"/>
              <w:ind w:left="105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1415  «</w:t>
            </w:r>
            <w:r w:rsidR="00EB2CAC" w:rsidRPr="00EB2C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Накопичена амортизація 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гострокових біологічних активів»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Запаси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1050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15 «Виробничі запаси»+1812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Малоці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нні та швидкозношувані предмети»+1811 «Готова продукція»+1814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Державн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 матеріальні резерви та запаси» + 1815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Активи для розподілу,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передачі, продажу» + 1816 «Інші нефінансові активи «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Виробництво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1060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16 “Виробництво”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Поточні біологічні активи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1090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1713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Поточні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біологічні активи рослинництва»  + 1714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Поточні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біологічні активи тваринництва»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142"/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Усього за розділом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1095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12" w:right="141" w:firstLine="24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12" w:right="-15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II. ФІНАНСОВІ АКТИВИ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 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Довгострокова дебіторська заборгованість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1100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2011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Довгострокова дебіторська заборг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ованість за операціями з оренди» + 2012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кредити, надані з бюд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жету державного цільового фонду» + 2013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Інша довгострокова дебіторська забор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гованість»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фінансові інвестиції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1110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2511 «Придбані акції» + 2512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фінансові інвест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иції в цінні папери, крім акцій» + 2513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фінансові і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нвестиції в капітал підприємств»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+ 2514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«Довгострокові векселі одержані»</w:t>
            </w:r>
          </w:p>
        </w:tc>
      </w:tr>
      <w:tr w:rsidR="00EB2CAC" w:rsidRPr="00EB2CAC" w:rsidTr="00EB2CAC">
        <w:trPr>
          <w:trHeight w:val="6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чна дебіторська заборгованість: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за розрахунками з 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бюджетом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1120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2110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Дебіторська заборговані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сть за розрахунками з бюджетом»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за розрахунками за товари, роботи, послуги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1125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2111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Поточна дебіторська заборгованість за розрахунками за товари, роботи,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послуги»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за наданими кредитами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1030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Дебіторська заборгованість за короткостроковими кредитами, наданими р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озпорядниками бюджетних коштів»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за виданими авансами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1135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Розрахунки за авансами, 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виданими постачальникам, підрядникам за товари, роботи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і послуги» + 2116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Дебіторська заборгованість за роз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рахунками з підзвітними особами»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за розрахунками із соціального страхування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1140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2114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Дебіторська заборгованість за розрахун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ками із соціального страхування»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за внутрішніми розрахунками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1145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2711 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Дебіторська заборговані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сть за внутрішніми розрахунками»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інша поточна дебіторська заборгованість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1150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 w:firstLine="15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2115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Розрахунки з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відшкодування завданих збитків» + 2117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Інша пот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очна дебіторська заборгованість» + 2118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зрахунки із спільної діяльності»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+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6414 «</w:t>
            </w:r>
            <w:r w:rsidR="00EB2CAC"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Розрахунки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спеціальними видами платежів»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Поточні фінансові інвестиції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1155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05" w:right="141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2611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Поточні фіна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нсові інвестиції в цінні папери» + 2612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ороткострокові векселі одержані»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Грошові кошти та їх еквіваленти розпорядників бюджетних коштів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та державних цільових фондів 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національній валюті, у тому числі 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1160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рядок 1161 + рядок 1162 + рядок 1163 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567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1161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2211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Готівка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 національній валюті» + 2213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Грошові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документи у національній валюті»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567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казначействі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1162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2215 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Грошові кошти в дорозі у національній 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валюті» + 2313 «Реєстраційні рахунки» + 2314 «Інші рахунки в Казначействі» + 2315 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Ра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хунки для обліку депозитних сум»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567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установах банків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1163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2215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Грошові кошти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в дорозі у національній валюті»+ 2311 «Поточні рахунки в банку» + 2312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Інші поточні рахунки в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банку»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+ 2315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Ра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хунки для обліку депозитних сум»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іноземній валюті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1165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2212 «Готівка в іноземній валюті» + 2214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Грошо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ві документи в іноземній валюті» + 2216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Грошові ко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шти в дорозі в іноземній валюті»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+ 2311 «Поточні рахунки в банку»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(в частині 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іноземної валюти) + 2315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Ра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хунки для обліку депозитних сум»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(в частині іноземної валюти)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42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Кошти бюджетів та інших клієнтів 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єдиному казначейському рахунку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1170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84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рахунках 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 установах банків, у тому числі: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1175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567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у національній валюті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1176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567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 іноземній валюті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1177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Інші фінансові активи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1180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2515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Інші фінансові активи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розпорядників бюджетних коштів» + 2613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Інші фінансові активи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розпорядників бюджетних коштів»</w:t>
            </w:r>
          </w:p>
        </w:tc>
      </w:tr>
      <w:tr w:rsidR="00EB2CAC" w:rsidRPr="00EB2CAC" w:rsidTr="00EB2CA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Усього за розділом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1195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III. ВИТРАТИ МАЙБУТНІХ ПЕРІОДІВ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1200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C1360B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2911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Витрати майбутніх періодів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розпорядників бюджетних коштів»</w:t>
            </w:r>
          </w:p>
        </w:tc>
      </w:tr>
      <w:tr w:rsidR="00EB2CAC" w:rsidRPr="00EB2CAC" w:rsidTr="00EB2CAC">
        <w:trPr>
          <w:trHeight w:val="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БАЛАНС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1300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ПАСИВ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Кодрядка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Рахунки Плану рахунків бухгалтерського обліку в державному секторі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9" w:type="dxa"/>
            <w:gridSpan w:val="6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I. ВЛАСНИЙ КАПІТАЛ ТА ФІНАНСОВИЙ РЕЗУЛЬТАТ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Внесений капітал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1400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5111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Внесений капітал розпорядникам бюджетних коштів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Капітал у дооцінках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1410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5311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Дооцінка (уцінка) необоротних активів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+ 5312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Дооцінка (уцінка) інших активів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Фінансовий результат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1420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5511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Фінансові результати виконання кошторису звітного періоду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+ 5512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Накопичені фінансові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результати виконання кошторису»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Капітал у підприємства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1430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5211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Капітал у підприємствах у формі акцій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+ 5212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Капітал у підприємствах в іншій формі участі у капіталі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+ 5213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Капітал у частках (паях)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Резерви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1440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Цільове фінансування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1450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5411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Цільове фінансування розпорядників бюджетних коштів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05" w:right="127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lastRenderedPageBreak/>
              <w:t>Усього за розділом 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1495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9" w:type="dxa"/>
            <w:gridSpan w:val="6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7" w:right="-15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II. ЗОБОВ</w:t>
            </w: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ЯЗАННЯ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Довгострокові зобов'язання: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цінними паперами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1500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6014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Зобов’язання за довгостроковими цінними паперами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кредитами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1510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6011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кредити банків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+ 6012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Відстрочені довгострокові кредити банків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+ 6013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Інші довгострокові позики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інші довгострокові зобов’язання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1520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6015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Д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овгострокові зобов’язання за операціями з оренди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+ 6016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Інші довгострокові фінансові зобов’язання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1530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6111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Поточна заборгованість за довгостроковими кредитами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+ 6112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Поточна заборгованість за зобов’язаннями за довгостроковими цінними паперами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+ 6113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Поточна заборгованість за іншими довгостроковими зобов’язаннями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Поточні зобов'язання: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платежами до бюджету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1540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6311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Розрахунки з бюджетом за податками і зборами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+ 6312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Інші розрахунки з бюджетом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розрахунками за товари, роботи, послуги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1545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6211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Розрахунки з постачальниками та підрядниками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кредитами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1550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6114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Короткострокові кредити банків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+ 6115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Відстрочені короткострокові кредити банків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+6116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Короткострокові позики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+ 6117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Інші короткострокові фінансові зобов’язання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одержаними авансами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1555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C1360B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6212 «</w:t>
            </w:r>
            <w:r w:rsidR="00EB2CAC"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Розрахунки із замовниками за роботи і послуги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="00EB2CAC"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+ 6213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="00EB2CAC"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із замовниками за науково-дослідні роботи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="00EB2CAC"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+ 6214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="00EB2CAC"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за одержаними авансами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за розрахунками з оплати праці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1560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651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 оплати праці розпорядників бюджетних коштів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за розрахунками із 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соціального страхування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lastRenderedPageBreak/>
              <w:t>1565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6313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Розрахунки із 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загальнообов’язкового дер</w:t>
            </w:r>
            <w:r w:rsidR="00C1360B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жавного соціального страхування»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+ 6416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за страхуванням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lastRenderedPageBreak/>
              <w:t>за внутрішніми розрахунками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1570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6611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Зобов’язання за внутрішніми розрахунками розпорядників бюджетних коштів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269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інші поточні зобов’язання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1575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C1360B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6411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Поточні зобов’язання за цінними паперами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+ 6412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 депонентами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 6413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за депозитними сумами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» 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+ 6414 “Розрахунки за спеціальними видами платежів” + 6415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 іншими кредиторами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+ 6417 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Розрахунки за зобов’</w:t>
            </w:r>
            <w:r w:rsidR="00C1360B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язаннями зі спільної діяльності»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Усього за розділом II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1595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III. ЗАБЕЗПЕЧЕННЯ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1600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A20523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6711 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Довгострокові забезпечення майбутніх витрат і платежів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 + 6712 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Поточні забезпечення майбутніх витрат і платежів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/>
        </w:trPr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IV. ДОХОДИ МАЙБУТНІХ ПЕРІОДІВ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1700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A20523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 xml:space="preserve">6911 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«</w:t>
            </w:r>
            <w:r w:rsidRPr="00EB2CA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zh-CN" w:bidi="hi-IN"/>
              </w:rPr>
              <w:t>Доходи майбутніх періодів</w:t>
            </w:r>
            <w:r w:rsidR="00A20523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  <w:t>»</w:t>
            </w:r>
          </w:p>
        </w:tc>
      </w:tr>
      <w:tr w:rsidR="00EB2CAC" w:rsidRPr="00EB2CAC" w:rsidTr="00EB2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1" w:type="dxa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zh-CN" w:bidi="hi-IN"/>
              </w:rPr>
              <w:t>БАЛАНС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B2CAC" w:rsidRPr="00EB2CAC" w:rsidRDefault="00EB2CAC" w:rsidP="00EB2CAC">
            <w:pPr>
              <w:widowControl w:val="0"/>
              <w:suppressAutoHyphens/>
              <w:spacing w:after="0" w:line="240" w:lineRule="auto"/>
              <w:ind w:left="-15" w:right="-15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B2CAC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  <w:lang w:eastAsia="zh-CN" w:bidi="hi-IN"/>
              </w:rPr>
              <w:t>1800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B2CAC" w:rsidRPr="00EB2CAC" w:rsidRDefault="00EB2CAC" w:rsidP="00EB2CAC">
            <w:pPr>
              <w:widowControl w:val="0"/>
              <w:suppressAutoHyphens/>
              <w:snapToGrid w:val="0"/>
              <w:spacing w:after="0" w:line="240" w:lineRule="auto"/>
              <w:ind w:left="126" w:right="126"/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</w:tc>
      </w:tr>
    </w:tbl>
    <w:p w:rsidR="000C2222" w:rsidRPr="00EB2CAC" w:rsidRDefault="00EB2CAC" w:rsidP="00EB2C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EB2CAC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_____________________________________</w:t>
      </w:r>
    </w:p>
    <w:sectPr w:rsidR="000C2222" w:rsidRPr="00EB2CAC" w:rsidSect="00EB2CA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0F" w:rsidRDefault="0073460F">
      <w:pPr>
        <w:spacing w:after="0" w:line="240" w:lineRule="auto"/>
      </w:pPr>
      <w:r>
        <w:separator/>
      </w:r>
    </w:p>
  </w:endnote>
  <w:endnote w:type="continuationSeparator" w:id="1">
    <w:p w:rsidR="0073460F" w:rsidRDefault="0073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0F" w:rsidRDefault="0073460F">
      <w:pPr>
        <w:spacing w:after="0" w:line="240" w:lineRule="auto"/>
      </w:pPr>
      <w:r>
        <w:separator/>
      </w:r>
    </w:p>
  </w:footnote>
  <w:footnote w:type="continuationSeparator" w:id="1">
    <w:p w:rsidR="0073460F" w:rsidRDefault="0073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58" w:rsidRDefault="005552DD">
    <w:pPr>
      <w:pStyle w:val="a3"/>
      <w:jc w:val="center"/>
    </w:pPr>
    <w:r w:rsidRPr="00D075C2">
      <w:rPr>
        <w:rFonts w:ascii="Times New Roman" w:hAnsi="Times New Roman"/>
        <w:sz w:val="28"/>
        <w:szCs w:val="28"/>
      </w:rPr>
      <w:fldChar w:fldCharType="begin"/>
    </w:r>
    <w:r w:rsidR="00AD62D6" w:rsidRPr="00D075C2">
      <w:rPr>
        <w:rFonts w:ascii="Times New Roman" w:hAnsi="Times New Roman"/>
        <w:sz w:val="28"/>
        <w:szCs w:val="28"/>
      </w:rPr>
      <w:instrText xml:space="preserve"> PAGE   \* MERGEFORMAT </w:instrText>
    </w:r>
    <w:r w:rsidRPr="00D075C2">
      <w:rPr>
        <w:rFonts w:ascii="Times New Roman" w:hAnsi="Times New Roman"/>
        <w:sz w:val="28"/>
        <w:szCs w:val="28"/>
      </w:rPr>
      <w:fldChar w:fldCharType="separate"/>
    </w:r>
    <w:r w:rsidR="00D42F82">
      <w:rPr>
        <w:rFonts w:ascii="Times New Roman" w:hAnsi="Times New Roman"/>
        <w:noProof/>
        <w:sz w:val="28"/>
        <w:szCs w:val="28"/>
      </w:rPr>
      <w:t>6</w:t>
    </w:r>
    <w:r w:rsidRPr="00D075C2">
      <w:rPr>
        <w:rFonts w:ascii="Times New Roman" w:hAnsi="Times New Roman"/>
        <w:noProof/>
        <w:sz w:val="28"/>
        <w:szCs w:val="28"/>
      </w:rPr>
      <w:fldChar w:fldCharType="end"/>
    </w:r>
  </w:p>
  <w:p w:rsidR="00922C58" w:rsidRDefault="007346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78B"/>
    <w:rsid w:val="00203D6C"/>
    <w:rsid w:val="00333F4C"/>
    <w:rsid w:val="0044344B"/>
    <w:rsid w:val="005552DD"/>
    <w:rsid w:val="0073460F"/>
    <w:rsid w:val="007976E5"/>
    <w:rsid w:val="00825B83"/>
    <w:rsid w:val="0089778B"/>
    <w:rsid w:val="009E66DB"/>
    <w:rsid w:val="00A20523"/>
    <w:rsid w:val="00AB72A0"/>
    <w:rsid w:val="00AD62D6"/>
    <w:rsid w:val="00B43AEE"/>
    <w:rsid w:val="00C1360B"/>
    <w:rsid w:val="00D42F82"/>
    <w:rsid w:val="00EB2CAC"/>
    <w:rsid w:val="00F1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CAC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B2CAC"/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CAC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EB2CAC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SunRay</cp:lastModifiedBy>
  <cp:revision>2</cp:revision>
  <dcterms:created xsi:type="dcterms:W3CDTF">2017-03-29T09:53:00Z</dcterms:created>
  <dcterms:modified xsi:type="dcterms:W3CDTF">2017-03-29T09:53:00Z</dcterms:modified>
</cp:coreProperties>
</file>