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75" w:rsidRDefault="00D36D62" w:rsidP="00F21597">
      <w:pPr>
        <w:jc w:val="center"/>
      </w:pPr>
      <w:r>
        <w:rPr>
          <w:b/>
          <w:noProof/>
          <w:lang w:val="ru-RU" w:eastAsia="ru-RU"/>
        </w:rPr>
        <w:drawing>
          <wp:inline distT="0" distB="0" distL="0" distR="0">
            <wp:extent cx="478155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597" w:rsidRPr="00F21597" w:rsidRDefault="00F21597" w:rsidP="00F2159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1597">
        <w:rPr>
          <w:rFonts w:ascii="Times New Roman" w:hAnsi="Times New Roman"/>
          <w:b/>
          <w:bCs/>
          <w:sz w:val="28"/>
          <w:szCs w:val="28"/>
        </w:rPr>
        <w:t>МІНІСТЕРСТВО  ФІНАНСІВ  УКРАЇНИ</w:t>
      </w:r>
    </w:p>
    <w:p w:rsidR="00FB2B75" w:rsidRDefault="00FB2B75" w:rsidP="00FB2B75"/>
    <w:p w:rsidR="00F21597" w:rsidRPr="002B6B4E" w:rsidRDefault="002B6B4E" w:rsidP="002B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4E">
        <w:rPr>
          <w:rFonts w:ascii="Times New Roman" w:hAnsi="Times New Roman"/>
          <w:sz w:val="28"/>
          <w:szCs w:val="28"/>
        </w:rPr>
        <w:t>28.03.2017 № 35220-06-5/8303</w:t>
      </w:r>
    </w:p>
    <w:p w:rsidR="00FB2B75" w:rsidRPr="006D4924" w:rsidRDefault="00FB2B75" w:rsidP="00FB2B75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6D4924">
        <w:rPr>
          <w:rFonts w:ascii="Times New Roman" w:hAnsi="Times New Roman"/>
          <w:b/>
          <w:sz w:val="28"/>
          <w:szCs w:val="28"/>
        </w:rPr>
        <w:t xml:space="preserve">Міністерства, інші центральні органи виконавчої влади </w:t>
      </w:r>
    </w:p>
    <w:p w:rsidR="00FB2B75" w:rsidRDefault="00FB2B75" w:rsidP="00FB2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2B75" w:rsidRDefault="00FB2B75" w:rsidP="00FB2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складання фінансової звітності</w:t>
      </w:r>
    </w:p>
    <w:p w:rsidR="00FB2B75" w:rsidRDefault="00FB2B75" w:rsidP="00FB2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суб’єктами державного сектору</w:t>
      </w:r>
    </w:p>
    <w:p w:rsidR="003B3600" w:rsidRDefault="003B3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597" w:rsidRDefault="00F21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127" w:rsidRPr="00D1744B" w:rsidRDefault="00854127" w:rsidP="00D1744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744B">
        <w:rPr>
          <w:rFonts w:ascii="Times New Roman" w:hAnsi="Times New Roman"/>
          <w:color w:val="000000"/>
          <w:sz w:val="28"/>
          <w:szCs w:val="28"/>
        </w:rPr>
        <w:t xml:space="preserve">Склад, форми, принципи підготовки та подання фінансової звітності в державному секторі, загальні вимоги до визнання і розкриття її елементів визначені </w:t>
      </w:r>
      <w:hyperlink r:id="rId7" w:tgtFrame="_blank" w:history="1">
        <w:r w:rsidRPr="00D174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Національним положенням (стандартом) бухгалтерського обліку в державному секторі 101 </w:t>
        </w:r>
        <w:r w:rsidR="007D635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</w:t>
        </w:r>
        <w:r w:rsidRPr="00D174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Подання фінансової звітності</w:t>
        </w:r>
        <w:r w:rsidR="007D635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»</w:t>
        </w:r>
      </w:hyperlink>
      <w:r w:rsidRPr="00D1744B">
        <w:rPr>
          <w:rFonts w:ascii="Times New Roman" w:hAnsi="Times New Roman"/>
          <w:sz w:val="28"/>
          <w:szCs w:val="28"/>
          <w:shd w:val="clear" w:color="auto" w:fill="FFFFFF"/>
        </w:rPr>
        <w:t>, затвердженим наказом Міністерства фінансів України від 28.12.2009 № 1541, зареєстрованим у Міністерстві юстиції України 28.01.2010 за № 103/17398 (у редакції</w:t>
      </w:r>
      <w:r w:rsidR="007D635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D174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наказу Міністерства фінансів України від 24.12.2010 № 1629</w:t>
        </w:r>
      </w:hyperlink>
      <w:r w:rsidRPr="00D1744B">
        <w:rPr>
          <w:rFonts w:ascii="Times New Roman" w:hAnsi="Times New Roman"/>
          <w:sz w:val="28"/>
          <w:szCs w:val="28"/>
          <w:shd w:val="clear" w:color="auto" w:fill="FFFFFF"/>
        </w:rPr>
        <w:t>) із змінами (далі</w:t>
      </w: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D63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НП(С)БО</w:t>
      </w:r>
      <w:r w:rsidR="00E825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</w:t>
      </w: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101).</w:t>
      </w:r>
    </w:p>
    <w:p w:rsidR="008C2179" w:rsidRPr="0045774F" w:rsidRDefault="008C2179" w:rsidP="00D174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Квартальна фінансова звітність складається з </w:t>
      </w:r>
      <w:r w:rsidR="00CB1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297C19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алансу (</w:t>
      </w:r>
      <w:r w:rsidRPr="0045774F">
        <w:rPr>
          <w:rFonts w:ascii="Times New Roman" w:hAnsi="Times New Roman"/>
          <w:sz w:val="28"/>
          <w:szCs w:val="28"/>
        </w:rPr>
        <w:t>форм</w:t>
      </w:r>
      <w:r w:rsidR="00297C19" w:rsidRPr="0045774F">
        <w:rPr>
          <w:rFonts w:ascii="Times New Roman" w:hAnsi="Times New Roman"/>
          <w:sz w:val="28"/>
          <w:szCs w:val="28"/>
        </w:rPr>
        <w:t>а</w:t>
      </w:r>
      <w:r w:rsidRPr="0045774F">
        <w:rPr>
          <w:rFonts w:ascii="Times New Roman" w:hAnsi="Times New Roman"/>
          <w:sz w:val="28"/>
          <w:szCs w:val="28"/>
        </w:rPr>
        <w:t xml:space="preserve"> № 1-дс</w:t>
      </w:r>
      <w:r w:rsidR="00297C19" w:rsidRPr="0045774F">
        <w:rPr>
          <w:rFonts w:ascii="Times New Roman" w:hAnsi="Times New Roman"/>
          <w:sz w:val="28"/>
          <w:szCs w:val="28"/>
        </w:rPr>
        <w:t>)</w:t>
      </w:r>
      <w:r w:rsidRPr="0045774F">
        <w:rPr>
          <w:rFonts w:ascii="Times New Roman" w:hAnsi="Times New Roman"/>
          <w:sz w:val="28"/>
          <w:szCs w:val="28"/>
        </w:rPr>
        <w:t xml:space="preserve"> </w:t>
      </w:r>
      <w:r w:rsidR="00297C19" w:rsidRPr="0045774F">
        <w:rPr>
          <w:rFonts w:ascii="Times New Roman" w:hAnsi="Times New Roman"/>
          <w:sz w:val="28"/>
          <w:szCs w:val="28"/>
        </w:rPr>
        <w:t xml:space="preserve"> та </w:t>
      </w:r>
      <w:r w:rsidR="00CB1AAD">
        <w:rPr>
          <w:rFonts w:ascii="Times New Roman" w:hAnsi="Times New Roman"/>
          <w:sz w:val="28"/>
          <w:szCs w:val="28"/>
        </w:rPr>
        <w:t>з</w:t>
      </w:r>
      <w:r w:rsidR="00297C19" w:rsidRPr="0045774F">
        <w:rPr>
          <w:rFonts w:ascii="Times New Roman" w:hAnsi="Times New Roman"/>
          <w:sz w:val="28"/>
          <w:szCs w:val="28"/>
        </w:rPr>
        <w:t>віту про фінансові результати (</w:t>
      </w:r>
      <w:r w:rsidRPr="0045774F">
        <w:rPr>
          <w:rFonts w:ascii="Times New Roman" w:hAnsi="Times New Roman"/>
          <w:sz w:val="28"/>
          <w:szCs w:val="28"/>
        </w:rPr>
        <w:t>форм</w:t>
      </w:r>
      <w:r w:rsidR="00297C19" w:rsidRPr="0045774F">
        <w:rPr>
          <w:rFonts w:ascii="Times New Roman" w:hAnsi="Times New Roman"/>
          <w:sz w:val="28"/>
          <w:szCs w:val="28"/>
        </w:rPr>
        <w:t>а</w:t>
      </w:r>
      <w:r w:rsidRPr="0045774F">
        <w:rPr>
          <w:rFonts w:ascii="Times New Roman" w:hAnsi="Times New Roman"/>
          <w:sz w:val="28"/>
          <w:szCs w:val="28"/>
        </w:rPr>
        <w:t xml:space="preserve"> № 2-дс</w:t>
      </w:r>
      <w:r w:rsidR="00297C19" w:rsidRPr="0045774F">
        <w:rPr>
          <w:rFonts w:ascii="Times New Roman" w:hAnsi="Times New Roman"/>
          <w:sz w:val="28"/>
          <w:szCs w:val="28"/>
        </w:rPr>
        <w:t>)</w:t>
      </w:r>
      <w:r w:rsidRPr="0045774F">
        <w:rPr>
          <w:rFonts w:ascii="Times New Roman" w:hAnsi="Times New Roman"/>
          <w:sz w:val="28"/>
          <w:szCs w:val="28"/>
        </w:rPr>
        <w:t>.</w:t>
      </w:r>
    </w:p>
    <w:p w:rsidR="00B5131A" w:rsidRPr="0045774F" w:rsidRDefault="004E419F" w:rsidP="00D174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</w:t>
      </w:r>
      <w:r w:rsidRPr="0045774F">
        <w:rPr>
          <w:rFonts w:ascii="Times New Roman" w:hAnsi="Times New Roman"/>
          <w:sz w:val="28"/>
          <w:szCs w:val="28"/>
        </w:rPr>
        <w:t>розкриття інформації за статтями фінансової звітності розпорядників бюджетних коштів та державних цільових фондів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визначається </w:t>
      </w:r>
      <w:r w:rsidR="00B5131A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B5131A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5ECC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заповнення форм фінансової </w:t>
      </w:r>
      <w:r w:rsidR="007D6356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звітності в державному секторі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D6356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5ECC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затверджен</w:t>
      </w:r>
      <w:r w:rsidR="00E976DB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665ECC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наказом Міністерства фінансів України від </w:t>
      </w:r>
      <w:r w:rsidR="00D87889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28.02.2017 </w:t>
      </w:r>
      <w:r w:rsidR="00665ECC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D87889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307</w:t>
      </w:r>
      <w:r w:rsidR="008C2179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зареєстрованим у Міністерстві юстиції України </w:t>
      </w:r>
      <w:r w:rsidR="00726AA6" w:rsidRPr="00871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21.03.2017 за № 384/30252</w:t>
      </w:r>
      <w:r w:rsidR="008C2179" w:rsidRPr="00726AA6">
        <w:rPr>
          <w:rFonts w:ascii="Times New Roman" w:hAnsi="Times New Roman"/>
          <w:sz w:val="28"/>
          <w:szCs w:val="28"/>
        </w:rPr>
        <w:t>.</w:t>
      </w:r>
      <w:r w:rsidR="009E479A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84ADC" w:rsidRPr="00D222F0" w:rsidRDefault="00854127" w:rsidP="00D174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74F">
        <w:rPr>
          <w:rFonts w:ascii="Times New Roman" w:hAnsi="Times New Roman"/>
          <w:sz w:val="28"/>
          <w:szCs w:val="28"/>
        </w:rPr>
        <w:t>Баланс</w:t>
      </w:r>
      <w:r w:rsidR="00CB1AAD">
        <w:rPr>
          <w:rFonts w:ascii="Times New Roman" w:hAnsi="Times New Roman"/>
          <w:sz w:val="28"/>
          <w:szCs w:val="28"/>
        </w:rPr>
        <w:t xml:space="preserve"> </w:t>
      </w:r>
      <w:r w:rsidRPr="00C57FDB">
        <w:rPr>
          <w:rFonts w:ascii="Times New Roman" w:hAnsi="Times New Roman"/>
          <w:color w:val="000000"/>
          <w:sz w:val="28"/>
          <w:szCs w:val="28"/>
        </w:rPr>
        <w:t xml:space="preserve">відображає </w:t>
      </w:r>
      <w:r w:rsidRPr="00D222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9DD" w:rsidRPr="00D222F0">
        <w:rPr>
          <w:rFonts w:ascii="Times New Roman" w:hAnsi="Times New Roman"/>
          <w:color w:val="000000"/>
          <w:sz w:val="28"/>
          <w:szCs w:val="28"/>
        </w:rPr>
        <w:t>узагальнені показники активів, зобов’язань і власного капіталу суб’єкта державного сектору</w:t>
      </w:r>
      <w:r w:rsidRPr="00D222F0">
        <w:rPr>
          <w:rFonts w:ascii="Times New Roman" w:hAnsi="Times New Roman"/>
          <w:color w:val="000000"/>
          <w:sz w:val="28"/>
          <w:szCs w:val="28"/>
        </w:rPr>
        <w:t xml:space="preserve">, отримані на підставі звірених даних бухгалтерського обліку, станом на початок звітного року та на кінець звітного періоду. </w:t>
      </w:r>
    </w:p>
    <w:p w:rsidR="00CC1E73" w:rsidRPr="0045774F" w:rsidRDefault="00CC1E73" w:rsidP="00D174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22F0">
        <w:rPr>
          <w:rFonts w:ascii="Times New Roman" w:hAnsi="Times New Roman"/>
          <w:color w:val="000000"/>
          <w:sz w:val="28"/>
          <w:szCs w:val="28"/>
        </w:rPr>
        <w:t>У</w:t>
      </w:r>
      <w:r w:rsidR="00C57FDB" w:rsidRPr="00D222F0">
        <w:rPr>
          <w:rFonts w:ascii="Times New Roman" w:hAnsi="Times New Roman"/>
          <w:color w:val="000000"/>
          <w:sz w:val="28"/>
          <w:szCs w:val="28"/>
        </w:rPr>
        <w:t>раховуючи</w:t>
      </w:r>
      <w:r w:rsidRPr="00D222F0">
        <w:rPr>
          <w:rFonts w:ascii="Times New Roman" w:hAnsi="Times New Roman"/>
          <w:color w:val="000000"/>
          <w:sz w:val="28"/>
          <w:szCs w:val="28"/>
        </w:rPr>
        <w:t xml:space="preserve">, що </w:t>
      </w:r>
      <w:r w:rsidRPr="00D222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НП(С)БОДС</w:t>
      </w:r>
      <w:r w:rsidRPr="00D222F0">
        <w:rPr>
          <w:rFonts w:ascii="Times New Roman" w:hAnsi="Times New Roman"/>
          <w:color w:val="000000"/>
          <w:sz w:val="28"/>
          <w:szCs w:val="28"/>
        </w:rPr>
        <w:t xml:space="preserve"> 136 «Біологічні активи» не </w:t>
      </w:r>
      <w:r w:rsidR="00C57FDB" w:rsidRPr="00D222F0">
        <w:rPr>
          <w:rFonts w:ascii="Times New Roman" w:hAnsi="Times New Roman"/>
          <w:color w:val="000000"/>
          <w:sz w:val="28"/>
          <w:szCs w:val="28"/>
        </w:rPr>
        <w:t xml:space="preserve">набрав </w:t>
      </w:r>
      <w:r w:rsidRPr="00D222F0">
        <w:rPr>
          <w:rFonts w:ascii="Times New Roman" w:hAnsi="Times New Roman"/>
          <w:color w:val="000000"/>
          <w:sz w:val="28"/>
          <w:szCs w:val="28"/>
        </w:rPr>
        <w:t>чинності, рядки</w:t>
      </w:r>
      <w:r w:rsidR="0035627D" w:rsidRPr="00D222F0">
        <w:rPr>
          <w:rFonts w:ascii="Times New Roman" w:hAnsi="Times New Roman"/>
          <w:color w:val="000000"/>
          <w:sz w:val="28"/>
          <w:szCs w:val="28"/>
        </w:rPr>
        <w:t xml:space="preserve"> 1040, 1041, 1042, 1090 балансу не заповнюються.</w:t>
      </w:r>
      <w:r w:rsidR="003562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2179" w:rsidRPr="0045774F" w:rsidRDefault="00CE07D6" w:rsidP="00D174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74F">
        <w:rPr>
          <w:rFonts w:ascii="Times New Roman" w:hAnsi="Times New Roman"/>
          <w:color w:val="000000"/>
          <w:sz w:val="28"/>
          <w:szCs w:val="28"/>
        </w:rPr>
        <w:t xml:space="preserve">Підсумок </w:t>
      </w:r>
      <w:r w:rsidR="00CB1AAD">
        <w:rPr>
          <w:rFonts w:ascii="Times New Roman" w:hAnsi="Times New Roman"/>
          <w:color w:val="000000"/>
          <w:sz w:val="28"/>
          <w:szCs w:val="28"/>
        </w:rPr>
        <w:t>б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алансу на початок звітного року повинен відповідати підсумку </w:t>
      </w:r>
      <w:r w:rsidR="00CB1AAD">
        <w:rPr>
          <w:rFonts w:ascii="Times New Roman" w:hAnsi="Times New Roman"/>
          <w:color w:val="000000"/>
          <w:sz w:val="28"/>
          <w:szCs w:val="28"/>
        </w:rPr>
        <w:t>б</w:t>
      </w:r>
      <w:r w:rsidRPr="0045774F">
        <w:rPr>
          <w:rFonts w:ascii="Times New Roman" w:hAnsi="Times New Roman"/>
          <w:color w:val="000000"/>
          <w:sz w:val="28"/>
          <w:szCs w:val="28"/>
        </w:rPr>
        <w:t>алансу</w:t>
      </w:r>
      <w:r w:rsidR="00876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74F">
        <w:rPr>
          <w:rFonts w:ascii="Times New Roman" w:hAnsi="Times New Roman"/>
          <w:color w:val="000000"/>
          <w:sz w:val="28"/>
          <w:szCs w:val="28"/>
        </w:rPr>
        <w:t>на кінець 2016 року.</w:t>
      </w:r>
    </w:p>
    <w:p w:rsidR="0045774F" w:rsidRPr="0045774F" w:rsidRDefault="00297C19" w:rsidP="000A5CF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5774F">
        <w:rPr>
          <w:rFonts w:ascii="Times New Roman" w:eastAsia="Calibri" w:hAnsi="Times New Roman"/>
          <w:sz w:val="28"/>
          <w:szCs w:val="28"/>
        </w:rPr>
        <w:t>Звіт про фінансові результати відображає</w:t>
      </w:r>
      <w:r w:rsidR="0045774F" w:rsidRPr="0045774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45774F">
        <w:rPr>
          <w:rFonts w:ascii="Times New Roman" w:eastAsia="Calibri" w:hAnsi="Times New Roman"/>
          <w:sz w:val="28"/>
          <w:szCs w:val="28"/>
        </w:rPr>
        <w:t xml:space="preserve">інформацію про </w:t>
      </w:r>
      <w:r w:rsidR="0045774F" w:rsidRPr="0045774F">
        <w:rPr>
          <w:rFonts w:ascii="Times New Roman" w:hAnsi="Times New Roman"/>
          <w:color w:val="000000"/>
          <w:sz w:val="28"/>
          <w:szCs w:val="28"/>
        </w:rPr>
        <w:t>доходи,</w:t>
      </w:r>
      <w:r w:rsidR="000A5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9DD">
        <w:rPr>
          <w:rFonts w:ascii="Times New Roman" w:hAnsi="Times New Roman"/>
          <w:color w:val="000000"/>
          <w:sz w:val="28"/>
          <w:szCs w:val="28"/>
        </w:rPr>
        <w:t xml:space="preserve">витрати </w:t>
      </w:r>
      <w:r w:rsidR="0045774F" w:rsidRPr="0045774F">
        <w:rPr>
          <w:rFonts w:ascii="Times New Roman" w:hAnsi="Times New Roman"/>
          <w:color w:val="000000"/>
          <w:sz w:val="28"/>
          <w:szCs w:val="28"/>
        </w:rPr>
        <w:t xml:space="preserve">і фінансові результати діяльності </w:t>
      </w:r>
      <w:r w:rsidR="00040B3D" w:rsidRPr="0045774F">
        <w:rPr>
          <w:rFonts w:ascii="Times New Roman" w:hAnsi="Times New Roman"/>
          <w:color w:val="000000"/>
          <w:sz w:val="28"/>
          <w:szCs w:val="28"/>
        </w:rPr>
        <w:t>суб’єкта</w:t>
      </w:r>
      <w:r w:rsidR="0045774F" w:rsidRPr="0045774F">
        <w:rPr>
          <w:rFonts w:ascii="Times New Roman" w:hAnsi="Times New Roman"/>
          <w:color w:val="000000"/>
          <w:sz w:val="28"/>
          <w:szCs w:val="28"/>
        </w:rPr>
        <w:t xml:space="preserve"> державного сектору</w:t>
      </w:r>
      <w:r w:rsidR="0045774F">
        <w:rPr>
          <w:rFonts w:ascii="Times New Roman" w:hAnsi="Times New Roman"/>
          <w:color w:val="000000"/>
          <w:sz w:val="28"/>
          <w:szCs w:val="28"/>
        </w:rPr>
        <w:t>.</w:t>
      </w:r>
    </w:p>
    <w:p w:rsidR="00D87889" w:rsidRDefault="00F07215" w:rsidP="00D174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5774F">
        <w:rPr>
          <w:rFonts w:ascii="Times New Roman" w:eastAsia="Calibri" w:hAnsi="Times New Roman"/>
          <w:sz w:val="28"/>
          <w:szCs w:val="28"/>
        </w:rPr>
        <w:t>При з</w:t>
      </w:r>
      <w:r w:rsidR="00D87889" w:rsidRPr="0045774F">
        <w:rPr>
          <w:rFonts w:ascii="Times New Roman" w:eastAsia="Calibri" w:hAnsi="Times New Roman"/>
          <w:sz w:val="28"/>
          <w:szCs w:val="28"/>
        </w:rPr>
        <w:t>аповненн</w:t>
      </w:r>
      <w:r w:rsidRPr="0045774F">
        <w:rPr>
          <w:rFonts w:ascii="Times New Roman" w:eastAsia="Calibri" w:hAnsi="Times New Roman"/>
          <w:sz w:val="28"/>
          <w:szCs w:val="28"/>
        </w:rPr>
        <w:t>і</w:t>
      </w:r>
      <w:r w:rsidR="00D87889" w:rsidRPr="0045774F">
        <w:rPr>
          <w:rFonts w:ascii="Times New Roman" w:eastAsia="Calibri" w:hAnsi="Times New Roman"/>
          <w:sz w:val="28"/>
          <w:szCs w:val="28"/>
        </w:rPr>
        <w:t xml:space="preserve"> </w:t>
      </w:r>
      <w:r w:rsidR="00CB1AAD">
        <w:rPr>
          <w:rFonts w:ascii="Times New Roman" w:eastAsia="Calibri" w:hAnsi="Times New Roman"/>
          <w:sz w:val="28"/>
          <w:szCs w:val="28"/>
        </w:rPr>
        <w:t>з</w:t>
      </w:r>
      <w:r w:rsidR="00297C19" w:rsidRPr="0045774F">
        <w:rPr>
          <w:rFonts w:ascii="Times New Roman" w:eastAsia="Calibri" w:hAnsi="Times New Roman"/>
          <w:sz w:val="28"/>
          <w:szCs w:val="28"/>
        </w:rPr>
        <w:t xml:space="preserve">віту про фінансові результати </w:t>
      </w:r>
      <w:r w:rsidRPr="0045774F">
        <w:rPr>
          <w:rFonts w:ascii="Times New Roman" w:eastAsia="Calibri" w:hAnsi="Times New Roman"/>
          <w:sz w:val="28"/>
          <w:szCs w:val="28"/>
        </w:rPr>
        <w:t xml:space="preserve">слід користуватися </w:t>
      </w:r>
      <w:r w:rsidR="00297C19" w:rsidRPr="0045774F">
        <w:rPr>
          <w:rFonts w:ascii="Times New Roman" w:eastAsia="Calibri" w:hAnsi="Times New Roman"/>
          <w:sz w:val="28"/>
          <w:szCs w:val="28"/>
        </w:rPr>
        <w:t>К</w:t>
      </w:r>
      <w:r w:rsidRPr="0045774F">
        <w:rPr>
          <w:rFonts w:ascii="Times New Roman" w:eastAsia="Calibri" w:hAnsi="Times New Roman"/>
          <w:sz w:val="28"/>
          <w:szCs w:val="28"/>
        </w:rPr>
        <w:t xml:space="preserve">ласифікацією доходів бюджету та </w:t>
      </w:r>
      <w:r w:rsidR="00297C19" w:rsidRPr="0045774F">
        <w:rPr>
          <w:rFonts w:ascii="Times New Roman" w:eastAsia="Calibri" w:hAnsi="Times New Roman"/>
          <w:sz w:val="28"/>
          <w:szCs w:val="28"/>
        </w:rPr>
        <w:t>Ф</w:t>
      </w:r>
      <w:r w:rsidR="00D87889" w:rsidRPr="0045774F">
        <w:rPr>
          <w:rFonts w:ascii="Times New Roman" w:eastAsia="Calibri" w:hAnsi="Times New Roman"/>
          <w:sz w:val="28"/>
          <w:szCs w:val="28"/>
        </w:rPr>
        <w:t>ункціональн</w:t>
      </w:r>
      <w:r w:rsidRPr="0045774F">
        <w:rPr>
          <w:rFonts w:ascii="Times New Roman" w:eastAsia="Calibri" w:hAnsi="Times New Roman"/>
          <w:sz w:val="28"/>
          <w:szCs w:val="28"/>
        </w:rPr>
        <w:t xml:space="preserve">ою </w:t>
      </w:r>
      <w:r w:rsidR="00D87889" w:rsidRPr="0045774F">
        <w:rPr>
          <w:rFonts w:ascii="Times New Roman" w:eastAsia="Calibri" w:hAnsi="Times New Roman"/>
          <w:sz w:val="28"/>
          <w:szCs w:val="28"/>
        </w:rPr>
        <w:t>класифікаці</w:t>
      </w:r>
      <w:r w:rsidRPr="0045774F">
        <w:rPr>
          <w:rFonts w:ascii="Times New Roman" w:eastAsia="Calibri" w:hAnsi="Times New Roman"/>
          <w:sz w:val="28"/>
          <w:szCs w:val="28"/>
        </w:rPr>
        <w:t xml:space="preserve">єю </w:t>
      </w:r>
      <w:r w:rsidR="00D87889" w:rsidRPr="0045774F">
        <w:rPr>
          <w:rFonts w:ascii="Times New Roman" w:eastAsia="Calibri" w:hAnsi="Times New Roman"/>
          <w:sz w:val="28"/>
          <w:szCs w:val="28"/>
        </w:rPr>
        <w:t>видатків та кредитування бюджету</w:t>
      </w:r>
      <w:r w:rsidRPr="0045774F">
        <w:rPr>
          <w:rFonts w:ascii="Times New Roman" w:eastAsia="Calibri" w:hAnsi="Times New Roman"/>
          <w:sz w:val="28"/>
          <w:szCs w:val="28"/>
        </w:rPr>
        <w:t xml:space="preserve">, </w:t>
      </w:r>
      <w:r w:rsidR="00D87889" w:rsidRPr="0045774F">
        <w:rPr>
          <w:rFonts w:ascii="Times New Roman" w:eastAsia="Calibri" w:hAnsi="Times New Roman"/>
          <w:sz w:val="28"/>
          <w:szCs w:val="28"/>
        </w:rPr>
        <w:t>затверджен</w:t>
      </w:r>
      <w:r w:rsidRPr="0045774F">
        <w:rPr>
          <w:rFonts w:ascii="Times New Roman" w:eastAsia="Calibri" w:hAnsi="Times New Roman"/>
          <w:sz w:val="28"/>
          <w:szCs w:val="28"/>
        </w:rPr>
        <w:t>ими</w:t>
      </w:r>
      <w:r w:rsidR="00D87889" w:rsidRPr="0045774F">
        <w:rPr>
          <w:rFonts w:ascii="Times New Roman" w:eastAsia="Calibri" w:hAnsi="Times New Roman"/>
          <w:sz w:val="28"/>
          <w:szCs w:val="28"/>
        </w:rPr>
        <w:t xml:space="preserve"> наказом Міністерства фінансів України від 14.01.2011 № 11</w:t>
      </w:r>
      <w:r w:rsidRPr="0045774F">
        <w:rPr>
          <w:rFonts w:ascii="Times New Roman" w:eastAsia="Calibri" w:hAnsi="Times New Roman"/>
          <w:sz w:val="28"/>
          <w:szCs w:val="28"/>
        </w:rPr>
        <w:t xml:space="preserve"> «Про бюджетну класифікацію».</w:t>
      </w:r>
    </w:p>
    <w:p w:rsidR="0045774F" w:rsidRPr="000A754B" w:rsidRDefault="00D075C2" w:rsidP="00D174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75C2">
        <w:rPr>
          <w:rFonts w:ascii="Times New Roman" w:eastAsia="Calibri" w:hAnsi="Times New Roman"/>
          <w:sz w:val="28"/>
          <w:szCs w:val="28"/>
        </w:rPr>
        <w:lastRenderedPageBreak/>
        <w:t xml:space="preserve">За статтями розділу І звіту про фінансові результати  наводяться суми нарахованих доходів та </w:t>
      </w:r>
      <w:r w:rsidR="00F5702B" w:rsidRPr="00F5702B">
        <w:rPr>
          <w:rFonts w:ascii="Times New Roman" w:eastAsia="Calibri" w:hAnsi="Times New Roman"/>
          <w:sz w:val="28"/>
          <w:szCs w:val="28"/>
        </w:rPr>
        <w:t xml:space="preserve">визнаних </w:t>
      </w:r>
      <w:r w:rsidRPr="00D075C2">
        <w:rPr>
          <w:rFonts w:ascii="Times New Roman" w:eastAsia="Calibri" w:hAnsi="Times New Roman"/>
          <w:sz w:val="28"/>
          <w:szCs w:val="28"/>
        </w:rPr>
        <w:t>витрат, відображені на відповідних субрахунках бухгалтерського обліку.</w:t>
      </w:r>
      <w:r>
        <w:rPr>
          <w:sz w:val="28"/>
          <w:szCs w:val="28"/>
        </w:rPr>
        <w:t xml:space="preserve"> </w:t>
      </w:r>
      <w:r w:rsidRPr="00D075C2">
        <w:rPr>
          <w:rFonts w:ascii="Times New Roman" w:hAnsi="Times New Roman"/>
          <w:sz w:val="28"/>
          <w:szCs w:val="28"/>
        </w:rPr>
        <w:t>У статті «Бюджетні асигнування» відображаються доходи, що отримані за рахунок бюджетних асигнувань на виконання суб’єктом державного сектору своїх повноважень, визначених законодавством, або утримання апарату (крім асигнувань капітального характеру, які обліковуються у складі цільового фінансування).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24FA3" w:rsidRPr="00275229" w:rsidRDefault="00D075C2" w:rsidP="00D174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75C2">
        <w:rPr>
          <w:rFonts w:ascii="Times New Roman" w:eastAsia="Calibri" w:hAnsi="Times New Roman"/>
          <w:sz w:val="28"/>
          <w:szCs w:val="28"/>
        </w:rPr>
        <w:t xml:space="preserve">У розділі ІІІ </w:t>
      </w:r>
      <w:r w:rsidRPr="00D075C2">
        <w:rPr>
          <w:rFonts w:ascii="Times New Roman" w:hAnsi="Times New Roman"/>
          <w:sz w:val="28"/>
          <w:szCs w:val="28"/>
        </w:rPr>
        <w:t>звіту про фінансові результати відображається інформація про виконання бюджету (кошторису) у розрізі класифікації доходів бюджету та економічної класифікації видатків і кредитування бюджету, яка накопичується в аналітичному обліку суб’єктів державного сектору за відповідними кодами класифікації доходів, видатків та кредитування</w:t>
      </w:r>
      <w:r w:rsidR="00C57FDB">
        <w:rPr>
          <w:rFonts w:ascii="Times New Roman" w:hAnsi="Times New Roman"/>
          <w:sz w:val="28"/>
          <w:szCs w:val="28"/>
        </w:rPr>
        <w:t xml:space="preserve">. </w:t>
      </w:r>
      <w:r w:rsidR="00CB1AAD" w:rsidRPr="00275229">
        <w:rPr>
          <w:rFonts w:ascii="Times New Roman" w:hAnsi="Times New Roman"/>
          <w:sz w:val="28"/>
          <w:szCs w:val="28"/>
        </w:rPr>
        <w:t>У</w:t>
      </w:r>
      <w:r w:rsidRPr="00275229">
        <w:rPr>
          <w:rFonts w:ascii="Times New Roman" w:hAnsi="Times New Roman"/>
          <w:i/>
          <w:sz w:val="28"/>
          <w:szCs w:val="28"/>
        </w:rPr>
        <w:t xml:space="preserve"> </w:t>
      </w:r>
      <w:r w:rsidRPr="008E6FC5">
        <w:rPr>
          <w:rFonts w:ascii="Times New Roman" w:hAnsi="Times New Roman"/>
          <w:sz w:val="28"/>
          <w:szCs w:val="28"/>
        </w:rPr>
        <w:t xml:space="preserve">статті «Бюджетні асигнування»  наводиться інформація про </w:t>
      </w:r>
      <w:r w:rsidRPr="00726AA6">
        <w:rPr>
          <w:rFonts w:ascii="Times New Roman" w:hAnsi="Times New Roman"/>
          <w:color w:val="000000"/>
          <w:sz w:val="28"/>
          <w:szCs w:val="28"/>
        </w:rPr>
        <w:t>повноваження суб’єкта державного сектору, надані відповідно до бюджетного призначення, на взяття бюджетного зобов’язання та здійснення платежів, яке має кількісні, часові та цільові обмеження (включаючи асигнування капітального характеру).</w:t>
      </w:r>
    </w:p>
    <w:p w:rsidR="00241743" w:rsidRPr="00D222F0" w:rsidRDefault="00241743" w:rsidP="00CD58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22F0">
        <w:rPr>
          <w:rFonts w:ascii="Times New Roman" w:hAnsi="Times New Roman"/>
          <w:sz w:val="28"/>
          <w:szCs w:val="28"/>
        </w:rPr>
        <w:t xml:space="preserve">У розділі ІІІ звіту про фінансові результати планові показники за статтею «Бюджетні асигнування» </w:t>
      </w:r>
      <w:r w:rsidR="00910472" w:rsidRPr="00D222F0">
        <w:rPr>
          <w:rFonts w:ascii="Times New Roman" w:hAnsi="Times New Roman"/>
          <w:sz w:val="28"/>
          <w:szCs w:val="28"/>
        </w:rPr>
        <w:t>за загальним та спеціальним фондами</w:t>
      </w:r>
      <w:r w:rsidR="00CD58BD" w:rsidRPr="00D222F0">
        <w:rPr>
          <w:rFonts w:ascii="Times New Roman" w:hAnsi="Times New Roman"/>
          <w:sz w:val="28"/>
          <w:szCs w:val="28"/>
        </w:rPr>
        <w:t xml:space="preserve"> бюджету</w:t>
      </w:r>
      <w:r w:rsidRPr="00D222F0">
        <w:rPr>
          <w:rFonts w:ascii="Times New Roman" w:hAnsi="Times New Roman"/>
          <w:sz w:val="28"/>
          <w:szCs w:val="28"/>
        </w:rPr>
        <w:t xml:space="preserve"> включають суми 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асигнувань </w:t>
      </w:r>
      <w:r w:rsidR="00910472" w:rsidRPr="00D222F0">
        <w:rPr>
          <w:rFonts w:ascii="Times New Roman" w:hAnsi="Times New Roman"/>
          <w:sz w:val="28"/>
          <w:szCs w:val="28"/>
          <w:lang w:eastAsia="ar-SA"/>
        </w:rPr>
        <w:t xml:space="preserve">відповідно 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загального </w:t>
      </w:r>
      <w:r w:rsidR="00910472" w:rsidRPr="00D222F0">
        <w:rPr>
          <w:rFonts w:ascii="Times New Roman" w:hAnsi="Times New Roman"/>
          <w:sz w:val="28"/>
          <w:szCs w:val="28"/>
          <w:lang w:eastAsia="ar-SA"/>
        </w:rPr>
        <w:t xml:space="preserve">та </w:t>
      </w:r>
      <w:r w:rsidRPr="00D222F0">
        <w:rPr>
          <w:rFonts w:ascii="Times New Roman" w:hAnsi="Times New Roman"/>
          <w:sz w:val="28"/>
          <w:szCs w:val="28"/>
          <w:lang w:eastAsia="ar-SA"/>
        </w:rPr>
        <w:t>спеціального фонд</w:t>
      </w:r>
      <w:r w:rsidR="00910472" w:rsidRPr="00D222F0">
        <w:rPr>
          <w:rFonts w:ascii="Times New Roman" w:hAnsi="Times New Roman"/>
          <w:sz w:val="28"/>
          <w:szCs w:val="28"/>
          <w:lang w:eastAsia="ar-SA"/>
        </w:rPr>
        <w:t>ів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 бюджету </w:t>
      </w:r>
      <w:r w:rsidR="00910472" w:rsidRPr="00D222F0">
        <w:rPr>
          <w:rFonts w:ascii="Times New Roman" w:hAnsi="Times New Roman"/>
          <w:sz w:val="28"/>
          <w:szCs w:val="28"/>
          <w:lang w:eastAsia="ar-SA"/>
        </w:rPr>
        <w:t xml:space="preserve">за </w:t>
      </w:r>
      <w:r w:rsidR="00E56271" w:rsidRPr="00D222F0">
        <w:rPr>
          <w:rFonts w:ascii="Times New Roman" w:hAnsi="Times New Roman"/>
          <w:sz w:val="28"/>
          <w:szCs w:val="28"/>
          <w:lang w:eastAsia="ar-SA"/>
        </w:rPr>
        <w:t xml:space="preserve">звітний період </w:t>
      </w:r>
      <w:r w:rsidR="00E56271" w:rsidRPr="00D222F0">
        <w:rPr>
          <w:rFonts w:ascii="Times New Roman" w:hAnsi="Times New Roman"/>
          <w:sz w:val="28"/>
          <w:szCs w:val="28"/>
        </w:rPr>
        <w:t xml:space="preserve">(квартал, півріччя, 9 місяців, рік) наростаючим підсумком з початку </w:t>
      </w:r>
      <w:r w:rsidR="00C57FDB" w:rsidRPr="00D222F0">
        <w:rPr>
          <w:rFonts w:ascii="Times New Roman" w:hAnsi="Times New Roman"/>
          <w:sz w:val="28"/>
          <w:szCs w:val="28"/>
        </w:rPr>
        <w:t xml:space="preserve">звітного </w:t>
      </w:r>
      <w:r w:rsidR="00E56271" w:rsidRPr="00D222F0">
        <w:rPr>
          <w:rFonts w:ascii="Times New Roman" w:hAnsi="Times New Roman"/>
          <w:sz w:val="28"/>
          <w:szCs w:val="28"/>
        </w:rPr>
        <w:t>року</w:t>
      </w:r>
      <w:r w:rsidRPr="00D222F0">
        <w:rPr>
          <w:rFonts w:ascii="Times New Roman" w:hAnsi="Times New Roman"/>
          <w:sz w:val="28"/>
          <w:szCs w:val="28"/>
          <w:lang w:eastAsia="ar-SA"/>
        </w:rPr>
        <w:t>.</w:t>
      </w:r>
      <w:r w:rsidR="00E56271" w:rsidRPr="00D222F0">
        <w:rPr>
          <w:rFonts w:ascii="Times New Roman" w:hAnsi="Times New Roman"/>
          <w:sz w:val="28"/>
          <w:szCs w:val="28"/>
          <w:lang w:eastAsia="ar-SA"/>
        </w:rPr>
        <w:t xml:space="preserve"> За статтею «Власні надходження бюджетних установ» наводяться планові показники надходження коштів, затверджені кошторисом на рік, та планові показники з урахуванням змін.</w:t>
      </w:r>
      <w:r w:rsidR="00CC1E73" w:rsidRPr="00D222F0">
        <w:rPr>
          <w:rFonts w:ascii="Times New Roman" w:hAnsi="Times New Roman"/>
          <w:sz w:val="28"/>
          <w:szCs w:val="28"/>
          <w:lang w:eastAsia="ar-SA"/>
        </w:rPr>
        <w:t xml:space="preserve"> За статтею «Витрати» планові показники виконання кошторису наводяться </w:t>
      </w:r>
      <w:r w:rsidR="00D222F0" w:rsidRPr="00D222F0">
        <w:rPr>
          <w:rFonts w:ascii="Times New Roman" w:hAnsi="Times New Roman"/>
          <w:sz w:val="28"/>
          <w:szCs w:val="28"/>
          <w:lang w:eastAsia="ar-SA"/>
        </w:rPr>
        <w:t>в</w:t>
      </w:r>
      <w:r w:rsidR="00CC1E73" w:rsidRPr="00D222F0">
        <w:rPr>
          <w:rFonts w:ascii="Times New Roman" w:hAnsi="Times New Roman"/>
          <w:sz w:val="28"/>
          <w:szCs w:val="28"/>
          <w:lang w:eastAsia="ar-SA"/>
        </w:rPr>
        <w:t xml:space="preserve"> такому ж порядку.</w:t>
      </w:r>
      <w:r w:rsidR="00E56271" w:rsidRPr="00D222F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41743" w:rsidRDefault="00CC1E73" w:rsidP="00FB2B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2F0">
        <w:rPr>
          <w:rFonts w:ascii="Times New Roman" w:hAnsi="Times New Roman"/>
          <w:color w:val="000000"/>
          <w:sz w:val="28"/>
          <w:szCs w:val="28"/>
        </w:rPr>
        <w:t xml:space="preserve">Фактична сума виконання </w:t>
      </w:r>
      <w:r w:rsidR="00D222F0" w:rsidRPr="00D222F0">
        <w:rPr>
          <w:rFonts w:ascii="Times New Roman" w:hAnsi="Times New Roman"/>
          <w:color w:val="000000"/>
          <w:sz w:val="28"/>
          <w:szCs w:val="28"/>
        </w:rPr>
        <w:t xml:space="preserve">кошторису 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містить інформацію про суми надходжень до загального </w:t>
      </w:r>
      <w:r w:rsidR="00D222F0" w:rsidRPr="00D222F0">
        <w:rPr>
          <w:rFonts w:ascii="Times New Roman" w:hAnsi="Times New Roman"/>
          <w:sz w:val="28"/>
          <w:szCs w:val="28"/>
          <w:lang w:eastAsia="ar-SA"/>
        </w:rPr>
        <w:t xml:space="preserve">та </w:t>
      </w:r>
      <w:r w:rsidRPr="00D222F0">
        <w:rPr>
          <w:rFonts w:ascii="Times New Roman" w:hAnsi="Times New Roman"/>
          <w:sz w:val="28"/>
          <w:szCs w:val="28"/>
          <w:lang w:eastAsia="ar-SA"/>
        </w:rPr>
        <w:t>спеціального фонд</w:t>
      </w:r>
      <w:r w:rsidR="00D222F0" w:rsidRPr="00D222F0">
        <w:rPr>
          <w:rFonts w:ascii="Times New Roman" w:hAnsi="Times New Roman"/>
          <w:sz w:val="28"/>
          <w:szCs w:val="28"/>
          <w:lang w:eastAsia="ar-SA"/>
        </w:rPr>
        <w:t>ів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 бюджету з початку звітного року за відповідними кодами бюджетної класифікації доходів та суми проведених з початку звітного року касових видатків</w:t>
      </w:r>
      <w:r w:rsidRPr="00D222F0">
        <w:rPr>
          <w:rFonts w:ascii="Times New Roman" w:hAnsi="Times New Roman"/>
          <w:iCs/>
          <w:sz w:val="28"/>
          <w:szCs w:val="28"/>
          <w:lang w:eastAsia="ar-SA"/>
        </w:rPr>
        <w:t xml:space="preserve"> </w:t>
      </w:r>
      <w:r w:rsidRPr="00D222F0">
        <w:rPr>
          <w:rFonts w:ascii="Times New Roman" w:hAnsi="Times New Roman"/>
          <w:sz w:val="28"/>
          <w:szCs w:val="28"/>
          <w:lang w:eastAsia="ar-SA"/>
        </w:rPr>
        <w:t>загального</w:t>
      </w:r>
      <w:r w:rsidR="00D222F0" w:rsidRPr="00D222F0">
        <w:rPr>
          <w:rFonts w:ascii="Times New Roman" w:hAnsi="Times New Roman"/>
          <w:sz w:val="28"/>
          <w:szCs w:val="28"/>
          <w:lang w:eastAsia="ar-SA"/>
        </w:rPr>
        <w:t xml:space="preserve"> та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 спеціального фонд</w:t>
      </w:r>
      <w:r w:rsidR="00D222F0" w:rsidRPr="00D222F0">
        <w:rPr>
          <w:rFonts w:ascii="Times New Roman" w:hAnsi="Times New Roman"/>
          <w:sz w:val="28"/>
          <w:szCs w:val="28"/>
          <w:lang w:eastAsia="ar-SA"/>
        </w:rPr>
        <w:t>ів</w:t>
      </w:r>
      <w:r w:rsidRPr="00D222F0">
        <w:rPr>
          <w:rFonts w:ascii="Times New Roman" w:hAnsi="Times New Roman"/>
          <w:sz w:val="28"/>
          <w:szCs w:val="28"/>
          <w:lang w:eastAsia="ar-SA"/>
        </w:rPr>
        <w:t xml:space="preserve"> бюджету</w:t>
      </w:r>
      <w:r w:rsidR="0035627D" w:rsidRPr="00D222F0">
        <w:rPr>
          <w:rFonts w:ascii="Times New Roman" w:hAnsi="Times New Roman"/>
          <w:sz w:val="28"/>
          <w:szCs w:val="28"/>
          <w:lang w:eastAsia="ar-SA"/>
        </w:rPr>
        <w:t>.</w:t>
      </w:r>
    </w:p>
    <w:p w:rsidR="003B3600" w:rsidRDefault="004E7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74F">
        <w:rPr>
          <w:rFonts w:ascii="Times New Roman" w:hAnsi="Times New Roman"/>
          <w:sz w:val="28"/>
          <w:szCs w:val="28"/>
        </w:rPr>
        <w:t xml:space="preserve">У розділах І, ІІ, </w:t>
      </w:r>
      <w:r w:rsidRPr="0045774F">
        <w:rPr>
          <w:rFonts w:ascii="Times New Roman" w:hAnsi="Times New Roman"/>
          <w:sz w:val="28"/>
          <w:szCs w:val="28"/>
          <w:lang w:val="en-US"/>
        </w:rPr>
        <w:t>IV</w:t>
      </w:r>
      <w:r w:rsidRPr="0045774F">
        <w:rPr>
          <w:rFonts w:ascii="Times New Roman" w:hAnsi="Times New Roman"/>
          <w:sz w:val="28"/>
          <w:szCs w:val="28"/>
        </w:rPr>
        <w:t xml:space="preserve"> </w:t>
      </w:r>
      <w:r w:rsidR="00CB1AAD">
        <w:rPr>
          <w:rFonts w:ascii="Times New Roman" w:hAnsi="Times New Roman"/>
          <w:sz w:val="28"/>
          <w:szCs w:val="28"/>
        </w:rPr>
        <w:t>з</w:t>
      </w:r>
      <w:r w:rsidRPr="0045774F">
        <w:rPr>
          <w:rFonts w:ascii="Times New Roman" w:hAnsi="Times New Roman"/>
          <w:sz w:val="28"/>
          <w:szCs w:val="28"/>
        </w:rPr>
        <w:t xml:space="preserve">віту про фінансові результати </w:t>
      </w:r>
      <w:r w:rsidR="00D1744B" w:rsidRPr="0045774F">
        <w:rPr>
          <w:rFonts w:ascii="Times New Roman" w:hAnsi="Times New Roman"/>
          <w:sz w:val="28"/>
          <w:szCs w:val="28"/>
        </w:rPr>
        <w:t xml:space="preserve">у квартальній та річній фінансовій звітності </w:t>
      </w:r>
      <w:r w:rsidR="00297C19" w:rsidRPr="0045774F">
        <w:rPr>
          <w:rFonts w:ascii="Times New Roman" w:hAnsi="Times New Roman"/>
          <w:sz w:val="28"/>
          <w:szCs w:val="28"/>
        </w:rPr>
        <w:t xml:space="preserve">за </w:t>
      </w:r>
      <w:r w:rsidR="00D1744B" w:rsidRPr="0045774F">
        <w:rPr>
          <w:rFonts w:ascii="Times New Roman" w:hAnsi="Times New Roman"/>
          <w:sz w:val="28"/>
          <w:szCs w:val="28"/>
        </w:rPr>
        <w:t>2017 р</w:t>
      </w:r>
      <w:r w:rsidR="00297C19" w:rsidRPr="0045774F">
        <w:rPr>
          <w:rFonts w:ascii="Times New Roman" w:hAnsi="Times New Roman"/>
          <w:sz w:val="28"/>
          <w:szCs w:val="28"/>
        </w:rPr>
        <w:t>ік</w:t>
      </w:r>
      <w:r w:rsidR="00D1744B" w:rsidRPr="0045774F">
        <w:rPr>
          <w:rFonts w:ascii="Times New Roman" w:hAnsi="Times New Roman"/>
          <w:sz w:val="28"/>
          <w:szCs w:val="28"/>
        </w:rPr>
        <w:t xml:space="preserve"> </w:t>
      </w:r>
      <w:r w:rsidRPr="0045774F">
        <w:rPr>
          <w:rFonts w:ascii="Times New Roman" w:hAnsi="Times New Roman"/>
          <w:sz w:val="28"/>
          <w:szCs w:val="28"/>
        </w:rPr>
        <w:t xml:space="preserve">інформація </w:t>
      </w:r>
      <w:r w:rsidR="00D1744B" w:rsidRPr="0045774F">
        <w:rPr>
          <w:rFonts w:ascii="Times New Roman" w:hAnsi="Times New Roman"/>
          <w:sz w:val="28"/>
          <w:szCs w:val="28"/>
        </w:rPr>
        <w:t xml:space="preserve">за статтями доходів і витрат за аналогічний період </w:t>
      </w:r>
      <w:r w:rsidRPr="0045774F">
        <w:rPr>
          <w:rFonts w:ascii="Times New Roman" w:hAnsi="Times New Roman"/>
          <w:sz w:val="28"/>
          <w:szCs w:val="28"/>
        </w:rPr>
        <w:t>попередн</w:t>
      </w:r>
      <w:r w:rsidR="00D1744B" w:rsidRPr="0045774F">
        <w:rPr>
          <w:rFonts w:ascii="Times New Roman" w:hAnsi="Times New Roman"/>
          <w:sz w:val="28"/>
          <w:szCs w:val="28"/>
        </w:rPr>
        <w:t>ього</w:t>
      </w:r>
      <w:r w:rsidRPr="0045774F">
        <w:rPr>
          <w:rFonts w:ascii="Times New Roman" w:hAnsi="Times New Roman"/>
          <w:sz w:val="28"/>
          <w:szCs w:val="28"/>
        </w:rPr>
        <w:t xml:space="preserve"> </w:t>
      </w:r>
      <w:r w:rsidR="00D1744B" w:rsidRPr="0045774F">
        <w:rPr>
          <w:rFonts w:ascii="Times New Roman" w:hAnsi="Times New Roman"/>
          <w:sz w:val="28"/>
          <w:szCs w:val="28"/>
        </w:rPr>
        <w:t>року не наводиться.</w:t>
      </w:r>
      <w:r w:rsidRPr="0045774F">
        <w:rPr>
          <w:rFonts w:ascii="Times New Roman" w:hAnsi="Times New Roman"/>
          <w:sz w:val="28"/>
          <w:szCs w:val="28"/>
        </w:rPr>
        <w:t xml:space="preserve"> </w:t>
      </w:r>
    </w:p>
    <w:p w:rsidR="008923E2" w:rsidRPr="0045774F" w:rsidRDefault="00D07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Звіряння показників форм квартальної фінансової звітності з показниками бюджетної звітності не здійснюється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C2179" w:rsidRPr="0045774F" w:rsidRDefault="006B15AF" w:rsidP="00D1744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Елементи квартальної фінансової звітності розкриваються у</w:t>
      </w:r>
      <w:r w:rsidR="007D6356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anchor="n637" w:history="1">
        <w:r w:rsidRPr="0045774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пояснювальній записці</w:t>
        </w:r>
      </w:hyperlink>
      <w:r w:rsidRPr="0045774F">
        <w:rPr>
          <w:rFonts w:ascii="Times New Roman" w:hAnsi="Times New Roman"/>
          <w:sz w:val="28"/>
          <w:szCs w:val="28"/>
        </w:rPr>
        <w:t xml:space="preserve">. </w:t>
      </w:r>
      <w:r w:rsidR="00500DCF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Інформація про суб’єкт державного сектору,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яка підлягає розкриттю у фінансовій звітності,</w:t>
      </w:r>
      <w:r w:rsidR="00500DCF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обрану облікову політику 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та додатковий аналіз статей </w:t>
      </w:r>
      <w:r w:rsidR="00E544A7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фінансової 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звітності, </w:t>
      </w:r>
      <w:r w:rsidR="00E976DB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необхідний 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для забезпечення її зрозумілості</w:t>
      </w:r>
      <w:r w:rsidR="00E976DB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навод</w:t>
      </w:r>
      <w:r w:rsidR="00E544A7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и</w:t>
      </w:r>
      <w:r w:rsidR="00176AD0" w:rsidRPr="004577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ться відповідно до вимог розділу ХІ </w:t>
      </w:r>
      <w:r w:rsidR="00176AD0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НП(С)БО</w:t>
      </w:r>
      <w:r w:rsidR="00E976DB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</w:t>
      </w:r>
      <w:r w:rsidR="00176AD0"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101.</w:t>
      </w:r>
    </w:p>
    <w:p w:rsidR="00275229" w:rsidRPr="0045774F" w:rsidRDefault="00275229" w:rsidP="00275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Консолідована фінансова звітність складається 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фор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мами, визначеними НП(С)БОДС 101,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шляхом впорядкованого додавання показників фінансової звітності контрольованих суб’єктів державного сектору до аналогічних показників фінансової звітності контролюючого суб’єкта державного сектору </w:t>
      </w:r>
      <w:r w:rsidRPr="00D17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відповідно до </w:t>
      </w:r>
      <w:r w:rsidRPr="00334F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вимог</w:t>
      </w:r>
      <w:r w:rsidRPr="0027522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визначених </w:t>
      </w:r>
      <w:r w:rsidRPr="002752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2752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розд</w:t>
      </w:r>
      <w:r w:rsidRPr="008E6F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ілу</w:t>
      </w:r>
      <w:r w:rsidRPr="0027522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E6F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II</w:t>
      </w:r>
      <w:r w:rsidRPr="0027522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Національн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положення (стандарт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бухгалтерського обліку в державному секторі 102 «Консолідована фінансова звітність», затвердженого наказом </w:t>
      </w:r>
      <w:r w:rsidRPr="0045774F">
        <w:rPr>
          <w:rFonts w:ascii="Times New Roman" w:hAnsi="Times New Roman"/>
          <w:sz w:val="28"/>
          <w:szCs w:val="28"/>
          <w:shd w:val="clear" w:color="auto" w:fill="FFFFFF"/>
        </w:rPr>
        <w:t xml:space="preserve">Міністерства фінансів України 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 24.12.2010 № 1629, зареєстрованим у Міністерстві юстиції України 20.01.2011 за № 87/18825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7228" w:rsidRPr="0045774F" w:rsidRDefault="002B7228" w:rsidP="002B72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7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Головні розпорядники бюджетних коштів до зведеної річної фінансової звітності окремо подають зведену фінансову звітність розпорядників та одержувачів бюджетних коштів, що знаходяться на тимчасово окупованій території.</w:t>
      </w:r>
    </w:p>
    <w:p w:rsidR="00F07215" w:rsidRPr="0045774F" w:rsidRDefault="008C2179" w:rsidP="00D1744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o60"/>
      <w:bookmarkEnd w:id="0"/>
      <w:r w:rsidRPr="0045774F">
        <w:rPr>
          <w:rFonts w:ascii="Times New Roman" w:hAnsi="Times New Roman"/>
          <w:color w:val="000000"/>
          <w:sz w:val="28"/>
          <w:szCs w:val="28"/>
        </w:rPr>
        <w:t>У фінансовій звітності інформація про активи, до яких н</w:t>
      </w:r>
      <w:r w:rsidR="007D6356" w:rsidRPr="0045774F">
        <w:rPr>
          <w:rFonts w:ascii="Times New Roman" w:hAnsi="Times New Roman"/>
          <w:color w:val="000000"/>
          <w:sz w:val="28"/>
          <w:szCs w:val="28"/>
        </w:rPr>
        <w:t xml:space="preserve">еможливо </w:t>
      </w:r>
      <w:r w:rsidRPr="0045774F">
        <w:rPr>
          <w:rFonts w:ascii="Times New Roman" w:hAnsi="Times New Roman"/>
          <w:color w:val="000000"/>
          <w:sz w:val="28"/>
          <w:szCs w:val="28"/>
        </w:rPr>
        <w:t>забезпечити  безпечний та безперешкодний доступ, та зобов’язання і власний капітал, які не можуть бути документально підтвердже</w:t>
      </w:r>
      <w:r w:rsidR="00E976DB" w:rsidRPr="0045774F">
        <w:rPr>
          <w:rFonts w:ascii="Times New Roman" w:hAnsi="Times New Roman"/>
          <w:color w:val="000000"/>
          <w:sz w:val="28"/>
          <w:szCs w:val="28"/>
        </w:rPr>
        <w:t xml:space="preserve">ні у зв’язку з відсутністю 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доступу до відповідних первинних документів та регістрів бухгалтерського обліку, відображається за даними бухгалтерського обліку.  </w:t>
      </w:r>
    </w:p>
    <w:p w:rsidR="003B3600" w:rsidRPr="0045774F" w:rsidRDefault="009E7691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5774F">
        <w:rPr>
          <w:rFonts w:ascii="Times New Roman" w:hAnsi="Times New Roman"/>
          <w:color w:val="000000"/>
          <w:sz w:val="28"/>
          <w:szCs w:val="28"/>
        </w:rPr>
        <w:t>З</w:t>
      </w:r>
      <w:r w:rsidR="00530A8C" w:rsidRPr="0045774F">
        <w:rPr>
          <w:rFonts w:ascii="Times New Roman" w:hAnsi="Times New Roman"/>
          <w:color w:val="000000"/>
          <w:sz w:val="28"/>
          <w:szCs w:val="28"/>
        </w:rPr>
        <w:t>окрема,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0A8C" w:rsidRPr="0045774F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відображення </w:t>
      </w:r>
      <w:r w:rsidR="00CE07D6" w:rsidRPr="0045774F">
        <w:rPr>
          <w:rFonts w:ascii="Times New Roman" w:hAnsi="Times New Roman"/>
          <w:color w:val="000000"/>
          <w:sz w:val="28"/>
          <w:szCs w:val="28"/>
        </w:rPr>
        <w:t>таких даних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 в активі і пасиві </w:t>
      </w:r>
      <w:r w:rsidR="00530A8C" w:rsidRPr="0045774F">
        <w:rPr>
          <w:rFonts w:ascii="Times New Roman" w:hAnsi="Times New Roman"/>
          <w:sz w:val="28"/>
          <w:szCs w:val="28"/>
        </w:rPr>
        <w:t>б</w:t>
      </w:r>
      <w:r w:rsidRPr="0045774F">
        <w:rPr>
          <w:rFonts w:ascii="Times New Roman" w:hAnsi="Times New Roman"/>
          <w:sz w:val="28"/>
          <w:szCs w:val="28"/>
        </w:rPr>
        <w:t>аланс</w:t>
      </w:r>
      <w:r w:rsidR="00530A8C" w:rsidRPr="0045774F">
        <w:rPr>
          <w:rFonts w:ascii="Times New Roman" w:hAnsi="Times New Roman"/>
          <w:sz w:val="28"/>
          <w:szCs w:val="28"/>
        </w:rPr>
        <w:t>у</w:t>
      </w:r>
      <w:r w:rsidRPr="0045774F">
        <w:rPr>
          <w:rFonts w:ascii="Times New Roman" w:hAnsi="Times New Roman"/>
          <w:sz w:val="28"/>
          <w:szCs w:val="28"/>
        </w:rPr>
        <w:t xml:space="preserve"> на початок звітного періоду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2D98" w:rsidRPr="0045774F">
        <w:rPr>
          <w:rFonts w:ascii="Times New Roman" w:hAnsi="Times New Roman"/>
          <w:color w:val="000000"/>
          <w:sz w:val="28"/>
          <w:szCs w:val="28"/>
        </w:rPr>
        <w:t xml:space="preserve">суб’єктом державного сектору створюється комісія, якою може бути підтверджено </w:t>
      </w:r>
      <w:r w:rsidRPr="0045774F">
        <w:rPr>
          <w:rFonts w:ascii="Times New Roman" w:hAnsi="Times New Roman"/>
          <w:color w:val="000000"/>
          <w:sz w:val="28"/>
          <w:szCs w:val="28"/>
        </w:rPr>
        <w:t>достовірність</w:t>
      </w:r>
      <w:r w:rsidR="00B52D98" w:rsidRPr="0045774F">
        <w:rPr>
          <w:rFonts w:ascii="Times New Roman" w:hAnsi="Times New Roman"/>
          <w:color w:val="000000"/>
          <w:sz w:val="28"/>
          <w:szCs w:val="28"/>
        </w:rPr>
        <w:t xml:space="preserve"> інформації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B52D98" w:rsidRPr="0045774F">
        <w:rPr>
          <w:rFonts w:ascii="Times New Roman" w:hAnsi="Times New Roman"/>
          <w:color w:val="000000"/>
          <w:sz w:val="28"/>
          <w:szCs w:val="28"/>
        </w:rPr>
        <w:t xml:space="preserve">на основі </w:t>
      </w:r>
      <w:r w:rsidR="00CE07D6" w:rsidRPr="0045774F">
        <w:rPr>
          <w:rFonts w:ascii="Times New Roman" w:hAnsi="Times New Roman"/>
          <w:color w:val="000000"/>
          <w:sz w:val="28"/>
          <w:szCs w:val="28"/>
        </w:rPr>
        <w:t>даних бухгалтерського обліку,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наявни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х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первинни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х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ів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і регістр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ів</w:t>
      </w:r>
      <w:r w:rsidR="00E976DB" w:rsidRPr="004577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>бухгалтерського обліку,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530A8C" w:rsidRPr="0045774F">
        <w:rPr>
          <w:rFonts w:ascii="Times New Roman" w:hAnsi="Times New Roman"/>
          <w:color w:val="000000"/>
          <w:sz w:val="28"/>
          <w:szCs w:val="28"/>
        </w:rPr>
        <w:t>у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разі їх відсутності </w:t>
      </w:r>
      <w:r w:rsidR="007D6356" w:rsidRPr="0045774F">
        <w:rPr>
          <w:rFonts w:ascii="Times New Roman" w:hAnsi="Times New Roman"/>
          <w:color w:val="000000"/>
          <w:sz w:val="28"/>
          <w:szCs w:val="28"/>
        </w:rPr>
        <w:t>–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інши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>документ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ів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(інформаці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>ї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>), визна</w:t>
      </w:r>
      <w:r w:rsidR="00B52D98" w:rsidRPr="0045774F">
        <w:rPr>
          <w:rFonts w:ascii="Times New Roman" w:hAnsi="Times New Roman"/>
          <w:color w:val="000000"/>
          <w:sz w:val="28"/>
          <w:szCs w:val="28"/>
        </w:rPr>
        <w:t>них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достатніми для ідентифікації майна та встановлення його належності</w:t>
      </w:r>
      <w:r w:rsidR="005A59DD" w:rsidRPr="0045774F">
        <w:rPr>
          <w:rFonts w:ascii="Times New Roman" w:hAnsi="Times New Roman"/>
          <w:color w:val="000000"/>
          <w:sz w:val="28"/>
          <w:szCs w:val="28"/>
        </w:rPr>
        <w:t xml:space="preserve"> та розрахунків.</w:t>
      </w:r>
      <w:r w:rsidR="00F07215" w:rsidRPr="0045774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7215" w:rsidRDefault="00F07215" w:rsidP="00D1744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5774F">
        <w:rPr>
          <w:rFonts w:ascii="Times New Roman" w:hAnsi="Times New Roman"/>
          <w:color w:val="000000"/>
          <w:sz w:val="28"/>
          <w:szCs w:val="28"/>
        </w:rPr>
        <w:t xml:space="preserve">Суб’єкти державного сектору, майно яких розміщене на тимчасово окупованій території та/або на території проведення антитерористичної операції, зобов’язані провести інвентаризацію зазначеного майна станом на </w:t>
      </w:r>
      <w:r w:rsidR="00E976DB" w:rsidRPr="0045774F">
        <w:rPr>
          <w:rFonts w:ascii="Times New Roman" w:hAnsi="Times New Roman"/>
          <w:color w:val="000000"/>
          <w:sz w:val="28"/>
          <w:szCs w:val="28"/>
        </w:rPr>
        <w:t xml:space="preserve">перше число </w:t>
      </w:r>
      <w:r w:rsidRPr="0045774F">
        <w:rPr>
          <w:rFonts w:ascii="Times New Roman" w:hAnsi="Times New Roman"/>
          <w:color w:val="000000"/>
          <w:sz w:val="28"/>
          <w:szCs w:val="28"/>
        </w:rPr>
        <w:t xml:space="preserve">місяця, що настає за місяцем, в якому виникла можливість доступу до активів, первинних документів і регістрів бухгалтерського обліку, та відобразити результати </w:t>
      </w:r>
      <w:r w:rsidR="007D6356" w:rsidRPr="0045774F">
        <w:rPr>
          <w:rFonts w:ascii="Times New Roman" w:hAnsi="Times New Roman"/>
          <w:color w:val="000000"/>
          <w:sz w:val="28"/>
          <w:szCs w:val="28"/>
        </w:rPr>
        <w:t xml:space="preserve">інвентаризації </w:t>
      </w:r>
      <w:r w:rsidRPr="0045774F">
        <w:rPr>
          <w:rFonts w:ascii="Times New Roman" w:hAnsi="Times New Roman"/>
          <w:color w:val="000000"/>
          <w:sz w:val="28"/>
          <w:szCs w:val="28"/>
        </w:rPr>
        <w:t>у бухгалтерському обліку за відповідний звітний період.</w:t>
      </w:r>
      <w:r w:rsidRPr="006B15A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426DC" w:rsidRPr="00B561BF" w:rsidRDefault="000A754B" w:rsidP="00D1744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належного застосування суб’єктами державного сектору </w:t>
      </w:r>
      <w:r w:rsidRPr="00F501CC">
        <w:rPr>
          <w:rFonts w:ascii="Times New Roman" w:hAnsi="Times New Roman"/>
          <w:color w:val="000000"/>
          <w:sz w:val="28"/>
          <w:szCs w:val="28"/>
        </w:rPr>
        <w:t>Плану рахунків бухгалтерського обліку в державному секторі, затвердженого наказом Міністерства фінансі</w:t>
      </w:r>
      <w:r>
        <w:rPr>
          <w:rFonts w:ascii="Times New Roman" w:hAnsi="Times New Roman"/>
          <w:color w:val="000000"/>
          <w:sz w:val="28"/>
          <w:szCs w:val="28"/>
        </w:rPr>
        <w:t>в України від 31.12.2013 № 1203</w:t>
      </w:r>
      <w:r w:rsidR="00470C1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0C1F">
        <w:rPr>
          <w:rFonts w:ascii="Times New Roman" w:hAnsi="Times New Roman"/>
          <w:color w:val="000000"/>
          <w:sz w:val="28"/>
          <w:szCs w:val="28"/>
        </w:rPr>
        <w:t>який запроваджений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5C2" w:rsidRPr="00D075C2">
        <w:rPr>
          <w:rFonts w:ascii="Times New Roman" w:hAnsi="Times New Roman"/>
          <w:color w:val="000000"/>
          <w:sz w:val="28"/>
          <w:szCs w:val="28"/>
        </w:rPr>
        <w:t xml:space="preserve"> з 01.01.2017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075C2" w:rsidRPr="00D075C2">
        <w:rPr>
          <w:rFonts w:ascii="Times New Roman" w:hAnsi="Times New Roman"/>
          <w:color w:val="000000"/>
          <w:sz w:val="28"/>
          <w:szCs w:val="28"/>
        </w:rPr>
        <w:t xml:space="preserve"> пропону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D075C2" w:rsidRPr="00D075C2">
        <w:rPr>
          <w:rFonts w:ascii="Times New Roman" w:hAnsi="Times New Roman"/>
          <w:color w:val="000000"/>
          <w:sz w:val="28"/>
          <w:szCs w:val="28"/>
        </w:rPr>
        <w:t>ться</w:t>
      </w:r>
      <w:r w:rsidR="00D075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5C2" w:rsidRPr="00D075C2">
        <w:rPr>
          <w:rFonts w:ascii="Times New Roman" w:hAnsi="Times New Roman"/>
          <w:color w:val="000000"/>
          <w:sz w:val="28"/>
          <w:szCs w:val="28"/>
        </w:rPr>
        <w:t>рекомендації щодо співставлення статей балансу і субрахунків бухгалтерського обліку</w:t>
      </w:r>
      <w:r w:rsidR="000A5CF3" w:rsidRPr="000A5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CF3">
        <w:rPr>
          <w:rFonts w:ascii="Times New Roman" w:hAnsi="Times New Roman"/>
          <w:color w:val="000000"/>
          <w:sz w:val="28"/>
          <w:szCs w:val="28"/>
        </w:rPr>
        <w:t>розпорядників бюджетних коштів</w:t>
      </w:r>
      <w:r w:rsidR="00D075C2" w:rsidRPr="00D075C2">
        <w:rPr>
          <w:rFonts w:ascii="Times New Roman" w:hAnsi="Times New Roman"/>
          <w:color w:val="000000"/>
          <w:sz w:val="28"/>
          <w:szCs w:val="28"/>
        </w:rPr>
        <w:t>, що додаються.</w:t>
      </w:r>
    </w:p>
    <w:p w:rsidR="00B561BF" w:rsidRDefault="00B561BF" w:rsidP="00D1744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B561BF" w:rsidRDefault="00B561BF" w:rsidP="00B561BF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Додаток: на </w:t>
      </w:r>
      <w:r w:rsidR="00D222F0">
        <w:rPr>
          <w:rFonts w:ascii="Times New Roman" w:hAnsi="Times New Roman"/>
          <w:color w:val="000000"/>
          <w:sz w:val="28"/>
          <w:szCs w:val="28"/>
          <w:lang w:val="uk-UA"/>
        </w:rPr>
        <w:t>__</w:t>
      </w:r>
      <w:r w:rsidR="000A5C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арк.</w:t>
      </w:r>
    </w:p>
    <w:p w:rsidR="00FB2B75" w:rsidRPr="00FB2B75" w:rsidRDefault="00FB2B75" w:rsidP="00D222F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B2B75" w:rsidRPr="007912B4" w:rsidRDefault="00FB2B75" w:rsidP="00FB2B75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Державний секретар</w:t>
      </w:r>
      <w:r w:rsidRPr="007912B4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</w:t>
      </w:r>
      <w:r w:rsidRPr="007912B4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Є. КАПІНУС</w:t>
      </w:r>
    </w:p>
    <w:p w:rsidR="006B15AF" w:rsidRDefault="006B15AF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61"/>
      <w:bookmarkEnd w:id="1"/>
    </w:p>
    <w:p w:rsid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22F0" w:rsidRPr="00D222F0" w:rsidRDefault="00D222F0" w:rsidP="00D222F0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18"/>
          <w:szCs w:val="18"/>
          <w:lang w:val="uk-UA"/>
        </w:rPr>
        <w:t>Токарева 206-58-40</w:t>
      </w:r>
    </w:p>
    <w:sectPr w:rsidR="00D222F0" w:rsidRPr="00D222F0" w:rsidSect="00922C5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32" w:rsidRDefault="001F6432" w:rsidP="00922C58">
      <w:pPr>
        <w:spacing w:after="0" w:line="240" w:lineRule="auto"/>
      </w:pPr>
      <w:r>
        <w:separator/>
      </w:r>
    </w:p>
  </w:endnote>
  <w:endnote w:type="continuationSeparator" w:id="1">
    <w:p w:rsidR="001F6432" w:rsidRDefault="001F6432" w:rsidP="0092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32" w:rsidRDefault="001F6432" w:rsidP="00922C58">
      <w:pPr>
        <w:spacing w:after="0" w:line="240" w:lineRule="auto"/>
      </w:pPr>
      <w:r>
        <w:separator/>
      </w:r>
    </w:p>
  </w:footnote>
  <w:footnote w:type="continuationSeparator" w:id="1">
    <w:p w:rsidR="001F6432" w:rsidRDefault="001F6432" w:rsidP="0092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58" w:rsidRDefault="00D075C2">
    <w:pPr>
      <w:pStyle w:val="a4"/>
      <w:jc w:val="center"/>
    </w:pPr>
    <w:r w:rsidRPr="00D075C2">
      <w:rPr>
        <w:rFonts w:ascii="Times New Roman" w:hAnsi="Times New Roman"/>
        <w:sz w:val="28"/>
        <w:szCs w:val="28"/>
      </w:rPr>
      <w:fldChar w:fldCharType="begin"/>
    </w:r>
    <w:r w:rsidRPr="00D075C2">
      <w:rPr>
        <w:rFonts w:ascii="Times New Roman" w:hAnsi="Times New Roman"/>
        <w:sz w:val="28"/>
        <w:szCs w:val="28"/>
      </w:rPr>
      <w:instrText xml:space="preserve"> PAGE   \* MERGEFORMAT </w:instrText>
    </w:r>
    <w:r w:rsidRPr="00D075C2">
      <w:rPr>
        <w:rFonts w:ascii="Times New Roman" w:hAnsi="Times New Roman"/>
        <w:sz w:val="28"/>
        <w:szCs w:val="28"/>
      </w:rPr>
      <w:fldChar w:fldCharType="separate"/>
    </w:r>
    <w:r w:rsidR="008D24B8">
      <w:rPr>
        <w:rFonts w:ascii="Times New Roman" w:hAnsi="Times New Roman"/>
        <w:noProof/>
        <w:sz w:val="28"/>
        <w:szCs w:val="28"/>
      </w:rPr>
      <w:t>3</w:t>
    </w:r>
    <w:r w:rsidRPr="00D075C2">
      <w:rPr>
        <w:rFonts w:ascii="Times New Roman" w:hAnsi="Times New Roman"/>
        <w:noProof/>
        <w:sz w:val="28"/>
        <w:szCs w:val="28"/>
      </w:rPr>
      <w:fldChar w:fldCharType="end"/>
    </w:r>
  </w:p>
  <w:p w:rsidR="00922C58" w:rsidRDefault="00922C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31A"/>
    <w:rsid w:val="00003998"/>
    <w:rsid w:val="00015B6E"/>
    <w:rsid w:val="00040B3D"/>
    <w:rsid w:val="00060721"/>
    <w:rsid w:val="00065B55"/>
    <w:rsid w:val="00074280"/>
    <w:rsid w:val="000A5CF3"/>
    <w:rsid w:val="000A754B"/>
    <w:rsid w:val="00114B29"/>
    <w:rsid w:val="00176AD0"/>
    <w:rsid w:val="001772E8"/>
    <w:rsid w:val="00184BD6"/>
    <w:rsid w:val="00185F1E"/>
    <w:rsid w:val="001A7462"/>
    <w:rsid w:val="001C724A"/>
    <w:rsid w:val="001E23BB"/>
    <w:rsid w:val="001E3355"/>
    <w:rsid w:val="001F6432"/>
    <w:rsid w:val="00201AEE"/>
    <w:rsid w:val="00236B8D"/>
    <w:rsid w:val="00241743"/>
    <w:rsid w:val="00275229"/>
    <w:rsid w:val="00297C19"/>
    <w:rsid w:val="002B6424"/>
    <w:rsid w:val="002B6B4E"/>
    <w:rsid w:val="002B7228"/>
    <w:rsid w:val="002C561C"/>
    <w:rsid w:val="002C6CF6"/>
    <w:rsid w:val="002D114E"/>
    <w:rsid w:val="002E1195"/>
    <w:rsid w:val="00300AD5"/>
    <w:rsid w:val="00334F6F"/>
    <w:rsid w:val="0035627D"/>
    <w:rsid w:val="00367BF6"/>
    <w:rsid w:val="00383AF2"/>
    <w:rsid w:val="003B3600"/>
    <w:rsid w:val="003C169C"/>
    <w:rsid w:val="004061AA"/>
    <w:rsid w:val="0045774F"/>
    <w:rsid w:val="00470C1F"/>
    <w:rsid w:val="004779E0"/>
    <w:rsid w:val="00484330"/>
    <w:rsid w:val="004C445C"/>
    <w:rsid w:val="004E419F"/>
    <w:rsid w:val="004E7018"/>
    <w:rsid w:val="004F1476"/>
    <w:rsid w:val="004F6ED2"/>
    <w:rsid w:val="00500DCF"/>
    <w:rsid w:val="00503ED6"/>
    <w:rsid w:val="00530A8C"/>
    <w:rsid w:val="00583445"/>
    <w:rsid w:val="005955C0"/>
    <w:rsid w:val="005A063D"/>
    <w:rsid w:val="005A59DD"/>
    <w:rsid w:val="005C1A3F"/>
    <w:rsid w:val="006426DC"/>
    <w:rsid w:val="00664EA0"/>
    <w:rsid w:val="00665ECC"/>
    <w:rsid w:val="006730FC"/>
    <w:rsid w:val="00677840"/>
    <w:rsid w:val="006B15AF"/>
    <w:rsid w:val="006D39DD"/>
    <w:rsid w:val="006F50E4"/>
    <w:rsid w:val="00726AA6"/>
    <w:rsid w:val="007912B4"/>
    <w:rsid w:val="007C4EB7"/>
    <w:rsid w:val="007D6356"/>
    <w:rsid w:val="007E093A"/>
    <w:rsid w:val="007F14A9"/>
    <w:rsid w:val="00817969"/>
    <w:rsid w:val="00832898"/>
    <w:rsid w:val="0083613C"/>
    <w:rsid w:val="00854127"/>
    <w:rsid w:val="00876ED4"/>
    <w:rsid w:val="00881066"/>
    <w:rsid w:val="008923E2"/>
    <w:rsid w:val="00894A10"/>
    <w:rsid w:val="008C2179"/>
    <w:rsid w:val="008D0CD5"/>
    <w:rsid w:val="008D24B8"/>
    <w:rsid w:val="008E6FC5"/>
    <w:rsid w:val="008F2375"/>
    <w:rsid w:val="008F58C1"/>
    <w:rsid w:val="00910472"/>
    <w:rsid w:val="00922C58"/>
    <w:rsid w:val="00941FD5"/>
    <w:rsid w:val="00950E47"/>
    <w:rsid w:val="0095737D"/>
    <w:rsid w:val="00976996"/>
    <w:rsid w:val="009D3AF8"/>
    <w:rsid w:val="009E479A"/>
    <w:rsid w:val="009E7691"/>
    <w:rsid w:val="009F2C95"/>
    <w:rsid w:val="009F6947"/>
    <w:rsid w:val="00A1107D"/>
    <w:rsid w:val="00A132F4"/>
    <w:rsid w:val="00A150D7"/>
    <w:rsid w:val="00A278E4"/>
    <w:rsid w:val="00A5422A"/>
    <w:rsid w:val="00A76FD8"/>
    <w:rsid w:val="00A91F4F"/>
    <w:rsid w:val="00B5131A"/>
    <w:rsid w:val="00B52D98"/>
    <w:rsid w:val="00B561BF"/>
    <w:rsid w:val="00B83DB0"/>
    <w:rsid w:val="00B84ADC"/>
    <w:rsid w:val="00BA4985"/>
    <w:rsid w:val="00C24FA3"/>
    <w:rsid w:val="00C57FDB"/>
    <w:rsid w:val="00C8454F"/>
    <w:rsid w:val="00C87D08"/>
    <w:rsid w:val="00CA5776"/>
    <w:rsid w:val="00CA5930"/>
    <w:rsid w:val="00CB120C"/>
    <w:rsid w:val="00CB1AAD"/>
    <w:rsid w:val="00CC1E73"/>
    <w:rsid w:val="00CD1AAC"/>
    <w:rsid w:val="00CD58BD"/>
    <w:rsid w:val="00CE07D6"/>
    <w:rsid w:val="00D075C2"/>
    <w:rsid w:val="00D1744B"/>
    <w:rsid w:val="00D222F0"/>
    <w:rsid w:val="00D36D62"/>
    <w:rsid w:val="00D423B1"/>
    <w:rsid w:val="00D57217"/>
    <w:rsid w:val="00D70257"/>
    <w:rsid w:val="00D87511"/>
    <w:rsid w:val="00D87889"/>
    <w:rsid w:val="00D92831"/>
    <w:rsid w:val="00DE5157"/>
    <w:rsid w:val="00E255CF"/>
    <w:rsid w:val="00E25E52"/>
    <w:rsid w:val="00E26559"/>
    <w:rsid w:val="00E373E9"/>
    <w:rsid w:val="00E544A7"/>
    <w:rsid w:val="00E56271"/>
    <w:rsid w:val="00E825B9"/>
    <w:rsid w:val="00E90C55"/>
    <w:rsid w:val="00E96A82"/>
    <w:rsid w:val="00E976DB"/>
    <w:rsid w:val="00F07215"/>
    <w:rsid w:val="00F11C21"/>
    <w:rsid w:val="00F205F0"/>
    <w:rsid w:val="00F21597"/>
    <w:rsid w:val="00F27D52"/>
    <w:rsid w:val="00F5702B"/>
    <w:rsid w:val="00F6729B"/>
    <w:rsid w:val="00F91F8A"/>
    <w:rsid w:val="00FA1835"/>
    <w:rsid w:val="00FA5407"/>
    <w:rsid w:val="00FB2B75"/>
    <w:rsid w:val="00FB5597"/>
    <w:rsid w:val="00FE2946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F6"/>
    <w:pPr>
      <w:spacing w:after="200" w:line="276" w:lineRule="auto"/>
    </w:pPr>
    <w:rPr>
      <w:sz w:val="22"/>
      <w:szCs w:val="22"/>
      <w:lang w:val="uk-UA" w:eastAsia="uk-UA"/>
    </w:rPr>
  </w:style>
  <w:style w:type="paragraph" w:styleId="3">
    <w:name w:val="heading 3"/>
    <w:basedOn w:val="a"/>
    <w:link w:val="30"/>
    <w:uiPriority w:val="9"/>
    <w:qFormat/>
    <w:rsid w:val="00A76F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31A"/>
  </w:style>
  <w:style w:type="character" w:styleId="a3">
    <w:name w:val="Hyperlink"/>
    <w:uiPriority w:val="99"/>
    <w:semiHidden/>
    <w:unhideWhenUsed/>
    <w:rsid w:val="00B513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C2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8C217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8C21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A76FD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Обычный (веб)1"/>
    <w:basedOn w:val="a"/>
    <w:rsid w:val="00C8454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4">
    <w:name w:val="header"/>
    <w:basedOn w:val="a"/>
    <w:link w:val="a5"/>
    <w:uiPriority w:val="99"/>
    <w:unhideWhenUsed/>
    <w:rsid w:val="00922C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C58"/>
  </w:style>
  <w:style w:type="paragraph" w:styleId="a6">
    <w:name w:val="footer"/>
    <w:basedOn w:val="a"/>
    <w:link w:val="a7"/>
    <w:uiPriority w:val="99"/>
    <w:unhideWhenUsed/>
    <w:rsid w:val="00922C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C58"/>
  </w:style>
  <w:style w:type="paragraph" w:styleId="a8">
    <w:name w:val="Balloon Text"/>
    <w:basedOn w:val="a"/>
    <w:link w:val="a9"/>
    <w:uiPriority w:val="99"/>
    <w:semiHidden/>
    <w:unhideWhenUsed/>
    <w:rsid w:val="00D875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8751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095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0103-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on3.rada.gov.ua/laws/show/z0196-12/paran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7509</CharactersWithSpaces>
  <SharedDoc>false</SharedDoc>
  <HLinks>
    <vt:vector size="18" baseType="variant">
      <vt:variant>
        <vt:i4>5767183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http://zakon3.rada.gov.ua/laws/show/z0196-12/paran637</vt:lpwstr>
      </vt:variant>
      <vt:variant>
        <vt:lpwstr>n637</vt:lpwstr>
      </vt:variant>
      <vt:variant>
        <vt:i4>327753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http://zakon3.rada.gov.ua/laws/show/z0095-11</vt:lpwstr>
      </vt:variant>
      <vt:variant>
        <vt:lpwstr/>
      </vt:variant>
      <vt:variant>
        <vt:i4>852046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http://zakon3.rada.gov.ua/laws/show/z0103-10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SunRay</cp:lastModifiedBy>
  <cp:revision>2</cp:revision>
  <cp:lastPrinted>2017-03-22T07:39:00Z</cp:lastPrinted>
  <dcterms:created xsi:type="dcterms:W3CDTF">2017-03-29T09:52:00Z</dcterms:created>
  <dcterms:modified xsi:type="dcterms:W3CDTF">2017-03-29T09:52:00Z</dcterms:modified>
</cp:coreProperties>
</file>