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C269" w14:textId="77777777" w:rsidR="00C94743" w:rsidRPr="00F1262D" w:rsidRDefault="00C94743" w:rsidP="00710A7D">
      <w:pPr>
        <w:shd w:val="clear" w:color="auto" w:fill="FFFFFF"/>
        <w:spacing w:after="12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bookmarkStart w:id="0" w:name="_GoBack"/>
      <w:bookmarkEnd w:id="0"/>
      <w:r w:rsidRPr="00F1262D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ЗМІНИ</w:t>
      </w:r>
      <w:r w:rsidRPr="00F1262D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декларації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прибуток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</w:t>
      </w:r>
    </w:p>
    <w:p w14:paraId="57EE1407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commentRangeStart w:id="1"/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14:paraId="6383413C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14:paraId="3D6A7BD4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"/>
        <w:gridCol w:w="655"/>
        <w:gridCol w:w="784"/>
        <w:gridCol w:w="784"/>
        <w:gridCol w:w="7458"/>
        <w:gridCol w:w="300"/>
      </w:tblGrid>
      <w:tr w:rsidR="00C94743" w:rsidRPr="00F1262D" w14:paraId="500AE465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1D5679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B2D5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68" w:type="dxa"/>
            </w:tcMar>
          </w:tcPr>
          <w:p w14:paraId="3757EE4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435BE03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36B4BAE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визначає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вигляді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мінімального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4E73EAFE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4CE8D387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1B07BDE8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показниках:</w:t>
      </w:r>
    </w:p>
    <w:p w14:paraId="130D3B49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06.1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7431"/>
        <w:gridCol w:w="1502"/>
        <w:gridCol w:w="749"/>
        <w:gridCol w:w="298"/>
      </w:tblGrid>
      <w:tr w:rsidR="00C94743" w:rsidRPr="00F1262D" w14:paraId="0580E213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7DA8165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36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EEC7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вигляді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мінімального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7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1E73573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МПЗ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49E6CB93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61CAF61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3C6DB178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573E15C5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8180"/>
        <w:gridCol w:w="751"/>
        <w:gridCol w:w="749"/>
        <w:gridCol w:w="300"/>
      </w:tblGrid>
      <w:tr w:rsidR="00C94743" w:rsidRPr="00F1262D" w14:paraId="43DC7AB9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03D603DB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EA181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(податковий)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ЗП)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7D66AD7F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671AE6F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0E1B2EBB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commentRangeEnd w:id="1"/>
    <w:p w14:paraId="7C5CED49" w14:textId="77777777" w:rsidR="00C94743" w:rsidRPr="00710A7D" w:rsidRDefault="00DF1E04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Style w:val="a5"/>
        </w:rPr>
        <w:commentReference w:id="1"/>
      </w:r>
      <w:r w:rsidR="00C94743"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commentRangeStart w:id="2"/>
    </w:p>
    <w:p w14:paraId="140800CF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35–37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  <w:commentRangeEnd w:id="2"/>
      <w:r w:rsidR="00DF1E04">
        <w:rPr>
          <w:rStyle w:val="a5"/>
        </w:rPr>
        <w:commentReference w:id="2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"/>
        <w:gridCol w:w="8209"/>
        <w:gridCol w:w="753"/>
        <w:gridCol w:w="751"/>
        <w:gridCol w:w="265"/>
      </w:tblGrid>
      <w:tr w:rsidR="00C94743" w:rsidRPr="00F1262D" w14:paraId="6AF9F8EE" w14:textId="77777777" w:rsidTr="00C6623A">
        <w:trPr>
          <w:trHeight w:val="60"/>
        </w:trPr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1213BF46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0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D8B2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збільшення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порушення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вимог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цільового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вивільнених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коштів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142.1–142.3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142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ІІІ,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41,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57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28EFAC16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0DA990D3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D25B76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20963697" w14:textId="77777777" w:rsidTr="00C6623A">
        <w:trPr>
          <w:trHeight w:val="60"/>
        </w:trPr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12CFAEB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F27E8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Штрафні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санкції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порушення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775ABF4D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6F69ECD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4DB1299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3DB90E6E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8180"/>
        <w:gridCol w:w="751"/>
        <w:gridCol w:w="749"/>
        <w:gridCol w:w="300"/>
      </w:tblGrid>
      <w:tr w:rsidR="00C94743" w:rsidRPr="00F1262D" w14:paraId="65563C77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7F6B680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3AF9C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Пеня,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нарахована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виконання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вимог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1231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глави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ІІ,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142.1–142.3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142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ІІІ,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41,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57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14F4DB4D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108DD47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2C1CBB9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385A978B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rtl/>
          <w:lang w:eastAsia="uk-UA" w:bidi="ar-YE"/>
        </w:rPr>
        <w:t xml:space="preserve"> </w:t>
      </w:r>
    </w:p>
    <w:p w14:paraId="06748212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позицію: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"/>
        <w:gridCol w:w="1372"/>
        <w:gridCol w:w="537"/>
        <w:gridCol w:w="513"/>
        <w:gridCol w:w="550"/>
        <w:gridCol w:w="710"/>
        <w:gridCol w:w="536"/>
        <w:gridCol w:w="513"/>
        <w:gridCol w:w="515"/>
        <w:gridCol w:w="599"/>
        <w:gridCol w:w="550"/>
        <w:gridCol w:w="550"/>
        <w:gridCol w:w="616"/>
        <w:gridCol w:w="1305"/>
        <w:gridCol w:w="954"/>
        <w:gridCol w:w="238"/>
      </w:tblGrid>
      <w:tr w:rsidR="00C94743" w:rsidRPr="00F1262D" w14:paraId="4269CC87" w14:textId="77777777" w:rsidTr="00C6623A">
        <w:trPr>
          <w:trHeight w:val="304"/>
        </w:trPr>
        <w:tc>
          <w:tcPr>
            <w:tcW w:w="9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71" w:type="dxa"/>
              <w:right w:w="57" w:type="dxa"/>
            </w:tcMar>
          </w:tcPr>
          <w:p w14:paraId="3EAEA676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6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34C001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додатків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13</w:t>
            </w:r>
          </w:p>
        </w:tc>
        <w:tc>
          <w:tcPr>
            <w:tcW w:w="2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6B69C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886D1E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2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CEE7D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ПН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14267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ТЦ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14</w:t>
            </w:r>
          </w:p>
        </w:tc>
        <w:tc>
          <w:tcPr>
            <w:tcW w:w="2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7D49B4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14187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</w:t>
            </w:r>
          </w:p>
        </w:tc>
        <w:tc>
          <w:tcPr>
            <w:tcW w:w="2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BBA84B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ПЗ</w:t>
            </w:r>
          </w:p>
        </w:tc>
        <w:tc>
          <w:tcPr>
            <w:tcW w:w="29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40D53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</w:t>
            </w:r>
          </w:p>
        </w:tc>
        <w:tc>
          <w:tcPr>
            <w:tcW w:w="2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F01F50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ЦП</w:t>
            </w:r>
          </w:p>
        </w:tc>
        <w:tc>
          <w:tcPr>
            <w:tcW w:w="2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E2B10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6C6F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КІК</w:t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3C2735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ФЗ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B8F3B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0B7BDC0A" w14:textId="77777777" w:rsidTr="00C6623A">
        <w:trPr>
          <w:trHeight w:val="229"/>
        </w:trPr>
        <w:tc>
          <w:tcPr>
            <w:tcW w:w="9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D8413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4AC394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DF47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90C3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68BA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1827D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BD0FF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B2F4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0C25B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5CEC8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BF91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BF208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0822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9F316C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НП(С)БО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37C8E3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МСФЗ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227F5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53684889" w14:textId="77777777" w:rsidTr="00C6623A">
        <w:trPr>
          <w:trHeight w:val="229"/>
        </w:trPr>
        <w:tc>
          <w:tcPr>
            <w:tcW w:w="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51E4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7A84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F190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144EA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DB77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571F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1904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8F08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1154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95C1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FCE41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8680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CD61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F58FA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5300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</w:tcPr>
          <w:p w14:paraId="67FF979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</w:t>
            </w:r>
          </w:p>
        </w:tc>
      </w:tr>
    </w:tbl>
    <w:p w14:paraId="62B39C30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1F7BD746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"/>
        <w:gridCol w:w="1287"/>
        <w:gridCol w:w="503"/>
        <w:gridCol w:w="458"/>
        <w:gridCol w:w="517"/>
        <w:gridCol w:w="667"/>
        <w:gridCol w:w="503"/>
        <w:gridCol w:w="445"/>
        <w:gridCol w:w="458"/>
        <w:gridCol w:w="562"/>
        <w:gridCol w:w="517"/>
        <w:gridCol w:w="517"/>
        <w:gridCol w:w="577"/>
        <w:gridCol w:w="696"/>
        <w:gridCol w:w="1225"/>
        <w:gridCol w:w="895"/>
        <w:gridCol w:w="244"/>
      </w:tblGrid>
      <w:tr w:rsidR="00C94743" w:rsidRPr="00F1262D" w14:paraId="55A95653" w14:textId="77777777" w:rsidTr="00C6623A">
        <w:trPr>
          <w:trHeight w:val="304"/>
        </w:trPr>
        <w:tc>
          <w:tcPr>
            <w:tcW w:w="9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71" w:type="dxa"/>
              <w:right w:w="57" w:type="dxa"/>
            </w:tcMar>
          </w:tcPr>
          <w:p w14:paraId="6CFE593E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6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27DEE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додатків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13</w:t>
            </w:r>
          </w:p>
        </w:tc>
        <w:tc>
          <w:tcPr>
            <w:tcW w:w="24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960E91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B9BB4C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33EBB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ПН</w:t>
            </w:r>
          </w:p>
        </w:tc>
        <w:tc>
          <w:tcPr>
            <w:tcW w:w="3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9A69E5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ТЦ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14</w:t>
            </w:r>
          </w:p>
        </w:tc>
        <w:tc>
          <w:tcPr>
            <w:tcW w:w="24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D477D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</w:t>
            </w:r>
          </w:p>
        </w:tc>
        <w:tc>
          <w:tcPr>
            <w:tcW w:w="2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0C6353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4B239F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ПЗ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254A3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5F52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ЦП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B2126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28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63A74A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КІК</w:t>
            </w:r>
          </w:p>
        </w:tc>
        <w:tc>
          <w:tcPr>
            <w:tcW w:w="33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159EB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1E0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uk-UA"/>
              </w:rPr>
              <w:t>МПЗ</w:t>
            </w:r>
          </w:p>
        </w:tc>
        <w:tc>
          <w:tcPr>
            <w:tcW w:w="10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76D4B5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ФЗ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15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CAF1C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632018EB" w14:textId="77777777" w:rsidTr="00C6623A">
        <w:trPr>
          <w:trHeight w:val="245"/>
        </w:trPr>
        <w:tc>
          <w:tcPr>
            <w:tcW w:w="9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61867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16F8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0937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70F8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DAB3B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2C290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EACF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AE34C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2BA73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A9231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87380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DDA74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299E4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67C2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1579C0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НП(С)БО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EC7A37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МСФЗ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19640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04B48BC2" w14:textId="77777777" w:rsidTr="00C6623A">
        <w:trPr>
          <w:trHeight w:val="229"/>
        </w:trPr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68D32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A3D1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69BB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304A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531D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6A68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0631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52F9B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0427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3DF4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951C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4095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7A06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1800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9B35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1AA7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A951788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».</w:t>
            </w:r>
          </w:p>
        </w:tc>
      </w:tr>
    </w:tbl>
    <w:p w14:paraId="1D6252AB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600A1EA5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додатках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14:paraId="7F468671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26–29,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31–33,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14:paraId="4FA08979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06.1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14:paraId="5CC6BA80" w14:textId="77777777" w:rsidR="00C94743" w:rsidRPr="00F1262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rtl/>
          <w:lang w:eastAsia="uk-UA" w:bidi="ar-YE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7429"/>
        <w:gridCol w:w="1502"/>
        <w:gridCol w:w="749"/>
        <w:gridCol w:w="300"/>
      </w:tblGrid>
      <w:tr w:rsidR="00C94743" w:rsidRPr="00F1262D" w14:paraId="0F0E8F32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4EEDAEA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3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1CA3C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вигляді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мінімального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7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4FC80E8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F1E04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uk-UA"/>
              </w:rPr>
              <w:t>МПЗ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48E31E4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</w:tcPr>
          <w:p w14:paraId="4C0C4DB9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3C98349A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3626BDB4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8180"/>
        <w:gridCol w:w="751"/>
        <w:gridCol w:w="749"/>
        <w:gridCol w:w="300"/>
      </w:tblGrid>
      <w:tr w:rsidR="00C94743" w:rsidRPr="00F1262D" w14:paraId="4FC4ABA1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0748805B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0CDF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(податковий)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ЗП)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199B6630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79ABFBE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55EBBD29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46F9223E" w14:textId="77777777" w:rsidR="00C94743" w:rsidRPr="00F1262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 </w:t>
      </w:r>
    </w:p>
    <w:p w14:paraId="5EA38DCC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8180"/>
        <w:gridCol w:w="751"/>
        <w:gridCol w:w="749"/>
        <w:gridCol w:w="300"/>
      </w:tblGrid>
      <w:tr w:rsidR="00C94743" w:rsidRPr="00F1262D" w14:paraId="0D798F26" w14:textId="77777777" w:rsidTr="00C6623A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4383ACD1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9A25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збільшення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порушення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цільового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вивільнених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коштів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142.1–142.3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1426E530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333331A3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4E0413D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0B756433" w14:textId="77777777" w:rsidR="00C94743" w:rsidRPr="00F1262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1919F44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03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14:paraId="3A97CA05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«Різниці,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виникають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здійсненні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фінансових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операцій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(стаття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140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ІІІ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України)»:</w:t>
      </w:r>
    </w:p>
    <w:p w14:paraId="6C2E053E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3.1.10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0"/>
        <w:gridCol w:w="939"/>
        <w:gridCol w:w="3525"/>
        <w:gridCol w:w="669"/>
        <w:gridCol w:w="806"/>
        <w:gridCol w:w="3117"/>
        <w:gridCol w:w="637"/>
        <w:gridCol w:w="292"/>
      </w:tblGrid>
      <w:tr w:rsidR="00C94743" w:rsidRPr="00F1262D" w14:paraId="483B8C68" w14:textId="77777777" w:rsidTr="00C6623A">
        <w:trPr>
          <w:trHeight w:val="60"/>
        </w:trPr>
        <w:tc>
          <w:tcPr>
            <w:tcW w:w="108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8C1D26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71DEF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3.1.10</w:t>
            </w:r>
          </w:p>
        </w:tc>
        <w:tc>
          <w:tcPr>
            <w:tcW w:w="17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68" w:type="dxa"/>
            </w:tcMar>
          </w:tcPr>
          <w:p w14:paraId="51543F93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перерахованої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безповоротної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(безоплатно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особам,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(крім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платникам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оподатковуються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ставкою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крім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безповоротної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(безоплатно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перерахованої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неприбутковим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організаціям,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внесеним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Реєстру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неприбуткових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перерахування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коштів,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передачі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застосовується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140.5.9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140.5.10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2817DDD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36A763F7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4EB2DE29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  <w:vAlign w:val="center"/>
          </w:tcPr>
          <w:p w14:paraId="3F01A628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3D502F83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2F864720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4D636C31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"/>
        <w:gridCol w:w="1159"/>
        <w:gridCol w:w="3357"/>
        <w:gridCol w:w="657"/>
        <w:gridCol w:w="802"/>
        <w:gridCol w:w="3137"/>
        <w:gridCol w:w="584"/>
        <w:gridCol w:w="290"/>
      </w:tblGrid>
      <w:tr w:rsidR="00C94743" w:rsidRPr="00F1262D" w14:paraId="33DF5FD5" w14:textId="77777777" w:rsidTr="00C6623A">
        <w:trPr>
          <w:trHeight w:val="60"/>
        </w:trPr>
        <w:tc>
          <w:tcPr>
            <w:tcW w:w="1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7A3A7E4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B218A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3.1.10.1</w:t>
            </w:r>
          </w:p>
        </w:tc>
        <w:tc>
          <w:tcPr>
            <w:tcW w:w="16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13128A5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перерахованої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безповоротної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(безоплатно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платникам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пов’язаними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особами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отримувачем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(безоплатно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задекларовано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від’ємне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об’єкта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(звітний)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рік,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передує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безповоротну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допомогу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(безоплатно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роботи,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послуги),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умови,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була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врахована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результату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140.5.10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49530CD1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121F9182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601DEB10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  <w:vAlign w:val="center"/>
          </w:tcPr>
          <w:p w14:paraId="76CF9F8C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1628BCCA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»;</w:t>
            </w:r>
          </w:p>
        </w:tc>
      </w:tr>
    </w:tbl>
    <w:p w14:paraId="1B6C4F0A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2520F240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3.1.10.1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вважати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3.1.10.2;</w:t>
      </w:r>
    </w:p>
    <w:p w14:paraId="7BFA3CE4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«Різниці,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передбачені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підрозділом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ХХ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України»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«Інші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різниці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(стаття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141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ІІІ,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стаття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стаття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123</w:t>
      </w:r>
      <w:r w:rsidRPr="00F1262D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ХХ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України)»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"/>
        <w:gridCol w:w="950"/>
        <w:gridCol w:w="3174"/>
        <w:gridCol w:w="788"/>
        <w:gridCol w:w="949"/>
        <w:gridCol w:w="3039"/>
        <w:gridCol w:w="794"/>
        <w:gridCol w:w="288"/>
      </w:tblGrid>
      <w:tr w:rsidR="00C94743" w:rsidRPr="00F1262D" w14:paraId="0FBC403E" w14:textId="77777777" w:rsidTr="00C6623A">
        <w:trPr>
          <w:trHeight w:val="60"/>
        </w:trPr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57" w:type="dxa"/>
            </w:tcMar>
          </w:tcPr>
          <w:p w14:paraId="49FEE72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«</w:t>
            </w:r>
          </w:p>
        </w:tc>
        <w:tc>
          <w:tcPr>
            <w:tcW w:w="4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65B12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4.1.22</w:t>
            </w:r>
          </w:p>
        </w:tc>
        <w:tc>
          <w:tcPr>
            <w:tcW w:w="1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</w:tcMar>
          </w:tcPr>
          <w:p w14:paraId="5010993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доходу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розмірі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погашеної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дебіторської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заборгованості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продану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попередніх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зменшувався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27D24DAA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49FA2A34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4.2.24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1D31F69E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нарахованого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бухгалтерському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врахованого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результаті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доходу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продажу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2022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2024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</w:tcMar>
          </w:tcPr>
          <w:p w14:paraId="20CECA31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82F758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4496946A" w14:textId="77777777" w:rsidTr="00C6623A">
        <w:trPr>
          <w:trHeight w:val="60"/>
        </w:trPr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9449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94C4A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4.1.23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0A140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нарахованих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бухгалтерському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врахованих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результаті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оподаткування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формують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собівартість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збут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2022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2024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7037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BF52B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4.2.25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95AC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формують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собівартість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збут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«зеленим»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тарифом,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попередніх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збільшувався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«Перехідні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C23F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bottom"/>
          </w:tcPr>
          <w:p w14:paraId="24ED7462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».</w:t>
            </w:r>
          </w:p>
        </w:tc>
      </w:tr>
    </w:tbl>
    <w:p w14:paraId="5FC884EA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2AA0001E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додатком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МПЗ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рядка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06.2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МПЗ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Декларації,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додається.</w:t>
      </w:r>
    </w:p>
    <w:p w14:paraId="57314315" w14:textId="77777777" w:rsidR="00C94743" w:rsidRDefault="00C94743" w:rsidP="00710A7D">
      <w:pPr>
        <w:shd w:val="clear" w:color="auto" w:fill="FFFFFF"/>
        <w:spacing w:before="120" w:after="240" w:line="182" w:lineRule="atLeast"/>
        <w:ind w:left="284" w:right="284"/>
        <w:rPr>
          <w:rFonts w:ascii="Times New Roman" w:hAnsi="Times New Roman"/>
          <w:color w:val="000000"/>
          <w:sz w:val="24"/>
          <w:szCs w:val="24"/>
          <w:lang w:eastAsia="uk-UA"/>
        </w:rPr>
        <w:sectPr w:rsidR="00C94743" w:rsidSect="00710A7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Департаменту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податкової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Максименко</w:t>
      </w:r>
      <w:r>
        <w:rPr>
          <w:rFonts w:ascii="Times New Roman" w:hAnsi="Times New Roman"/>
          <w:color w:val="000000"/>
          <w:sz w:val="24"/>
          <w:szCs w:val="24"/>
          <w:rtl/>
          <w:lang w:eastAsia="uk-UA" w:bidi="ar-Y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"/>
        <w:gridCol w:w="1993"/>
        <w:gridCol w:w="8021"/>
      </w:tblGrid>
      <w:tr w:rsidR="00C94743" w:rsidRPr="00F1262D" w14:paraId="5CDEAA5B" w14:textId="77777777" w:rsidTr="00C6623A">
        <w:trPr>
          <w:trHeight w:val="262"/>
        </w:trPr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7E761B6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29C37DE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</w:p>
        </w:tc>
        <w:tc>
          <w:tcPr>
            <w:tcW w:w="38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5E1814B1" w14:textId="77777777" w:rsidR="00C94743" w:rsidRPr="00F1262D" w:rsidRDefault="00C94743" w:rsidP="00E06256">
            <w:pPr>
              <w:spacing w:after="0" w:line="182" w:lineRule="atLeast"/>
              <w:ind w:left="24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декларації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</w:tr>
      <w:tr w:rsidR="00C94743" w:rsidRPr="00F1262D" w14:paraId="22C89FB8" w14:textId="77777777" w:rsidTr="00C6623A">
        <w:trPr>
          <w:trHeight w:val="262"/>
        </w:trPr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53A6004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B825611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38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9123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743" w:rsidRPr="00F1262D" w14:paraId="0330E04A" w14:textId="77777777" w:rsidTr="00C6623A">
        <w:trPr>
          <w:trHeight w:val="70"/>
        </w:trPr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5A40B92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15C9C96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Уточнююча</w:t>
            </w:r>
          </w:p>
        </w:tc>
        <w:tc>
          <w:tcPr>
            <w:tcW w:w="38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D0FA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0519312E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32807154" w14:textId="77777777" w:rsidR="00C94743" w:rsidRPr="00F1262D" w:rsidRDefault="00C94743" w:rsidP="003E2F5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Податковий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br/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66"/>
      </w:tblGrid>
      <w:tr w:rsidR="00C94743" w:rsidRPr="00F1262D" w14:paraId="02298E2D" w14:textId="77777777" w:rsidTr="003E2F53">
        <w:trPr>
          <w:trHeight w:val="278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8762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0F400192" w14:textId="77777777" w:rsidR="00C94743" w:rsidRPr="00710A7D" w:rsidRDefault="00C94743" w:rsidP="003E2F5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10A7D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2588F621" w14:textId="77777777" w:rsidR="00C94743" w:rsidRPr="00F1262D" w:rsidRDefault="00C94743" w:rsidP="009442BA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Звітний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(податковий)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20____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14:paraId="125705AD" w14:textId="77777777" w:rsidR="00C94743" w:rsidRPr="00F1262D" w:rsidRDefault="00C94743" w:rsidP="00710A7D">
      <w:pPr>
        <w:shd w:val="clear" w:color="auto" w:fill="FFFFFF"/>
        <w:spacing w:before="120" w:after="12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commentRangeStart w:id="3"/>
      <w:r w:rsidRPr="00F1262D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РОЗРАХУНОК</w:t>
      </w:r>
      <w:r w:rsidRPr="00F1262D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різниці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між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сумою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загального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мінімального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податкового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зобов’язання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загальною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сумою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сплачених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зборів,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платежів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витрат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оренду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земельних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ділянок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uk-UA"/>
        </w:rPr>
        <w:t>1</w:t>
      </w:r>
      <w:commentRangeEnd w:id="3"/>
      <w:r w:rsidR="00DF1E04">
        <w:rPr>
          <w:rStyle w:val="a5"/>
        </w:rPr>
        <w:commentReference w:id="3"/>
      </w:r>
    </w:p>
    <w:tbl>
      <w:tblPr>
        <w:tblW w:w="5042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71"/>
        <w:gridCol w:w="1138"/>
        <w:gridCol w:w="997"/>
      </w:tblGrid>
      <w:tr w:rsidR="00C94743" w:rsidRPr="00F1262D" w14:paraId="31ABD53D" w14:textId="77777777" w:rsidTr="003929FC">
        <w:trPr>
          <w:trHeight w:val="60"/>
        </w:trPr>
        <w:tc>
          <w:tcPr>
            <w:tcW w:w="3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818A17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5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9B5416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F582E8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C94743" w:rsidRPr="00F1262D" w14:paraId="0F69FD68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2043F4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DBA35B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6D15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C94743" w:rsidRPr="00F1262D" w14:paraId="48D0FF09" w14:textId="77777777" w:rsidTr="003929FC">
        <w:trPr>
          <w:trHeight w:val="258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B297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Частка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сільськогосподарського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товаровиробництва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податковий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(звітний)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commentRangeStart w:id="4"/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період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2</w:t>
            </w:r>
            <w:commentRangeEnd w:id="4"/>
            <w:r w:rsidR="00DF1E04">
              <w:rPr>
                <w:rStyle w:val="a5"/>
              </w:rPr>
              <w:commentReference w:id="4"/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38EC8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95790" w14:textId="27EAB11B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81</w:t>
            </w:r>
          </w:p>
        </w:tc>
      </w:tr>
      <w:tr w:rsidR="00C94743" w:rsidRPr="00F1262D" w14:paraId="0F39E5BA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4E04D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мінімальне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DB041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МПЗ-З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F95FD" w14:textId="5955B97E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203 856</w:t>
            </w:r>
          </w:p>
        </w:tc>
      </w:tr>
      <w:tr w:rsidR="00C94743" w:rsidRPr="00F1262D" w14:paraId="27CC3F3F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EC9BE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сплачених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зборів,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платежів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земельних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ділянок,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commentRangeStart w:id="5"/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3</w:t>
            </w:r>
            <w:commentRangeEnd w:id="5"/>
            <w:r w:rsidR="00DF1E04">
              <w:rPr>
                <w:rStyle w:val="a5"/>
              </w:rPr>
              <w:commentReference w:id="5"/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E4835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4C5FD" w14:textId="06A50B99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174 400</w:t>
            </w:r>
          </w:p>
        </w:tc>
      </w:tr>
      <w:tr w:rsidR="00C94743" w:rsidRPr="00F1262D" w14:paraId="5DED4C8B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32089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42101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2F927" w14:textId="0DE7E89D" w:rsidR="003929FC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35 100</w:t>
            </w:r>
          </w:p>
        </w:tc>
      </w:tr>
      <w:tr w:rsidR="00C94743" w:rsidRPr="00F1262D" w14:paraId="43AE30F0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E689A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FE2AB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78461" w14:textId="4BA58D3F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128 600</w:t>
            </w:r>
          </w:p>
        </w:tc>
      </w:tr>
      <w:tr w:rsidR="00C94743" w:rsidRPr="00F1262D" w14:paraId="25663B36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84DC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військовий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C253B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D17C9" w14:textId="08F39B59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10 700</w:t>
            </w:r>
          </w:p>
        </w:tc>
      </w:tr>
      <w:tr w:rsidR="00C94743" w:rsidRPr="00F1262D" w14:paraId="596780E8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A3B2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єдиний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BBA94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1AC3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463FCE4C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92B7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земельний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505EA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0B6C1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0C217344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A1EB1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8210E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8C4C4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440AA36D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FBCE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сплату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орендної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016BB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4F22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3335C3DD" w14:textId="77777777" w:rsidTr="003929FC">
        <w:trPr>
          <w:trHeight w:val="60"/>
        </w:trPr>
        <w:tc>
          <w:tcPr>
            <w:tcW w:w="3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C5D98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Різниця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між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сумою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загального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мінімального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загальною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сумою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сплачених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зборів,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платежів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земельних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ділянок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(рядок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02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МПЗ-З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03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додатка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МПЗ)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(+,–)</w:t>
            </w:r>
            <w:commentRangeStart w:id="6"/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4</w:t>
            </w:r>
            <w:commentRangeEnd w:id="6"/>
            <w:r w:rsidR="00DF1E04">
              <w:rPr>
                <w:rStyle w:val="a5"/>
              </w:rPr>
              <w:commentReference w:id="6"/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F779F" w14:textId="77777777" w:rsidR="00C94743" w:rsidRPr="00F1262D" w:rsidRDefault="00C94743" w:rsidP="003E2F5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CDBB6" w14:textId="5356BE7E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29 456</w:t>
            </w:r>
          </w:p>
        </w:tc>
      </w:tr>
    </w:tbl>
    <w:p w14:paraId="30A7BA98" w14:textId="77777777" w:rsidR="00C94743" w:rsidRPr="00710A7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6"/>
        <w:gridCol w:w="1134"/>
      </w:tblGrid>
      <w:tr w:rsidR="00C94743" w:rsidRPr="00F1262D" w14:paraId="12F76FAC" w14:textId="77777777" w:rsidTr="003E2F53">
        <w:trPr>
          <w:trHeight w:val="276"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DAE33BC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додатка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F0376F6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МПЗ-З</w:t>
            </w:r>
          </w:p>
        </w:tc>
      </w:tr>
      <w:tr w:rsidR="00C94743" w:rsidRPr="00F1262D" w14:paraId="23EA980D" w14:textId="77777777" w:rsidTr="003E2F53">
        <w:trPr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3C4B8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F1E994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79D7F619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платниками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власниками,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орендарями,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користувачами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інших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(в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тому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числі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емфітевзису)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земельних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ділянок,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віднесених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сільськогосподарських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угідь.</w:t>
      </w:r>
    </w:p>
    <w:p w14:paraId="6D0912F1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частка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сільськогосподарського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товаровиробництва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податковий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(звітний)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рік,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розрахована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14.1.262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14.1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14:paraId="10289D1E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3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Визначається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урахуванням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особливостей,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встановлених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підпунктами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141.9.2,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141.9.3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14:paraId="01203B3A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4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Позитивне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значення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переноситься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06.2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декларації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прибуток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підприємств.</w:t>
      </w:r>
    </w:p>
    <w:p w14:paraId="4C8CE3CE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5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клітинці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проставляється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позначка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«+».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5"/>
        <w:gridCol w:w="2818"/>
        <w:gridCol w:w="3872"/>
      </w:tblGrid>
      <w:tr w:rsidR="00C94743" w:rsidRPr="00F1262D" w14:paraId="34C5ED4C" w14:textId="77777777" w:rsidTr="00E06256">
        <w:trPr>
          <w:trHeight w:val="769"/>
        </w:trPr>
        <w:tc>
          <w:tcPr>
            <w:tcW w:w="177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40C3778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Керівник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особа)</w:t>
            </w:r>
          </w:p>
        </w:tc>
        <w:tc>
          <w:tcPr>
            <w:tcW w:w="1358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73B8CF88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13FE858D" w14:textId="77777777" w:rsidR="00C94743" w:rsidRPr="00E06256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0625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  <w:p w14:paraId="2656307D" w14:textId="77777777" w:rsidR="00C94743" w:rsidRPr="00F1262D" w:rsidRDefault="00C94743" w:rsidP="003E2F53">
            <w:pPr>
              <w:spacing w:before="113"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186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38F0313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3075DDAC" w14:textId="77777777" w:rsidR="00C94743" w:rsidRPr="00E06256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0625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C94743" w:rsidRPr="00F1262D" w14:paraId="666B736D" w14:textId="77777777" w:rsidTr="00E06256">
        <w:trPr>
          <w:trHeight w:val="473"/>
        </w:trPr>
        <w:tc>
          <w:tcPr>
            <w:tcW w:w="177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82D3FF9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(особа,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обліку)</w:t>
            </w:r>
          </w:p>
        </w:tc>
        <w:tc>
          <w:tcPr>
            <w:tcW w:w="1358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AFBF23F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5E893CF7" w14:textId="77777777" w:rsidR="00C94743" w:rsidRPr="00E06256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0625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6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1F4C717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3686A4C2" w14:textId="77777777" w:rsidR="00C94743" w:rsidRPr="00E06256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0625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14:paraId="43380B58" w14:textId="77777777" w:rsidR="00C94743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5817F447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"/>
        <w:gridCol w:w="1993"/>
        <w:gridCol w:w="8021"/>
      </w:tblGrid>
      <w:tr w:rsidR="00C94743" w:rsidRPr="00F1262D" w14:paraId="08B84598" w14:textId="77777777" w:rsidTr="00C6623A">
        <w:trPr>
          <w:trHeight w:val="262"/>
        </w:trPr>
        <w:tc>
          <w:tcPr>
            <w:tcW w:w="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A03224F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5547F45C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</w:p>
        </w:tc>
        <w:tc>
          <w:tcPr>
            <w:tcW w:w="38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44764816" w14:textId="77777777" w:rsidR="00C94743" w:rsidRPr="00F1262D" w:rsidRDefault="00C94743" w:rsidP="00E06256">
            <w:pPr>
              <w:spacing w:after="0" w:line="182" w:lineRule="atLeast"/>
              <w:ind w:left="24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МПЗ-З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МПЗ-З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06.2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декларації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</w:tr>
      <w:tr w:rsidR="00C94743" w:rsidRPr="00F1262D" w14:paraId="2A200201" w14:textId="77777777" w:rsidTr="00C6623A">
        <w:trPr>
          <w:trHeight w:val="262"/>
        </w:trPr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052844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8A96A24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38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B27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743" w:rsidRPr="00F1262D" w14:paraId="4DC1B19F" w14:textId="77777777" w:rsidTr="00C6623A">
        <w:trPr>
          <w:trHeight w:val="70"/>
        </w:trPr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8F9AF7D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0DCE210F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Уточнююча</w:t>
            </w:r>
          </w:p>
        </w:tc>
        <w:tc>
          <w:tcPr>
            <w:tcW w:w="38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FD57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1AC7F163" w14:textId="77777777" w:rsidR="00C94743" w:rsidRPr="00F1262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03842787" w14:textId="77777777" w:rsidR="00C94743" w:rsidRPr="00F1262D" w:rsidRDefault="00C94743" w:rsidP="003E2F5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Податковий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br/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66"/>
      </w:tblGrid>
      <w:tr w:rsidR="00C94743" w:rsidRPr="00F1262D" w14:paraId="4720E7AB" w14:textId="77777777" w:rsidTr="003E2F53">
        <w:trPr>
          <w:trHeight w:val="278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D213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5464621D" w14:textId="77777777" w:rsidR="00C94743" w:rsidRPr="00F1262D" w:rsidRDefault="00C94743" w:rsidP="003E2F5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2A14C7F4" w14:textId="77777777" w:rsidR="00C94743" w:rsidRPr="00F1262D" w:rsidRDefault="00C94743" w:rsidP="00E06256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Звітний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(податковий)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20____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14:paraId="7A47B82D" w14:textId="77777777" w:rsidR="00C94743" w:rsidRPr="00F1262D" w:rsidRDefault="00C94743" w:rsidP="00C6623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1262D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РОЗРАХУНОК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C6623A"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загального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мінімального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commentRangeStart w:id="7"/>
      <w:r w:rsidRPr="00F1262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зобов’язання</w:t>
      </w:r>
      <w:r w:rsidRPr="00F1262D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uk-UA"/>
        </w:rPr>
        <w:t>1</w:t>
      </w:r>
      <w:commentRangeEnd w:id="7"/>
      <w:r w:rsidR="007222E9">
        <w:rPr>
          <w:rStyle w:val="a5"/>
        </w:rPr>
        <w:commentReference w:id="7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"/>
        <w:gridCol w:w="2384"/>
        <w:gridCol w:w="1744"/>
        <w:gridCol w:w="1808"/>
        <w:gridCol w:w="1434"/>
        <w:gridCol w:w="2363"/>
      </w:tblGrid>
      <w:tr w:rsidR="00C94743" w:rsidRPr="00F1262D" w14:paraId="36407FD0" w14:textId="77777777" w:rsidTr="003929FC">
        <w:trPr>
          <w:trHeight w:val="60"/>
        </w:trPr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717CB4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1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9BDAA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Кадастровий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</w:t>
            </w:r>
          </w:p>
        </w:tc>
        <w:tc>
          <w:tcPr>
            <w:tcW w:w="8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7DE60C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НГО)</w:t>
            </w:r>
          </w:p>
        </w:tc>
        <w:tc>
          <w:tcPr>
            <w:tcW w:w="8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EF122F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календарних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(М)</w:t>
            </w:r>
          </w:p>
        </w:tc>
        <w:tc>
          <w:tcPr>
            <w:tcW w:w="6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9954EB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Площа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(га)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(S)</w:t>
            </w:r>
          </w:p>
        </w:tc>
        <w:tc>
          <w:tcPr>
            <w:tcW w:w="11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5B658F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мінімального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commentRangeStart w:id="8"/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  <w:commentRangeEnd w:id="8"/>
            <w:r w:rsidR="007222E9">
              <w:rPr>
                <w:rStyle w:val="a5"/>
              </w:rPr>
              <w:commentReference w:id="8"/>
            </w:r>
          </w:p>
          <w:p w14:paraId="1253DC8B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(грн)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(МПЗ)</w:t>
            </w:r>
          </w:p>
        </w:tc>
      </w:tr>
      <w:tr w:rsidR="00C94743" w:rsidRPr="00F1262D" w14:paraId="68C8E216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7414B2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4ACB19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5E8781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81186F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3397C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1117BF" w14:textId="77777777" w:rsidR="00C94743" w:rsidRPr="00F1262D" w:rsidRDefault="00C94743" w:rsidP="003E2F5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94743" w:rsidRPr="00F1262D" w14:paraId="0A5A8630" w14:textId="77777777" w:rsidTr="00C6623A">
        <w:trPr>
          <w:trHeight w:val="60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64ED0" w14:textId="77777777" w:rsidR="00C94743" w:rsidRPr="00F1262D" w:rsidRDefault="00C94743" w:rsidP="003E2F5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Таблиця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Мінімальне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(МПЗ)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ділянки,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нормативна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commentRangeStart w:id="9"/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  <w:commentRangeEnd w:id="9"/>
            <w:r w:rsidR="003929FC">
              <w:rPr>
                <w:rStyle w:val="a5"/>
              </w:rPr>
              <w:commentReference w:id="9"/>
            </w:r>
          </w:p>
        </w:tc>
      </w:tr>
      <w:tr w:rsidR="00C94743" w:rsidRPr="00F1262D" w14:paraId="2DA0C594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AA665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E4B0E" w14:textId="5536689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0000000000000000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2342D" w14:textId="3F4131F5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152 000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85EE5" w14:textId="3124AD88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D21AE" w14:textId="6721F539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1DA4E" w14:textId="337CDDFA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6 080</w:t>
            </w:r>
          </w:p>
        </w:tc>
      </w:tr>
      <w:tr w:rsidR="00C94743" w:rsidRPr="00F1262D" w14:paraId="476B2619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89BD4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EDE6C" w14:textId="1E6B29EA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1111111111111111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796E0" w14:textId="79D9894C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73 500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3C758" w14:textId="29751A4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36F1B" w14:textId="0C7DDE67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222E9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A4D7A" w14:textId="05F8C3D1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2 205</w:t>
            </w:r>
          </w:p>
        </w:tc>
      </w:tr>
      <w:tr w:rsidR="00C94743" w:rsidRPr="00F1262D" w14:paraId="4178D51D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172AF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98919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891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0ADFE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FA810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F4FE5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94743" w:rsidRPr="00F1262D" w14:paraId="2592AE52" w14:textId="77777777" w:rsidTr="003929FC">
        <w:trPr>
          <w:trHeight w:val="60"/>
        </w:trPr>
        <w:tc>
          <w:tcPr>
            <w:tcW w:w="316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499F8" w14:textId="77777777" w:rsidR="00C94743" w:rsidRPr="00F1262D" w:rsidRDefault="00C94743" w:rsidP="003E2F5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3902C" w14:textId="77777777" w:rsidR="00C94743" w:rsidRPr="00F1262D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E89A0" w14:textId="6C882791" w:rsidR="00C94743" w:rsidRPr="003929FC" w:rsidRDefault="00C94743" w:rsidP="003E2F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929FC">
              <w:rPr>
                <w:rFonts w:ascii="Times New Roman" w:hAnsi="Times New Roman"/>
                <w:sz w:val="24"/>
                <w:szCs w:val="24"/>
                <w:lang w:val="ru-RU" w:eastAsia="uk-UA"/>
              </w:rPr>
              <w:t>135 456</w:t>
            </w:r>
          </w:p>
        </w:tc>
      </w:tr>
      <w:tr w:rsidR="00C94743" w:rsidRPr="00F1262D" w14:paraId="4889E4A5" w14:textId="77777777" w:rsidTr="00C6623A">
        <w:trPr>
          <w:trHeight w:val="60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6488C" w14:textId="77777777" w:rsidR="00C94743" w:rsidRPr="00F1262D" w:rsidRDefault="00C94743" w:rsidP="003E2F5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Таблиця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Мінімальне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(МПЗ)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ділянки,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нормативна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МПЗ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commentRangeStart w:id="10"/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  <w:commentRangeEnd w:id="10"/>
            <w:r w:rsidR="003929FC">
              <w:rPr>
                <w:rStyle w:val="a5"/>
              </w:rPr>
              <w:commentReference w:id="10"/>
            </w:r>
          </w:p>
        </w:tc>
      </w:tr>
      <w:tr w:rsidR="003929FC" w:rsidRPr="00F1262D" w14:paraId="4B61A0FA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57A36" w14:textId="77777777" w:rsidR="003929FC" w:rsidRPr="00F1262D" w:rsidRDefault="003929FC" w:rsidP="003929F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E5583" w14:textId="6CF61B3C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0000000000000000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37203" w14:textId="1639752B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152 000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99476" w14:textId="7453E3FB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1559F" w14:textId="1FD3DC10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E9E09" w14:textId="3BAE2FC8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6 080</w:t>
            </w:r>
          </w:p>
        </w:tc>
      </w:tr>
      <w:tr w:rsidR="003929FC" w:rsidRPr="00F1262D" w14:paraId="6470B004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96B43" w14:textId="77777777" w:rsidR="003929FC" w:rsidRPr="00F1262D" w:rsidRDefault="003929FC" w:rsidP="003929F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4DE61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3FE96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AA80A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D890A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EEC6C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929FC" w:rsidRPr="00F1262D" w14:paraId="144C6593" w14:textId="77777777" w:rsidTr="003929FC">
        <w:trPr>
          <w:trHeight w:val="60"/>
        </w:trPr>
        <w:tc>
          <w:tcPr>
            <w:tcW w:w="2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D7FEA" w14:textId="77777777" w:rsidR="003929FC" w:rsidRPr="00F1262D" w:rsidRDefault="003929FC" w:rsidP="003929F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11484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CE3FF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37186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6EAE2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DCBB4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929FC" w:rsidRPr="00F1262D" w14:paraId="001805F3" w14:textId="77777777" w:rsidTr="003929FC">
        <w:trPr>
          <w:trHeight w:val="60"/>
        </w:trPr>
        <w:tc>
          <w:tcPr>
            <w:tcW w:w="316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1802F" w14:textId="77777777" w:rsidR="003929FC" w:rsidRPr="00F1262D" w:rsidRDefault="003929FC" w:rsidP="003929F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F655D" w14:textId="77777777" w:rsidR="003929FC" w:rsidRPr="00F1262D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075E8" w14:textId="7E446BDA" w:rsidR="003929FC" w:rsidRPr="003929FC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68 400</w:t>
            </w:r>
          </w:p>
        </w:tc>
      </w:tr>
      <w:tr w:rsidR="003929FC" w:rsidRPr="00F1262D" w14:paraId="7559D8B6" w14:textId="77777777" w:rsidTr="003929FC">
        <w:trPr>
          <w:trHeight w:val="60"/>
        </w:trPr>
        <w:tc>
          <w:tcPr>
            <w:tcW w:w="3855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8E563" w14:textId="77777777" w:rsidR="003929FC" w:rsidRPr="00F1262D" w:rsidRDefault="003929FC" w:rsidP="003929F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«Усього»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(Таблиця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Таблиця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ІІ)</w:t>
            </w:r>
            <w:commentRangeStart w:id="11"/>
            <w:r w:rsidRPr="00F1262D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3</w:t>
            </w:r>
            <w:commentRangeEnd w:id="11"/>
            <w:r>
              <w:rPr>
                <w:rStyle w:val="a5"/>
              </w:rPr>
              <w:commentReference w:id="11"/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4E3F4" w14:textId="14D6CD5F" w:rsidR="003929FC" w:rsidRPr="003929FC" w:rsidRDefault="003929FC" w:rsidP="00392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203 856</w:t>
            </w:r>
          </w:p>
        </w:tc>
      </w:tr>
    </w:tbl>
    <w:p w14:paraId="12DBAC7D" w14:textId="77777777" w:rsidR="00C94743" w:rsidRPr="00F1262D" w:rsidRDefault="00C94743" w:rsidP="003E2F5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10750052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F1262D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1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платниками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власниками,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орендарями,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користувачами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інших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(в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тому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числі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емфітевзису)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земельних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ділянок,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віднесених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сільськогосподарських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угідь.</w:t>
      </w:r>
    </w:p>
    <w:p w14:paraId="7399F326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Розраховується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щодо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кожної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земельної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ділянки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381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14:paraId="7411DCD5" w14:textId="77777777" w:rsidR="00C94743" w:rsidRPr="00C6623A" w:rsidRDefault="00C94743" w:rsidP="003E2F53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Значення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графи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6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«Сума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рядків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«Усього»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переноситься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02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МПЗ-З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додатка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06.2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декларації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прибуток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підприємств.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5"/>
        <w:gridCol w:w="3061"/>
        <w:gridCol w:w="3629"/>
      </w:tblGrid>
      <w:tr w:rsidR="00C94743" w:rsidRPr="00F1262D" w14:paraId="495717EA" w14:textId="77777777" w:rsidTr="00C6623A">
        <w:trPr>
          <w:trHeight w:val="769"/>
        </w:trPr>
        <w:tc>
          <w:tcPr>
            <w:tcW w:w="177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C51C419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особа)</w:t>
            </w:r>
          </w:p>
        </w:tc>
        <w:tc>
          <w:tcPr>
            <w:tcW w:w="1475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17DCE281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0FEA263D" w14:textId="77777777" w:rsidR="00C94743" w:rsidRPr="00C6623A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  <w:p w14:paraId="24C9AE8E" w14:textId="77777777" w:rsidR="00C94743" w:rsidRPr="00F1262D" w:rsidRDefault="00C94743" w:rsidP="003E2F53">
            <w:pPr>
              <w:spacing w:before="113"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1749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83A407F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1DC929D8" w14:textId="77777777" w:rsidR="00C94743" w:rsidRPr="00C6623A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  <w:tr w:rsidR="00C94743" w:rsidRPr="00F1262D" w14:paraId="2D5A09D7" w14:textId="77777777" w:rsidTr="00C6623A">
        <w:trPr>
          <w:trHeight w:val="473"/>
        </w:trPr>
        <w:tc>
          <w:tcPr>
            <w:tcW w:w="1776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D3D3AAF" w14:textId="77777777" w:rsidR="00C94743" w:rsidRPr="00F1262D" w:rsidRDefault="00C94743" w:rsidP="003E2F53">
            <w:pPr>
              <w:spacing w:after="0" w:line="17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(особа,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обліку)</w:t>
            </w:r>
          </w:p>
        </w:tc>
        <w:tc>
          <w:tcPr>
            <w:tcW w:w="1475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21011AC7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426CF78B" w14:textId="77777777" w:rsidR="00C94743" w:rsidRPr="00C6623A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49" w:type="pct"/>
            <w:tcMar>
              <w:top w:w="71" w:type="dxa"/>
              <w:left w:w="85" w:type="dxa"/>
              <w:bottom w:w="85" w:type="dxa"/>
              <w:right w:w="85" w:type="dxa"/>
            </w:tcMar>
          </w:tcPr>
          <w:p w14:paraId="696172A0" w14:textId="77777777" w:rsidR="00C94743" w:rsidRPr="00F1262D" w:rsidRDefault="00C94743" w:rsidP="003E2F53">
            <w:pPr>
              <w:spacing w:after="0" w:line="17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262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5A7749E0" w14:textId="77777777" w:rsidR="00C94743" w:rsidRPr="00C6623A" w:rsidRDefault="00C94743" w:rsidP="003E2F5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66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</w:tbl>
    <w:p w14:paraId="7238536C" w14:textId="77777777" w:rsidR="00C94743" w:rsidRPr="00F1262D" w:rsidRDefault="00C94743" w:rsidP="003E2F5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C94743" w:rsidRPr="00F1262D" w:rsidSect="00710A7D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lga Bogdanova" w:date="2022-12-20T14:41:00Z" w:initials="OB">
    <w:p w14:paraId="20E944F7" w14:textId="03295091" w:rsidR="00DF1E04" w:rsidRDefault="00DF1E04">
      <w:pPr>
        <w:pStyle w:val="a6"/>
      </w:pPr>
      <w:r>
        <w:rPr>
          <w:rStyle w:val="a5"/>
        </w:rPr>
        <w:annotationRef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Форму Податкової декларації з податку на прибуток підприємств (далі – Декларація), яка затверджена наказом Міністерства фінансів України від 20 жовтня 2015 року № 897,</w:t>
      </w:r>
      <w:r w:rsidRPr="00DF1E04">
        <w:rPr>
          <w:rFonts w:ascii="Arial" w:hAnsi="Arial" w:cs="Arial"/>
          <w:color w:val="000000"/>
          <w:sz w:val="27"/>
          <w:szCs w:val="27"/>
          <w:highlight w:val="yellow"/>
          <w:shd w:val="clear" w:color="auto" w:fill="FFFFFF"/>
        </w:rPr>
        <w:t>доповнено новим рядком 06.2МПЗ «Податок на прибуток у вигляді мінімального податкового зобов’язання» та відповідно новим додатком МПЗ,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 якому платниками податку – власниками, орендарями, користувачами на інших умовах земельних ділянок, віднесених до сільськогосподарських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угідь,здійснюватиметься,відповідно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до пункту 141.9 статті 141 Податкового кодексу України (далі − Кодекс), розрахунок загального мінімального податкового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зобов’язаннята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різниці між сумою такого зобов’язання та загальною сумою сплачених податків, зборів, платежів та витрат на оренду земельних ділянок. У заголовній частині Декларації також </w:t>
      </w:r>
      <w:r w:rsidRPr="00DF1E04">
        <w:rPr>
          <w:rFonts w:ascii="Arial" w:hAnsi="Arial" w:cs="Arial"/>
          <w:color w:val="000000"/>
          <w:sz w:val="27"/>
          <w:szCs w:val="27"/>
          <w:highlight w:val="yellow"/>
          <w:shd w:val="clear" w:color="auto" w:fill="FFFFFF"/>
        </w:rPr>
        <w:t>передбачено окрему особливу відмітку–«платника податку, що визначає податок на прибуток у вигляді мінімального податкового зобов’язання».</w:t>
      </w:r>
    </w:p>
  </w:comment>
  <w:comment w:id="2" w:author="Olga Bogdanova" w:date="2022-12-20T14:39:00Z" w:initials="OB">
    <w:p w14:paraId="699E1E07" w14:textId="77777777" w:rsidR="00DF1E04" w:rsidRPr="00DF1E04" w:rsidRDefault="00DF1E04" w:rsidP="00DF1E04">
      <w:pPr>
        <w:pStyle w:val="a4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n-US"/>
        </w:rPr>
      </w:pPr>
      <w:r>
        <w:rPr>
          <w:rStyle w:val="a5"/>
        </w:rPr>
        <w:annotationRef/>
      </w:r>
      <w:r w:rsidRPr="00DF1E04">
        <w:rPr>
          <w:rFonts w:ascii="Arial" w:eastAsia="Times New Roman" w:hAnsi="Arial" w:cs="Arial"/>
          <w:color w:val="000000"/>
          <w:sz w:val="27"/>
          <w:szCs w:val="27"/>
          <w:lang w:eastAsia="en-US"/>
        </w:rPr>
        <w:t>2. У Декларації уточнено редакцію рядків 35-37 щодо доповнення їх посиланням на пункт 57 підрозділу 4 розділу ХХ Кодексу, яким відповідно до Закону №</w:t>
      </w:r>
      <w:r w:rsidRPr="00DF1E04">
        <w:rPr>
          <w:rFonts w:ascii="Arial" w:eastAsia="Times New Roman" w:hAnsi="Arial" w:cs="Arial"/>
          <w:color w:val="000000"/>
          <w:sz w:val="27"/>
          <w:szCs w:val="27"/>
          <w:lang w:val="en-US" w:eastAsia="en-US"/>
        </w:rPr>
        <w:t> </w:t>
      </w:r>
      <w:r w:rsidRPr="00DF1E04">
        <w:rPr>
          <w:rFonts w:ascii="Arial" w:eastAsia="Times New Roman" w:hAnsi="Arial" w:cs="Arial"/>
          <w:color w:val="000000"/>
          <w:sz w:val="27"/>
          <w:szCs w:val="27"/>
          <w:lang w:eastAsia="en-US"/>
        </w:rPr>
        <w:t xml:space="preserve">1914 запроваджено </w:t>
      </w:r>
      <w:r w:rsidRPr="00DF1E04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en-US"/>
        </w:rPr>
        <w:t xml:space="preserve">тимчасове, до 1 січня 2027 року звільнення від оподаткування прибутку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en-US"/>
        </w:rPr>
        <w:t>сільськогосподарськихтоваровиробників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en-US"/>
        </w:rPr>
        <w:t>, що здійснюють діяльність з розведення та вирощування свійської птиці (крім курей), перепелів та страусів, виробництва м’яса свійської птиці та реалізації власно виробленої (вирощеної) такої продукції (крім м’яса курей) за умови цільового використання вивільнених коштів.</w:t>
      </w:r>
    </w:p>
    <w:p w14:paraId="71F2D838" w14:textId="77777777" w:rsidR="00DF1E04" w:rsidRPr="00DF1E04" w:rsidRDefault="00DF1E04" w:rsidP="00DF1E04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У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разі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порушення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напрямів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цільового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використання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, порядку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використання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вивільнених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коштів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платник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податку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зобов’язаний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нарахувати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податкове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зобов’язання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з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податку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на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прибуток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підприємств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з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суми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використаних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не за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призначенням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вивільнених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коштів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,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штрафні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санкції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та пеню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відповідно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до норм Кодексу.</w:t>
      </w:r>
    </w:p>
    <w:p w14:paraId="0C5DC8D8" w14:textId="77777777" w:rsidR="00DF1E04" w:rsidRPr="00DF1E04" w:rsidRDefault="00DF1E04" w:rsidP="00DF1E04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Такі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податкові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зобов’язання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,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штрафні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санкції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і пеня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нараховуються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,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починаючи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з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першого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числа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місяця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, в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якому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вчинено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таке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порушення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та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відображаються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у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відповідних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рядках 35-37 </w:t>
      </w:r>
      <w:proofErr w:type="spellStart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Декларації</w:t>
      </w:r>
      <w:proofErr w:type="spellEnd"/>
      <w:r w:rsidRPr="00DF1E04">
        <w:rPr>
          <w:rFonts w:ascii="Arial" w:eastAsia="Times New Roman" w:hAnsi="Arial" w:cs="Arial"/>
          <w:color w:val="000000"/>
          <w:sz w:val="27"/>
          <w:szCs w:val="27"/>
          <w:lang w:val="ru-RU"/>
        </w:rPr>
        <w:t>.</w:t>
      </w:r>
    </w:p>
    <w:p w14:paraId="7D194FF3" w14:textId="04EEBA8C" w:rsidR="00DF1E04" w:rsidRPr="00DF1E04" w:rsidRDefault="00DF1E04">
      <w:pPr>
        <w:pStyle w:val="a6"/>
        <w:rPr>
          <w:lang w:val="ru-RU"/>
        </w:rPr>
      </w:pPr>
    </w:p>
  </w:comment>
  <w:comment w:id="3" w:author="Olga Bogdanova" w:date="2022-12-20T14:46:00Z" w:initials="OB">
    <w:p w14:paraId="61FD35C9" w14:textId="03960A6D" w:rsidR="00DF1E04" w:rsidRPr="00F1262D" w:rsidRDefault="00DF1E04" w:rsidP="00DF1E04">
      <w:pPr>
        <w:shd w:val="clear" w:color="auto" w:fill="FFFFFF"/>
        <w:spacing w:before="120" w:after="12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Style w:val="a5"/>
        </w:rPr>
        <w:annotationRef/>
      </w: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Складається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платниками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власниками,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орендарями,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користувачами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інших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(в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тому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числі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умовах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емфітевзису)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земельних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ділянок,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віднесених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сільськогосподарських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угідь.</w:t>
      </w:r>
    </w:p>
    <w:p w14:paraId="0BFA9500" w14:textId="4A0556C8" w:rsidR="00DF1E04" w:rsidRDefault="00DF1E04">
      <w:pPr>
        <w:pStyle w:val="a6"/>
      </w:pPr>
    </w:p>
  </w:comment>
  <w:comment w:id="4" w:author="Olga Bogdanova" w:date="2022-12-20T14:47:00Z" w:initials="OB">
    <w:p w14:paraId="1EB01A3E" w14:textId="77777777" w:rsidR="00DF1E04" w:rsidRPr="00C6623A" w:rsidRDefault="00DF1E04" w:rsidP="00DF1E04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Style w:val="a5"/>
        </w:rPr>
        <w:annotationRef/>
      </w: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частка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сільськогосподарського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товаровиробництва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податковий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(звітний)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рік,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розрахована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14.1.262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14.1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14:paraId="3BEC31BF" w14:textId="64EB7B63" w:rsidR="00DF1E04" w:rsidRDefault="00DF1E04">
      <w:pPr>
        <w:pStyle w:val="a6"/>
      </w:pPr>
    </w:p>
  </w:comment>
  <w:comment w:id="5" w:author="Olga Bogdanova" w:date="2022-12-20T14:48:00Z" w:initials="OB">
    <w:p w14:paraId="73C4A5B1" w14:textId="77777777" w:rsidR="00DF1E04" w:rsidRPr="00C6623A" w:rsidRDefault="00DF1E04" w:rsidP="00DF1E04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Style w:val="a5"/>
        </w:rPr>
        <w:annotationRef/>
      </w:r>
      <w:r w:rsidRPr="003E4599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3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Визначається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урахуванням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особливостей,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встановлених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підпунктами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141.9.2,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141.9.3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141.9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141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ІІІ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14:paraId="16230FBA" w14:textId="5A156CF0" w:rsidR="00DF1E04" w:rsidRDefault="00DF1E04">
      <w:pPr>
        <w:pStyle w:val="a6"/>
      </w:pPr>
    </w:p>
  </w:comment>
  <w:comment w:id="6" w:author="Olga Bogdanova" w:date="2022-12-20T14:48:00Z" w:initials="OB">
    <w:p w14:paraId="030113ED" w14:textId="74D1DE86" w:rsidR="00DF1E04" w:rsidRDefault="00DF1E04">
      <w:pPr>
        <w:pStyle w:val="a6"/>
      </w:pPr>
      <w:r>
        <w:rPr>
          <w:rStyle w:val="a5"/>
        </w:rPr>
        <w:annotationRef/>
      </w:r>
      <w:r w:rsidRPr="00C6623A">
        <w:rPr>
          <w:rFonts w:ascii="Times New Roman" w:hAnsi="Times New Roman"/>
          <w:color w:val="000000"/>
          <w:lang w:eastAsia="uk-UA"/>
        </w:rPr>
        <w:t>Позитивне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значення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переноситься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рядка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06.2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МПЗ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Податкової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декларації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з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на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прибуток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підприємств.</w:t>
      </w:r>
    </w:p>
  </w:comment>
  <w:comment w:id="7" w:author="Olga Bogdanova" w:date="2022-12-20T14:52:00Z" w:initials="OB">
    <w:p w14:paraId="482C24E3" w14:textId="0B3E83CF" w:rsidR="007222E9" w:rsidRDefault="007222E9">
      <w:pPr>
        <w:pStyle w:val="a6"/>
      </w:pPr>
      <w:r>
        <w:rPr>
          <w:rStyle w:val="a5"/>
        </w:rPr>
        <w:annotationRef/>
      </w:r>
      <w:r w:rsidRPr="003E4599">
        <w:rPr>
          <w:rFonts w:ascii="Times New Roman" w:hAnsi="Times New Roman"/>
          <w:color w:val="000000"/>
          <w:vertAlign w:val="superscript"/>
          <w:lang w:eastAsia="uk-UA"/>
        </w:rPr>
        <w:t xml:space="preserve">1 </w:t>
      </w:r>
      <w:r w:rsidRPr="00C6623A">
        <w:rPr>
          <w:rFonts w:ascii="Times New Roman" w:hAnsi="Times New Roman"/>
          <w:color w:val="000000"/>
          <w:lang w:eastAsia="uk-UA"/>
        </w:rPr>
        <w:t>Складається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відповідно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пункту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141.9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статті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141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розділу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ІІІ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Податкового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кодексу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України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платниками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-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власниками,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орендарями,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користувачами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на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інших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умовах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(в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тому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числі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на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умовах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емфітевзису)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земельних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ділянок,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віднесених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сільськогосподарських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угідь.</w:t>
      </w:r>
    </w:p>
  </w:comment>
  <w:comment w:id="8" w:author="Olga Bogdanova" w:date="2022-12-20T14:52:00Z" w:initials="OB">
    <w:p w14:paraId="7853463B" w14:textId="5D7BB67B" w:rsidR="007222E9" w:rsidRDefault="007222E9">
      <w:pPr>
        <w:pStyle w:val="a6"/>
      </w:pPr>
      <w:r>
        <w:rPr>
          <w:rStyle w:val="a5"/>
        </w:rPr>
        <w:annotationRef/>
      </w:r>
      <w:r w:rsidRPr="003E4599">
        <w:rPr>
          <w:rFonts w:ascii="Times New Roman" w:hAnsi="Times New Roman"/>
          <w:color w:val="000000"/>
          <w:vertAlign w:val="superscript"/>
          <w:lang w:eastAsia="uk-UA"/>
        </w:rPr>
        <w:t xml:space="preserve">1 </w:t>
      </w:r>
      <w:r w:rsidRPr="00C6623A">
        <w:rPr>
          <w:rFonts w:ascii="Times New Roman" w:hAnsi="Times New Roman"/>
          <w:color w:val="000000"/>
          <w:lang w:eastAsia="uk-UA"/>
        </w:rPr>
        <w:t>Складається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відповідно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пункту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141.9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статті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141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розділу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ІІІ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Податкового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кодексу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України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платниками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податку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-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власниками,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орендарями,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користувачами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на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інших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умовах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(в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тому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числі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на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умовах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емфітевзису)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земельних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ділянок,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віднесених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до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сільськогосподарських</w:t>
      </w:r>
      <w:r>
        <w:rPr>
          <w:rFonts w:ascii="Times New Roman" w:hAnsi="Times New Roman"/>
          <w:color w:val="00000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lang w:eastAsia="uk-UA"/>
        </w:rPr>
        <w:t>угідь.</w:t>
      </w:r>
    </w:p>
  </w:comment>
  <w:comment w:id="9" w:author="Olga Bogdanova" w:date="2022-12-20T17:21:00Z" w:initials="OB">
    <w:p w14:paraId="3CE0AEED" w14:textId="77777777" w:rsidR="003929FC" w:rsidRPr="003929FC" w:rsidRDefault="003929FC" w:rsidP="003929FC">
      <w:pPr>
        <w:pStyle w:val="a6"/>
      </w:pPr>
      <w:r>
        <w:rPr>
          <w:rStyle w:val="a5"/>
        </w:rPr>
        <w:annotationRef/>
      </w:r>
      <w:r w:rsidRPr="003929FC">
        <w:t>67. Тимчасово, для розрахунку мінімального податкового зобов’язання за 2022 та 2023</w:t>
      </w:r>
      <w:r w:rsidRPr="003929FC">
        <w:rPr>
          <w:lang w:val="ru-RU"/>
        </w:rPr>
        <w:t>…</w:t>
      </w:r>
      <w:r w:rsidRPr="003929FC">
        <w:t xml:space="preserve"> 0,04….МПЗ = </w:t>
      </w:r>
      <w:proofErr w:type="spellStart"/>
      <w:r w:rsidRPr="003929FC">
        <w:t>НГОд</w:t>
      </w:r>
      <w:proofErr w:type="spellEnd"/>
      <w:r w:rsidRPr="003929FC">
        <w:t xml:space="preserve"> × К× М / 12,</w:t>
      </w:r>
    </w:p>
    <w:p w14:paraId="12A38E78" w14:textId="77777777" w:rsidR="003929FC" w:rsidRPr="003929FC" w:rsidRDefault="003929FC" w:rsidP="003929FC">
      <w:pPr>
        <w:pStyle w:val="a6"/>
      </w:pPr>
      <w:r w:rsidRPr="003929FC">
        <w:t>де:</w:t>
      </w:r>
    </w:p>
    <w:p w14:paraId="279D594D" w14:textId="77777777" w:rsidR="003929FC" w:rsidRPr="003929FC" w:rsidRDefault="003929FC" w:rsidP="003929FC">
      <w:pPr>
        <w:pStyle w:val="a6"/>
      </w:pPr>
      <w:r w:rsidRPr="003929FC">
        <w:t>МПЗ — мінімальне податкове зобов’язання;</w:t>
      </w:r>
    </w:p>
    <w:p w14:paraId="5A77B24B" w14:textId="77777777" w:rsidR="003929FC" w:rsidRPr="003929FC" w:rsidRDefault="003929FC" w:rsidP="003929FC">
      <w:pPr>
        <w:pStyle w:val="a6"/>
      </w:pPr>
      <w:proofErr w:type="spellStart"/>
      <w:r w:rsidRPr="003929FC">
        <w:t>НГОд</w:t>
      </w:r>
      <w:proofErr w:type="spellEnd"/>
      <w:r w:rsidRPr="003929FC">
        <w:t xml:space="preserve"> — нормативна грошова оцінка відповідної земельної ділянки з урахуванням коефіцієнта індексації, визначеного відповідно до порядку, встановленого цим Кодексом для справляння плати за землю.</w:t>
      </w:r>
    </w:p>
    <w:p w14:paraId="3CFFC07C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t>М — кількість календарних місяців, протягом яких земельна ділянка перебуває у власності, оренді, користуванні на інших умовах (в тому числі на умовах емфітевзису) платника податків;</w:t>
      </w:r>
    </w:p>
    <w:p w14:paraId="3341364D" w14:textId="438C511B" w:rsidR="003929FC" w:rsidRPr="003929FC" w:rsidRDefault="003929FC" w:rsidP="003929FC">
      <w:pPr>
        <w:pStyle w:val="a6"/>
        <w:rPr>
          <w:b/>
          <w:bCs/>
          <w:lang w:val="ru-RU"/>
        </w:rPr>
      </w:pPr>
      <w:r w:rsidRPr="003929FC">
        <w:t>К — коефіцієнт, який становить 0,05.</w:t>
      </w:r>
    </w:p>
    <w:p w14:paraId="4BFC1817" w14:textId="77777777" w:rsidR="003929FC" w:rsidRPr="003929FC" w:rsidRDefault="003929FC" w:rsidP="003929FC">
      <w:pPr>
        <w:pStyle w:val="a6"/>
        <w:rPr>
          <w:lang w:val="ru-RU"/>
        </w:rPr>
      </w:pPr>
    </w:p>
    <w:p w14:paraId="5D70ADF0" w14:textId="67CCF85E" w:rsidR="003929FC" w:rsidRPr="003929FC" w:rsidRDefault="003929FC">
      <w:pPr>
        <w:pStyle w:val="a6"/>
        <w:rPr>
          <w:lang w:val="ru-RU"/>
        </w:rPr>
      </w:pPr>
    </w:p>
  </w:comment>
  <w:comment w:id="10" w:author="Olga Bogdanova" w:date="2022-12-20T17:27:00Z" w:initials="OB">
    <w:p w14:paraId="30F0697B" w14:textId="77777777" w:rsidR="003929FC" w:rsidRPr="003929FC" w:rsidRDefault="003929FC" w:rsidP="003929FC">
      <w:pPr>
        <w:pStyle w:val="a6"/>
        <w:rPr>
          <w:lang w:val="ru-RU"/>
        </w:rPr>
      </w:pPr>
      <w:r>
        <w:rPr>
          <w:rStyle w:val="a5"/>
        </w:rPr>
        <w:annotationRef/>
      </w:r>
      <w:r w:rsidRPr="003929FC">
        <w:t xml:space="preserve">МПЗ = НГО × </w:t>
      </w:r>
      <w:r w:rsidRPr="003929FC">
        <w:rPr>
          <w:lang w:val="en-US"/>
        </w:rPr>
        <w:t>S</w:t>
      </w:r>
      <w:r w:rsidRPr="003929FC">
        <w:rPr>
          <w:lang w:val="ru-RU"/>
        </w:rPr>
        <w:t xml:space="preserve"> × </w:t>
      </w:r>
      <w:r w:rsidRPr="003929FC">
        <w:t>К× М / 12,</w:t>
      </w:r>
    </w:p>
    <w:p w14:paraId="120B5C98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t>де:</w:t>
      </w:r>
    </w:p>
    <w:p w14:paraId="58EBDC94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t>МПЗ — мінімальне податкове зобов’язання;</w:t>
      </w:r>
    </w:p>
    <w:p w14:paraId="6B79FDCB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t xml:space="preserve">НГО — нормативна грошова оцінка </w:t>
      </w:r>
      <w:r w:rsidRPr="003929FC">
        <w:rPr>
          <w:b/>
          <w:bCs/>
        </w:rPr>
        <w:t>1 гектара ріллі по Автономній Республіці Крим або по області з урахуванням коефіцієнта індексації,</w:t>
      </w:r>
      <w:r w:rsidRPr="003929FC">
        <w:t xml:space="preserve"> визначеного відповідно до порядку, встановленого цим Кодексом для справляння плати за землю;</w:t>
      </w:r>
    </w:p>
    <w:p w14:paraId="420A4164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rPr>
          <w:lang w:val="en-US"/>
        </w:rPr>
        <w:t>S</w:t>
      </w:r>
      <w:r w:rsidRPr="003929FC">
        <w:rPr>
          <w:lang w:val="ru-RU"/>
        </w:rPr>
        <w:t xml:space="preserve"> — </w:t>
      </w:r>
      <w:r w:rsidRPr="003929FC">
        <w:rPr>
          <w:b/>
          <w:bCs/>
        </w:rPr>
        <w:t xml:space="preserve">площа </w:t>
      </w:r>
      <w:r w:rsidRPr="003929FC">
        <w:t>земельної ділянки, гектарах;</w:t>
      </w:r>
    </w:p>
    <w:p w14:paraId="1E7B81DB" w14:textId="77777777" w:rsidR="003929FC" w:rsidRPr="003929FC" w:rsidRDefault="003929FC" w:rsidP="003929FC">
      <w:pPr>
        <w:pStyle w:val="a6"/>
        <w:rPr>
          <w:lang w:val="ru-RU"/>
        </w:rPr>
      </w:pPr>
      <w:r w:rsidRPr="003929FC">
        <w:t xml:space="preserve">М — </w:t>
      </w:r>
      <w:r w:rsidRPr="003929FC">
        <w:rPr>
          <w:b/>
          <w:bCs/>
        </w:rPr>
        <w:t>кількість календарних місяців</w:t>
      </w:r>
      <w:r w:rsidRPr="003929FC">
        <w:t>, протягом яких земельна ділянка перебуває у власності, оренді, користуванні на інших умовах (в тому числі на умовах емфітевзису) платника податків;</w:t>
      </w:r>
    </w:p>
    <w:p w14:paraId="033170F3" w14:textId="77777777" w:rsidR="003929FC" w:rsidRPr="003929FC" w:rsidRDefault="003929FC" w:rsidP="003929FC">
      <w:pPr>
        <w:pStyle w:val="a6"/>
        <w:rPr>
          <w:lang w:val="en-US"/>
        </w:rPr>
      </w:pPr>
      <w:r w:rsidRPr="003929FC">
        <w:t xml:space="preserve">К — коефіцієнт, що </w:t>
      </w:r>
      <w:r w:rsidRPr="003929FC">
        <w:rPr>
          <w:b/>
          <w:bCs/>
        </w:rPr>
        <w:t>становить 0,05.</w:t>
      </w:r>
    </w:p>
    <w:p w14:paraId="7910478E" w14:textId="1AC6CB35" w:rsidR="003929FC" w:rsidRDefault="003929FC">
      <w:pPr>
        <w:pStyle w:val="a6"/>
      </w:pPr>
    </w:p>
  </w:comment>
  <w:comment w:id="11" w:author="Olga Bogdanova" w:date="2022-12-20T14:53:00Z" w:initials="OB">
    <w:p w14:paraId="766B672D" w14:textId="77777777" w:rsidR="003929FC" w:rsidRPr="00C6623A" w:rsidRDefault="003929FC" w:rsidP="007222E9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Style w:val="a5"/>
        </w:rPr>
        <w:annotationRef/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Значення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графи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6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«Сума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рядків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«Усього»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переноситься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02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МПЗ-З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додатка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рядка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06.2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МПЗ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Податкової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декларації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прибуток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6623A">
        <w:rPr>
          <w:rFonts w:ascii="Times New Roman" w:hAnsi="Times New Roman"/>
          <w:color w:val="000000"/>
          <w:sz w:val="20"/>
          <w:szCs w:val="20"/>
          <w:lang w:eastAsia="uk-UA"/>
        </w:rPr>
        <w:t>підприємств.</w:t>
      </w:r>
    </w:p>
    <w:p w14:paraId="6340D607" w14:textId="11620DE8" w:rsidR="003929FC" w:rsidRDefault="003929FC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E944F7" w15:done="0"/>
  <w15:commentEx w15:paraId="7D194FF3" w15:done="0"/>
  <w15:commentEx w15:paraId="0BFA9500" w15:done="0"/>
  <w15:commentEx w15:paraId="3BEC31BF" w15:done="0"/>
  <w15:commentEx w15:paraId="16230FBA" w15:done="0"/>
  <w15:commentEx w15:paraId="030113ED" w15:done="0"/>
  <w15:commentEx w15:paraId="482C24E3" w15:done="0"/>
  <w15:commentEx w15:paraId="7853463B" w15:done="0"/>
  <w15:commentEx w15:paraId="5D70ADF0" w15:done="0"/>
  <w15:commentEx w15:paraId="7910478E" w15:done="0"/>
  <w15:commentEx w15:paraId="6340D6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E944F7" w16cid:durableId="274C47FC"/>
  <w16cid:commentId w16cid:paraId="7D194FF3" w16cid:durableId="274C479D"/>
  <w16cid:commentId w16cid:paraId="0BFA9500" w16cid:durableId="274C4950"/>
  <w16cid:commentId w16cid:paraId="3BEC31BF" w16cid:durableId="274C4970"/>
  <w16cid:commentId w16cid:paraId="16230FBA" w16cid:durableId="274C49A2"/>
  <w16cid:commentId w16cid:paraId="030113ED" w16cid:durableId="274C49DA"/>
  <w16cid:commentId w16cid:paraId="482C24E3" w16cid:durableId="274C4AB0"/>
  <w16cid:commentId w16cid:paraId="7853463B" w16cid:durableId="274C4AC0"/>
  <w16cid:commentId w16cid:paraId="5D70ADF0" w16cid:durableId="274C6DA8"/>
  <w16cid:commentId w16cid:paraId="7910478E" w16cid:durableId="274C6EEE"/>
  <w16cid:commentId w16cid:paraId="6340D607" w16cid:durableId="274C4A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511A"/>
    <w:multiLevelType w:val="multilevel"/>
    <w:tmpl w:val="15C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A9A"/>
    <w:multiLevelType w:val="multilevel"/>
    <w:tmpl w:val="4048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F7B58"/>
    <w:multiLevelType w:val="multilevel"/>
    <w:tmpl w:val="582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Bogdanova">
    <w15:presenceInfo w15:providerId="Windows Live" w15:userId="6e29262f39a1e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53"/>
    <w:rsid w:val="00131FF9"/>
    <w:rsid w:val="003929FC"/>
    <w:rsid w:val="003E2F53"/>
    <w:rsid w:val="003E4599"/>
    <w:rsid w:val="00420A96"/>
    <w:rsid w:val="005F2013"/>
    <w:rsid w:val="00710A7D"/>
    <w:rsid w:val="007222E9"/>
    <w:rsid w:val="007E20C8"/>
    <w:rsid w:val="009442BA"/>
    <w:rsid w:val="009531C1"/>
    <w:rsid w:val="00C6623A"/>
    <w:rsid w:val="00C94743"/>
    <w:rsid w:val="00DF1E04"/>
    <w:rsid w:val="00E06256"/>
    <w:rsid w:val="00F1262D"/>
    <w:rsid w:val="00F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20A18"/>
  <w15:docId w15:val="{25D960A6-2AFF-4073-9738-D32A62E2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2">
    <w:name w:val="heading 2"/>
    <w:basedOn w:val="a"/>
    <w:link w:val="20"/>
    <w:uiPriority w:val="99"/>
    <w:qFormat/>
    <w:rsid w:val="003E2F5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054908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9"/>
    <w:locked/>
    <w:rsid w:val="003E2F53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uiPriority w:val="99"/>
    <w:semiHidden/>
    <w:rsid w:val="003E2F5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uiPriority w:val="99"/>
    <w:rsid w:val="003E2F53"/>
    <w:rPr>
      <w:rFonts w:cs="Times New Roman"/>
    </w:rPr>
  </w:style>
  <w:style w:type="paragraph" w:customStyle="1" w:styleId="snoskasnoski">
    <w:name w:val="snoskasnoski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3E2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E2F5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uiPriority w:val="99"/>
    <w:semiHidden/>
    <w:rsid w:val="00054908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link w:val="z-"/>
    <w:uiPriority w:val="99"/>
    <w:semiHidden/>
    <w:locked/>
    <w:rsid w:val="003E2F53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E2F5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uiPriority w:val="99"/>
    <w:semiHidden/>
    <w:rsid w:val="00054908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link w:val="z-1"/>
    <w:uiPriority w:val="99"/>
    <w:semiHidden/>
    <w:locked/>
    <w:rsid w:val="003E2F53"/>
    <w:rPr>
      <w:rFonts w:ascii="Arial" w:hAnsi="Arial" w:cs="Arial"/>
      <w:vanish/>
      <w:sz w:val="16"/>
      <w:szCs w:val="16"/>
      <w:lang w:eastAsia="uk-UA"/>
    </w:rPr>
  </w:style>
  <w:style w:type="character" w:styleId="a5">
    <w:name w:val="annotation reference"/>
    <w:uiPriority w:val="99"/>
    <w:semiHidden/>
    <w:unhideWhenUsed/>
    <w:locked/>
    <w:rsid w:val="00DF1E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locked/>
    <w:rsid w:val="00DF1E04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DF1E04"/>
    <w:rPr>
      <w:sz w:val="20"/>
      <w:szCs w:val="20"/>
      <w:lang w:val="uk-UA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locked/>
    <w:rsid w:val="00DF1E04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F1E04"/>
    <w:rPr>
      <w:b/>
      <w:bCs/>
      <w:sz w:val="20"/>
      <w:szCs w:val="20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locked/>
    <w:rsid w:val="0013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FF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0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2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CB7A-AAFA-49B5-85C9-105D07CB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6875</Words>
  <Characters>3919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2</cp:revision>
  <dcterms:created xsi:type="dcterms:W3CDTF">2023-01-11T06:50:00Z</dcterms:created>
  <dcterms:modified xsi:type="dcterms:W3CDTF">2023-01-11T06:50:00Z</dcterms:modified>
</cp:coreProperties>
</file>