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0A10" w14:textId="6F616F5D" w:rsidR="00020991" w:rsidRDefault="00020991" w:rsidP="00020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17A64B" wp14:editId="2CDB2D31">
            <wp:extent cx="6000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AEC21" w14:textId="2E136A9E" w:rsidR="00020991" w:rsidRPr="00020991" w:rsidRDefault="00020991" w:rsidP="000209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991">
        <w:rPr>
          <w:rFonts w:ascii="Times New Roman" w:hAnsi="Times New Roman" w:cs="Times New Roman"/>
          <w:b/>
          <w:bCs/>
          <w:sz w:val="24"/>
          <w:szCs w:val="24"/>
        </w:rPr>
        <w:t>МІНІСТЕРСТВО ФІНАНСІВ УКРАЇНИ</w:t>
      </w:r>
    </w:p>
    <w:p w14:paraId="72D4D359" w14:textId="77777777" w:rsidR="00020991" w:rsidRPr="00020991" w:rsidRDefault="00020991" w:rsidP="000209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991">
        <w:rPr>
          <w:rFonts w:ascii="Times New Roman" w:hAnsi="Times New Roman" w:cs="Times New Roman"/>
          <w:b/>
          <w:bCs/>
          <w:sz w:val="24"/>
          <w:szCs w:val="24"/>
        </w:rPr>
        <w:t>НАКАЗ</w:t>
      </w:r>
    </w:p>
    <w:p w14:paraId="0DF634F5" w14:textId="77777777" w:rsidR="00020991" w:rsidRPr="00020991" w:rsidRDefault="00020991" w:rsidP="000209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13.12.2022 р. № 431</w:t>
      </w:r>
    </w:p>
    <w:p w14:paraId="58E07216" w14:textId="77777777" w:rsidR="00020991" w:rsidRPr="00020991" w:rsidRDefault="00020991" w:rsidP="000209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Зареєстровано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Міністерстві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юстиції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</w:p>
    <w:p w14:paraId="3585A0D7" w14:textId="0F55DB13" w:rsidR="00020991" w:rsidRDefault="00020991" w:rsidP="000209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2022 р. за № 1692/39028</w:t>
      </w:r>
    </w:p>
    <w:p w14:paraId="6BC2141C" w14:textId="77777777" w:rsidR="00020991" w:rsidRPr="00020991" w:rsidRDefault="00020991" w:rsidP="000209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33D5F" w14:textId="77777777" w:rsidR="00020991" w:rsidRDefault="00020991" w:rsidP="000209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0991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proofErr w:type="spellStart"/>
      <w:r w:rsidRPr="00020991">
        <w:rPr>
          <w:rFonts w:ascii="Times New Roman" w:hAnsi="Times New Roman" w:cs="Times New Roman"/>
          <w:b/>
          <w:bCs/>
          <w:sz w:val="24"/>
          <w:szCs w:val="24"/>
        </w:rPr>
        <w:t>затвердження</w:t>
      </w:r>
      <w:proofErr w:type="spellEnd"/>
      <w:r w:rsidRPr="00020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b/>
          <w:bCs/>
          <w:sz w:val="24"/>
          <w:szCs w:val="24"/>
        </w:rPr>
        <w:t>типових</w:t>
      </w:r>
      <w:proofErr w:type="spellEnd"/>
      <w:r w:rsidRPr="00020991">
        <w:rPr>
          <w:rFonts w:ascii="Times New Roman" w:hAnsi="Times New Roman" w:cs="Times New Roman"/>
          <w:b/>
          <w:bCs/>
          <w:sz w:val="24"/>
          <w:szCs w:val="24"/>
        </w:rPr>
        <w:t xml:space="preserve"> форм з </w:t>
      </w:r>
      <w:proofErr w:type="spellStart"/>
      <w:r w:rsidRPr="00020991">
        <w:rPr>
          <w:rFonts w:ascii="Times New Roman" w:hAnsi="Times New Roman" w:cs="Times New Roman"/>
          <w:b/>
          <w:bCs/>
          <w:sz w:val="24"/>
          <w:szCs w:val="24"/>
        </w:rPr>
        <w:t>обліку</w:t>
      </w:r>
      <w:proofErr w:type="spellEnd"/>
    </w:p>
    <w:p w14:paraId="2BC067AB" w14:textId="77777777" w:rsidR="00020991" w:rsidRDefault="00020991" w:rsidP="000209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0991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b/>
          <w:bCs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b/>
          <w:bCs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b/>
          <w:bCs/>
          <w:sz w:val="24"/>
          <w:szCs w:val="24"/>
        </w:rPr>
        <w:t>суб’єктами</w:t>
      </w:r>
      <w:proofErr w:type="spellEnd"/>
    </w:p>
    <w:p w14:paraId="383DA14B" w14:textId="048B2282" w:rsidR="00020991" w:rsidRDefault="00020991" w:rsidP="000209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099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державного сектору та порядку </w:t>
      </w:r>
      <w:proofErr w:type="spellStart"/>
      <w:r w:rsidRPr="00020991">
        <w:rPr>
          <w:rFonts w:ascii="Times New Roman" w:hAnsi="Times New Roman" w:cs="Times New Roman"/>
          <w:b/>
          <w:bCs/>
          <w:sz w:val="24"/>
          <w:szCs w:val="24"/>
        </w:rPr>
        <w:t>їх</w:t>
      </w:r>
      <w:proofErr w:type="spellEnd"/>
      <w:r w:rsidRPr="00020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b/>
          <w:bCs/>
          <w:sz w:val="24"/>
          <w:szCs w:val="24"/>
        </w:rPr>
        <w:t>складання</w:t>
      </w:r>
      <w:proofErr w:type="spellEnd"/>
    </w:p>
    <w:p w14:paraId="68B775F8" w14:textId="77777777" w:rsidR="00020991" w:rsidRPr="00020991" w:rsidRDefault="00020991" w:rsidP="000209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190CA" w14:textId="77777777" w:rsidR="00020991" w:rsidRPr="00020991" w:rsidRDefault="00020991" w:rsidP="000209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внесеними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Мінфіну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02.01.2023 р. № 2)</w:t>
      </w:r>
    </w:p>
    <w:p w14:paraId="4CFC675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A15DCF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56 Бюджетного кодексу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Закону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”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підпункту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5 пункту 4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2014 року № 375,</w:t>
      </w:r>
    </w:p>
    <w:p w14:paraId="03CA871D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BAE0A6D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НАКАЗУЮ:</w:t>
      </w:r>
    </w:p>
    <w:p w14:paraId="2ED2B57D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6489579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додаються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:</w:t>
      </w:r>
    </w:p>
    <w:p w14:paraId="03F2649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509F72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типових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форм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сектору;</w:t>
      </w:r>
    </w:p>
    <w:p w14:paraId="6A5B8E7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типові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сектору:</w:t>
      </w:r>
    </w:p>
    <w:p w14:paraId="55769D97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приймання-передачі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;</w:t>
      </w:r>
    </w:p>
    <w:p w14:paraId="42888292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Акт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;</w:t>
      </w:r>
    </w:p>
    <w:p w14:paraId="0A05F74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Прибутковий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ордер;</w:t>
      </w:r>
    </w:p>
    <w:p w14:paraId="21EC294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;</w:t>
      </w:r>
    </w:p>
    <w:p w14:paraId="7BF82B0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Накладна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);</w:t>
      </w:r>
    </w:p>
    <w:p w14:paraId="7A97D27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Меню-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;</w:t>
      </w:r>
    </w:p>
    <w:p w14:paraId="2D72AD33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;</w:t>
      </w:r>
    </w:p>
    <w:p w14:paraId="236B4263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(книга)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складського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;</w:t>
      </w:r>
    </w:p>
    <w:p w14:paraId="64DEA70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lastRenderedPageBreak/>
        <w:t xml:space="preserve">Журнал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битого посуду;</w:t>
      </w:r>
    </w:p>
    <w:p w14:paraId="4CBABA4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;</w:t>
      </w:r>
    </w:p>
    <w:p w14:paraId="3289A7A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витрачання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;</w:t>
      </w:r>
    </w:p>
    <w:p w14:paraId="65F1E51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ярлик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0BEFB13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Департаменту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методології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нормативного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аудиторської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:</w:t>
      </w:r>
    </w:p>
    <w:p w14:paraId="056EC52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58F37A7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наказу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юстиції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;</w:t>
      </w:r>
    </w:p>
    <w:p w14:paraId="6256AF2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наказу.</w:t>
      </w:r>
    </w:p>
    <w:p w14:paraId="328A287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наказ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набирає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01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2023 року, але не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офіційного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опублікування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93F00A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1099D1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4. Контроль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наказу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Міністра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Воробей С. І.</w:t>
      </w:r>
    </w:p>
    <w:p w14:paraId="68DCC762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B35C7F7" w14:textId="5F5CFED8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Міністр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Сергій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МАРЧЕНКО</w:t>
      </w:r>
    </w:p>
    <w:p w14:paraId="394536F5" w14:textId="77777777" w:rsidR="00020991" w:rsidRPr="00020991" w:rsidRDefault="00020991" w:rsidP="000209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5A21E2" w14:textId="77777777" w:rsidR="00020991" w:rsidRPr="00020991" w:rsidRDefault="00020991" w:rsidP="00020991">
      <w:pPr>
        <w:jc w:val="right"/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2FD29C84" w14:textId="77777777" w:rsidR="00020991" w:rsidRPr="00020991" w:rsidRDefault="00020991" w:rsidP="00020991">
      <w:pPr>
        <w:jc w:val="right"/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Наказ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</w:p>
    <w:p w14:paraId="3DCB3D62" w14:textId="77777777" w:rsidR="00020991" w:rsidRPr="00020991" w:rsidRDefault="00020991" w:rsidP="00020991">
      <w:pPr>
        <w:jc w:val="right"/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13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2022 року № 431</w:t>
      </w:r>
    </w:p>
    <w:p w14:paraId="38FEB2B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1E1BEA35" w14:textId="77777777" w:rsidR="00020991" w:rsidRPr="00020991" w:rsidRDefault="00020991" w:rsidP="000209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Порядок</w:t>
      </w:r>
    </w:p>
    <w:p w14:paraId="2FF4BC29" w14:textId="77777777" w:rsidR="00020991" w:rsidRPr="00020991" w:rsidRDefault="00020991" w:rsidP="000209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типових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форм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</w:t>
      </w:r>
    </w:p>
    <w:p w14:paraId="5AE3409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</w:p>
    <w:p w14:paraId="5B32D16D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Порядок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складанні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типових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форм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розпорядниками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Державною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казначейською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службою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фондами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загальнообов’язкового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сектору).</w:t>
      </w:r>
    </w:p>
    <w:p w14:paraId="47992F3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AB645E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значеннях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Бюджетним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кодексом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Законом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національними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положеннями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(стандартами)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державному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секторі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актами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1DA4635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684ECA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галузевих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руху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вибуття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містити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обов’язкові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реквізити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Положенням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документальне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записів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1995 року № 88,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зареєстрованим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Міністерстві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юстиції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05 червня 1995 року за № 168/704,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Порядком,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затверджувати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розпорядчим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документом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478BFC0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761223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оприбуткування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надійшли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постачальників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переробників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переробки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стороні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оформлюватись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товарно-транспортною накладною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штампа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позначення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оприбуткування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446A3607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9A77E2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Вибуття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оформлюватись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товарно-транспортною накладною, яку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виписує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договору,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ним особи.</w:t>
      </w:r>
    </w:p>
    <w:p w14:paraId="699FE001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56182E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Реєстрація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первинних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вибуття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оформлюватися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реєстром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первинних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первинних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Реєстр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разом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первинними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документами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додатками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у строки,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документообороту.</w:t>
      </w:r>
    </w:p>
    <w:p w14:paraId="78E760A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F74FD14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залишок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місцях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початок і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кінець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витрачання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відображається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звіті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строки,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документообороту.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заповнюється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кількісному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первинних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рух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261DCA80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FEE48F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8.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передбачати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документообороту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карток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537336D4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60B34D7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Типові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застосовуватися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юридичними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особами,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створеними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організаційно-правових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форм і форм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представництвами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іноземних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6F6DD11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778BC18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типових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форм</w:t>
      </w:r>
    </w:p>
    <w:p w14:paraId="478BFE5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приймання-передачі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</w:p>
    <w:p w14:paraId="60A8D5D3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приймання-передачі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безоплатного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визнаних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запасами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розподілення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переміщення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внутрівідомчої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безоплатної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межах органу,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управляти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об’єктами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застосовуватися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отриманні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гуманітарної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дарунка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безповоротної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481FDC6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957A36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вноситься до акта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однорідної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(виду), номенклатурного номера (у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номерами),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одиниці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відомостях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0224788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C3122F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3.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(по одному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призначеною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розпорядженням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(наказом)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особи)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14175FF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FC91F01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затверджується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 разом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документацією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сектору.</w:t>
      </w:r>
    </w:p>
    <w:p w14:paraId="41B763D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37F3B2D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акта за формою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змістом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служба переносить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облікових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регістрів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робиться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відмітка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330E0D0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D16C40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4. При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отриманні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гуманітарної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дарунка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безповоротної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приймання-передачі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складений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одному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2D6AE50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78E14F5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Акт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</w:p>
    <w:p w14:paraId="76AE1BA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Акт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визнаних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запасами,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розбіжності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супроводжувальних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постачальників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прибули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10683F3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A4E27E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застосовуватись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35E8E1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D7E87F0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3.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акті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документа,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вантаж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прибув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 і дата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супровідного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транспортного документа,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відправник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одержувач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однорідна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(вид),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одиниця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сума за документами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виявлених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сума браку та бою,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нестачі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надлишки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відомостях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4A31CBD7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7365E62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4.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призначеною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розпорядженням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(наказом)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особи)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присутності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особи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відправника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), а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неявки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останнього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відправника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не є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обов’язковим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–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незацікавленої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273B20FD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226D5404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Факт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оприбуткування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підтверджується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підписом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прийняла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573CE994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6D9C19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5.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затверджується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ним особою.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 разом з документами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рахунками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-фактур,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накладними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Перший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прийнятих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–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направлення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претензії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AE463C4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26D452F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акта за формою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змістом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служба переносить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облікових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регістрів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робиться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відмітка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3A7F6B7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54B056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Прибутковий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ордер</w:t>
      </w:r>
    </w:p>
    <w:p w14:paraId="6A1C2C31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Прибутковий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ордер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надходять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постачальників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первинних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переробників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переробки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стороні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оприбуткування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критеріям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відображені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балансі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отриманих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ліквідації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розбирання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необоротних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активів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55D84ED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665524F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Прибутковий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ордер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0991">
        <w:rPr>
          <w:rFonts w:ascii="Times New Roman" w:hAnsi="Times New Roman" w:cs="Times New Roman"/>
          <w:sz w:val="24"/>
          <w:szCs w:val="24"/>
        </w:rPr>
        <w:t>у день</w:t>
      </w:r>
      <w:proofErr w:type="gram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склад. Перший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залишається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6B77B433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6A4909A0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3. Графа “Номер паспорта”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заповнюється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дорогоцінні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каміння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0F033E22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A734D43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4.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</w:p>
    <w:p w14:paraId="0467AB9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182E1500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AE8585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акті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вказується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однорідна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(вид)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 (у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номерами),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одиниця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сума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підстава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E931744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6BF074F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3. Акт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призначеною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розпорядженням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(наказом)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ним особою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затверджується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ним особою.</w:t>
      </w:r>
    </w:p>
    <w:p w14:paraId="02C47C9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6ECFB6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Перший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перенесення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облікових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регістрів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робиться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відмітка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залишається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особи.</w:t>
      </w:r>
    </w:p>
    <w:p w14:paraId="0C76A2D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E52414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5. Накладна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)</w:t>
      </w:r>
    </w:p>
    <w:p w14:paraId="749F814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1. Накладна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руху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сектору, 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склад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готової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напівфабрикатів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допоміжних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переміщення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виробничим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підрозділам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структурним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підрозділам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розташовані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підрозділ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 Накладна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застосовуватися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стороннім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організаціям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неналежної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прийнятих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262F995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B1ABE4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Передача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експлуатацію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малоцінних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швидкозношуваних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окремою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накладною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).</w:t>
      </w:r>
    </w:p>
    <w:p w14:paraId="1C02868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27F0CA7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вноситься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накладної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однорідної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(виду)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номенклатурного номера (у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номерами),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одиниці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5B94A2C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703695A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3. Накладна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підписується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особою, яка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особою, яка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головним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бухгалтером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спеціалістом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покладено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). Перший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накладної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два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по одному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кожного,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залишаються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918C35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60AFB7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6. Меню-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</w:p>
    <w:p w14:paraId="2E5E88E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1. Меню-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складу.</w:t>
      </w:r>
    </w:p>
    <w:p w14:paraId="7BB7035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70849B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2. У меню-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одержувачів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закладці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сніданок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обід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полуденок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вечерю,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сума.</w:t>
      </w:r>
    </w:p>
    <w:p w14:paraId="5400F05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310DA93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3. Меню-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щодня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розкладки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одержують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89E103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62E2085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Меню-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затверджується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ним особою.</w:t>
      </w:r>
    </w:p>
    <w:p w14:paraId="1467E314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707F4370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>4. Меню-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разом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розписками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документообороту, але не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рідше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тричі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5D4B235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269779A1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меню-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записуються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витрачання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1C21D1BC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877CE4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картка</w:t>
      </w:r>
      <w:proofErr w:type="spellEnd"/>
    </w:p>
    <w:p w14:paraId="0731170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систематично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витрачаються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поточного контролю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додержанням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виробничі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потреби та є документом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складу.</w:t>
      </w:r>
    </w:p>
    <w:p w14:paraId="014CC827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79A72F8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однорідна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(вид)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 (у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номерами),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одиниця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дата,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відпущених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залишок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дата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повернутих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1DD6F9B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B37360D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потреби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зазначатись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тари, яку повернуто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отримувачем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021769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ED0B32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виписуються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особами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декілька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номерів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: перший –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отримувача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(цеху,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дільниці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20991">
        <w:rPr>
          <w:rFonts w:ascii="Times New Roman" w:hAnsi="Times New Roman" w:cs="Times New Roman"/>
          <w:sz w:val="24"/>
          <w:szCs w:val="24"/>
        </w:rPr>
        <w:t>для складу</w:t>
      </w:r>
      <w:proofErr w:type="gram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3776206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9C620E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складом при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пред’явленні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отримувачем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відпущених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дата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залишок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проставляється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особа ставить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отримувача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а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складу ставить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отримувач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50EA1A8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009C07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використані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). При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5129208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1D25EB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суворим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встановлений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6E898E97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2E302274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Понадлімітований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зміна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заміна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ним особи.</w:t>
      </w:r>
    </w:p>
    <w:p w14:paraId="07A68FB0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1BE31AB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Понадлімітований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випискою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накладної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Аналогічно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оформлюється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заміна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робиться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примітка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“Див.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№ __”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зменшується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залишок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зміні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встановлений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перекреслюється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зверху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надписується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підтверджуються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підписом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особи, яка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встановила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внесла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284DF21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6E70F07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затверджується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ним особою.</w:t>
      </w:r>
    </w:p>
    <w:p w14:paraId="7DC6129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2C52E50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(при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лімітованому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відпуску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лімітно-забірні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прибутково-видатковими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документами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подаються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518E70B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60877C37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(книга)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складського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</w:p>
    <w:p w14:paraId="48B5325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складського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готових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винятком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дорогоцінних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металів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протезування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медикаментів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перев’язувальних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).</w:t>
      </w:r>
    </w:p>
    <w:p w14:paraId="6A59A7D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C89F58C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однорідною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групою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(видом)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номером (у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номерами)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одиниці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марки,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ґатунку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239DC60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76C340B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3. Записи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картці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ведуть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особи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прибутково-видаткових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0991">
        <w:rPr>
          <w:rFonts w:ascii="Times New Roman" w:hAnsi="Times New Roman" w:cs="Times New Roman"/>
          <w:sz w:val="24"/>
          <w:szCs w:val="24"/>
        </w:rPr>
        <w:t>у день</w:t>
      </w:r>
      <w:proofErr w:type="gramEnd"/>
      <w:r w:rsidRPr="0002099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господарська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операція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запису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виводиться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залишок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3B970A45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2C71C5B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4.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руху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книгу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складського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23BAF6B7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697A04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книги та порядок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ж, як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картки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складського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11EC7673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788C52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9. Журнал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битого посуду</w:t>
      </w:r>
    </w:p>
    <w:p w14:paraId="15009641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Журнал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битого посуду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розбитого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посуду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своєму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їдальні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харчоблоки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лабораторії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Записи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журналі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посадовими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особами.</w:t>
      </w:r>
    </w:p>
    <w:p w14:paraId="529105B7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20952FF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майна,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призначена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розпорядженням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(наказом)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ним особою,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слідкує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правильним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журналу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щокварталу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щомісяця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акт про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розбитого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посуду,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затверджується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державного сектору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уповноваженою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ним особою.</w:t>
      </w:r>
    </w:p>
    <w:p w14:paraId="165E2BE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35C77C49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3.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журналі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битого посуду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особа,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битого посуду, дата,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однорідна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(вид),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lastRenderedPageBreak/>
        <w:t>номенклатурний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 (у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номерами),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битого посуду.</w:t>
      </w:r>
    </w:p>
    <w:p w14:paraId="40F7D2E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7E631F0A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</w:p>
    <w:p w14:paraId="3BAAC023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призначена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кожною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Записи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первинних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кількісному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вартісному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вимірах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2099E226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A8580B4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особа,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постачальників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поставку та сума поставки,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 (у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номерами),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одиниця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кількісному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вартісному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вимірах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тари.</w:t>
      </w:r>
    </w:p>
    <w:p w14:paraId="7EA75C5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758F8053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витрачання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</w:p>
    <w:p w14:paraId="1D3AEBDD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витрачання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витрачання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8772C90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0EF581C2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витрачання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кожною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особою.</w:t>
      </w:r>
    </w:p>
    <w:p w14:paraId="7B7FA340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6AA6BBC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3. Записи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меню-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197F4A2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34D0AEB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ній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одержувачів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 (у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номенклатурними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номерами),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одиниця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витрачених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кількісному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вартісному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вимірах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7DA8B528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4C3AACED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r w:rsidRPr="0002099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ярлик</w:t>
      </w:r>
      <w:proofErr w:type="spellEnd"/>
    </w:p>
    <w:p w14:paraId="0208E16F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ярлик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застосовуватися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кожного номенклатурного номера,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місцях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. Бланк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ярлика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заповнюється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відповідальною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особою на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кожний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номенклатурний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номер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прикріплюється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020991">
        <w:rPr>
          <w:rFonts w:ascii="Times New Roman" w:hAnsi="Times New Roman" w:cs="Times New Roman"/>
          <w:sz w:val="24"/>
          <w:szCs w:val="24"/>
        </w:rPr>
        <w:t>.</w:t>
      </w:r>
    </w:p>
    <w:p w14:paraId="29BD10EE" w14:textId="77777777" w:rsidR="00020991" w:rsidRPr="00020991" w:rsidRDefault="00020991" w:rsidP="00020991">
      <w:pPr>
        <w:rPr>
          <w:rFonts w:ascii="Times New Roman" w:hAnsi="Times New Roman" w:cs="Times New Roman"/>
          <w:sz w:val="24"/>
          <w:szCs w:val="24"/>
        </w:rPr>
      </w:pPr>
    </w:p>
    <w:p w14:paraId="553F3761" w14:textId="77777777" w:rsidR="00020991" w:rsidRPr="00020991" w:rsidRDefault="00020991" w:rsidP="0002099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Директор Департаменту</w:t>
      </w:r>
    </w:p>
    <w:p w14:paraId="753C6890" w14:textId="77777777" w:rsidR="00020991" w:rsidRPr="00020991" w:rsidRDefault="00020991" w:rsidP="0002099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методології</w:t>
      </w:r>
      <w:proofErr w:type="spellEnd"/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бухгалтерського</w:t>
      </w:r>
      <w:proofErr w:type="spellEnd"/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обліку</w:t>
      </w:r>
      <w:proofErr w:type="spellEnd"/>
    </w:p>
    <w:p w14:paraId="298464D5" w14:textId="77777777" w:rsidR="00020991" w:rsidRPr="00020991" w:rsidRDefault="00020991" w:rsidP="0002099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 нормативного </w:t>
      </w:r>
      <w:proofErr w:type="spellStart"/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забезпечення</w:t>
      </w:r>
      <w:proofErr w:type="spellEnd"/>
    </w:p>
    <w:p w14:paraId="571D176B" w14:textId="77777777" w:rsidR="00020991" w:rsidRPr="00020991" w:rsidRDefault="00020991" w:rsidP="0002099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аудиторської</w:t>
      </w:r>
      <w:proofErr w:type="spellEnd"/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діяльності</w:t>
      </w:r>
      <w:proofErr w:type="spellEnd"/>
    </w:p>
    <w:p w14:paraId="029119BD" w14:textId="12184E1F" w:rsidR="002C2739" w:rsidRPr="00020991" w:rsidRDefault="00020991" w:rsidP="0002099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0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Людмила ГАПОНЕНКО</w:t>
      </w:r>
    </w:p>
    <w:sectPr w:rsidR="002C2739" w:rsidRPr="0002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CB0"/>
    <w:rsid w:val="00020991"/>
    <w:rsid w:val="002C2739"/>
    <w:rsid w:val="00356DF5"/>
    <w:rsid w:val="007C1A97"/>
    <w:rsid w:val="00955CB0"/>
    <w:rsid w:val="00E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4979"/>
  <w15:chartTrackingRefBased/>
  <w15:docId w15:val="{B88BBA56-2F1C-4759-93D0-BE3823FC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2907</Words>
  <Characters>16570</Characters>
  <Application>Microsoft Office Word</Application>
  <DocSecurity>0</DocSecurity>
  <Lines>138</Lines>
  <Paragraphs>38</Paragraphs>
  <ScaleCrop>false</ScaleCrop>
  <Company/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2023-01-10T13:26:00Z</dcterms:created>
  <dcterms:modified xsi:type="dcterms:W3CDTF">2023-01-10T13:30:00Z</dcterms:modified>
</cp:coreProperties>
</file>