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D74A" w14:textId="77777777" w:rsidR="004149E2" w:rsidRPr="004149E2" w:rsidRDefault="004149E2" w:rsidP="004149E2">
      <w:pPr>
        <w:rPr>
          <w:lang w:val="ru-UA"/>
        </w:rPr>
      </w:pPr>
      <w:proofErr w:type="spellStart"/>
      <w:r w:rsidRPr="004149E2">
        <w:rPr>
          <w:b/>
          <w:bCs/>
          <w:lang w:val="ru-UA"/>
        </w:rPr>
        <w:t>Що</w:t>
      </w:r>
      <w:proofErr w:type="spellEnd"/>
      <w:r w:rsidRPr="004149E2">
        <w:rPr>
          <w:b/>
          <w:bCs/>
          <w:lang w:val="ru-UA"/>
        </w:rPr>
        <w:t xml:space="preserve"> </w:t>
      </w:r>
      <w:proofErr w:type="spellStart"/>
      <w:r w:rsidRPr="004149E2">
        <w:rPr>
          <w:b/>
          <w:bCs/>
          <w:lang w:val="ru-UA"/>
        </w:rPr>
        <w:t>змінюється</w:t>
      </w:r>
      <w:proofErr w:type="spellEnd"/>
      <w:r w:rsidRPr="004149E2">
        <w:rPr>
          <w:b/>
          <w:bCs/>
          <w:lang w:val="ru-UA"/>
        </w:rPr>
        <w:t xml:space="preserve"> для </w:t>
      </w:r>
      <w:proofErr w:type="spellStart"/>
      <w:r w:rsidRPr="004149E2">
        <w:rPr>
          <w:b/>
          <w:bCs/>
          <w:lang w:val="ru-UA"/>
        </w:rPr>
        <w:t>страхувальників</w:t>
      </w:r>
      <w:proofErr w:type="spellEnd"/>
      <w:r w:rsidRPr="004149E2">
        <w:rPr>
          <w:b/>
          <w:bCs/>
          <w:lang w:val="ru-RU"/>
        </w:rPr>
        <w:t> </w:t>
      </w:r>
    </w:p>
    <w:p w14:paraId="4FF11563" w14:textId="77777777" w:rsidR="004149E2" w:rsidRPr="004149E2" w:rsidRDefault="004149E2" w:rsidP="004149E2">
      <w:pPr>
        <w:rPr>
          <w:lang w:val="ru-UA"/>
        </w:rPr>
      </w:pPr>
      <w:r w:rsidRPr="004149E2">
        <w:rPr>
          <w:lang w:val="ru-UA"/>
        </w:rPr>
        <w:t> </w:t>
      </w:r>
    </w:p>
    <w:tbl>
      <w:tblPr>
        <w:tblW w:w="85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4320"/>
      </w:tblGrid>
      <w:tr w:rsidR="004149E2" w:rsidRPr="004149E2" w14:paraId="35FA6885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6ECE5931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b/>
                <w:bCs/>
                <w:lang w:val="ru-UA"/>
              </w:rPr>
              <w:t xml:space="preserve">До 1 </w:t>
            </w:r>
            <w:proofErr w:type="spellStart"/>
            <w:r w:rsidRPr="004149E2">
              <w:rPr>
                <w:b/>
                <w:bCs/>
                <w:lang w:val="ru-UA"/>
              </w:rPr>
              <w:t>січня</w:t>
            </w:r>
            <w:proofErr w:type="spellEnd"/>
            <w:r w:rsidRPr="004149E2">
              <w:rPr>
                <w:b/>
                <w:bCs/>
                <w:lang w:val="ru-UA"/>
              </w:rPr>
              <w:t> 2023 року</w:t>
            </w:r>
          </w:p>
        </w:tc>
        <w:tc>
          <w:tcPr>
            <w:tcW w:w="4320" w:type="dxa"/>
            <w:shd w:val="clear" w:color="auto" w:fill="FFFFFF"/>
            <w:hideMark/>
          </w:tcPr>
          <w:p w14:paraId="7D40B205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b/>
                <w:bCs/>
                <w:lang w:val="ru-UA"/>
              </w:rPr>
              <w:t xml:space="preserve">З 1 </w:t>
            </w:r>
            <w:proofErr w:type="spellStart"/>
            <w:r w:rsidRPr="004149E2">
              <w:rPr>
                <w:b/>
                <w:bCs/>
                <w:lang w:val="ru-UA"/>
              </w:rPr>
              <w:t>січня</w:t>
            </w:r>
            <w:proofErr w:type="spellEnd"/>
            <w:r w:rsidRPr="004149E2">
              <w:rPr>
                <w:b/>
                <w:bCs/>
                <w:lang w:val="ru-UA"/>
              </w:rPr>
              <w:t> 2023 року</w:t>
            </w:r>
          </w:p>
        </w:tc>
      </w:tr>
      <w:tr w:rsidR="004149E2" w:rsidRPr="004149E2" w14:paraId="2CF515DC" w14:textId="77777777" w:rsidTr="004149E2">
        <w:trPr>
          <w:tblCellSpacing w:w="0" w:type="dxa"/>
        </w:trPr>
        <w:tc>
          <w:tcPr>
            <w:tcW w:w="8588" w:type="dxa"/>
            <w:gridSpan w:val="2"/>
            <w:shd w:val="clear" w:color="auto" w:fill="FFFFFF"/>
            <w:hideMark/>
          </w:tcPr>
          <w:p w14:paraId="62889626" w14:textId="77777777" w:rsidR="004149E2" w:rsidRPr="004149E2" w:rsidRDefault="004149E2" w:rsidP="004149E2">
            <w:pPr>
              <w:rPr>
                <w:b/>
                <w:bCs/>
                <w:lang w:val="ru-UA"/>
              </w:rPr>
            </w:pP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Хто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приймає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рішення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про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виплату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лікарняних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>?</w:t>
            </w:r>
          </w:p>
        </w:tc>
      </w:tr>
      <w:tr w:rsidR="004149E2" w:rsidRPr="004149E2" w14:paraId="6F1564DF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51545B88" w14:textId="77777777" w:rsidR="004149E2" w:rsidRPr="004149E2" w:rsidRDefault="004149E2" w:rsidP="004149E2">
            <w:pPr>
              <w:rPr>
                <w:lang w:val="ru-UA"/>
              </w:rPr>
            </w:pPr>
            <w:proofErr w:type="spellStart"/>
            <w:r w:rsidRPr="004149E2">
              <w:rPr>
                <w:lang w:val="ru-UA"/>
              </w:rPr>
              <w:t>Комісія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соцстрахування</w:t>
            </w:r>
            <w:proofErr w:type="spellEnd"/>
            <w:r w:rsidRPr="004149E2">
              <w:rPr>
                <w:lang w:val="ru-UA"/>
              </w:rPr>
              <w:t xml:space="preserve"> на </w:t>
            </w:r>
            <w:proofErr w:type="spellStart"/>
            <w:r w:rsidRPr="004149E2">
              <w:rPr>
                <w:lang w:val="ru-UA"/>
              </w:rPr>
              <w:t>підприємстві</w:t>
            </w:r>
            <w:proofErr w:type="spellEnd"/>
          </w:p>
        </w:tc>
        <w:tc>
          <w:tcPr>
            <w:tcW w:w="4320" w:type="dxa"/>
            <w:shd w:val="clear" w:color="auto" w:fill="FFFFFF"/>
            <w:hideMark/>
          </w:tcPr>
          <w:p w14:paraId="2C485C9B" w14:textId="77777777" w:rsidR="004149E2" w:rsidRPr="004149E2" w:rsidRDefault="004149E2" w:rsidP="004149E2">
            <w:pPr>
              <w:rPr>
                <w:lang w:val="ru-UA"/>
              </w:rPr>
            </w:pPr>
            <w:proofErr w:type="spellStart"/>
            <w:r w:rsidRPr="004149E2">
              <w:rPr>
                <w:lang w:val="ru-UA"/>
              </w:rPr>
              <w:t>Роботодавець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або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уповноважені</w:t>
            </w:r>
            <w:proofErr w:type="spellEnd"/>
            <w:r w:rsidRPr="004149E2">
              <w:rPr>
                <w:lang w:val="ru-UA"/>
              </w:rPr>
              <w:t> ним особи</w:t>
            </w:r>
          </w:p>
        </w:tc>
      </w:tr>
      <w:tr w:rsidR="004149E2" w:rsidRPr="004149E2" w14:paraId="7B8DA8A8" w14:textId="77777777" w:rsidTr="004149E2">
        <w:trPr>
          <w:tblCellSpacing w:w="0" w:type="dxa"/>
        </w:trPr>
        <w:tc>
          <w:tcPr>
            <w:tcW w:w="8588" w:type="dxa"/>
            <w:gridSpan w:val="2"/>
            <w:shd w:val="clear" w:color="auto" w:fill="FFFFFF"/>
            <w:hideMark/>
          </w:tcPr>
          <w:p w14:paraId="22CBB28E" w14:textId="77777777" w:rsidR="004149E2" w:rsidRPr="004149E2" w:rsidRDefault="004149E2" w:rsidP="004149E2">
            <w:pPr>
              <w:rPr>
                <w:b/>
                <w:bCs/>
                <w:lang w:val="ru-UA"/>
              </w:rPr>
            </w:pP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Термін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розгляду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лікарняних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та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прийняття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рішення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про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виплату</w:t>
            </w:r>
            <w:proofErr w:type="spellEnd"/>
          </w:p>
        </w:tc>
      </w:tr>
      <w:tr w:rsidR="004149E2" w:rsidRPr="004149E2" w14:paraId="6E3B99D6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048C2248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10 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– з дня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 xml:space="preserve"> по </w:t>
            </w:r>
            <w:proofErr w:type="spellStart"/>
            <w:r w:rsidRPr="004149E2">
              <w:rPr>
                <w:lang w:val="ru-UA"/>
              </w:rPr>
              <w:t>тимчасовій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непрацездатності</w:t>
            </w:r>
            <w:proofErr w:type="spellEnd"/>
            <w:r w:rsidRPr="004149E2">
              <w:rPr>
                <w:lang w:val="ru-UA"/>
              </w:rPr>
              <w:t xml:space="preserve"> до </w:t>
            </w:r>
            <w:proofErr w:type="spellStart"/>
            <w:r w:rsidRPr="004149E2">
              <w:rPr>
                <w:lang w:val="ru-UA"/>
              </w:rPr>
              <w:t>роботодавця</w:t>
            </w:r>
            <w:proofErr w:type="spellEnd"/>
            <w:r w:rsidRPr="004149E2">
              <w:rPr>
                <w:lang w:val="ru-UA"/>
              </w:rPr>
              <w:t xml:space="preserve"> (днем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вважається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восьмий</w:t>
            </w:r>
            <w:proofErr w:type="spellEnd"/>
            <w:r w:rsidRPr="004149E2">
              <w:rPr>
                <w:lang w:val="ru-UA"/>
              </w:rPr>
              <w:t xml:space="preserve"> день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закриття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>);</w:t>
            </w:r>
          </w:p>
          <w:p w14:paraId="0F0BD157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b/>
                <w:bCs/>
                <w:u w:val="single"/>
                <w:lang w:val="ru-UA"/>
              </w:rPr>
              <w:t xml:space="preserve">10 </w:t>
            </w:r>
            <w:proofErr w:type="spellStart"/>
            <w:r w:rsidRPr="004149E2">
              <w:rPr>
                <w:b/>
                <w:bCs/>
                <w:u w:val="single"/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 – з дня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до </w:t>
            </w:r>
            <w:proofErr w:type="spellStart"/>
            <w:r w:rsidRPr="004149E2">
              <w:rPr>
                <w:lang w:val="ru-UA"/>
              </w:rPr>
              <w:t>роботодавця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 xml:space="preserve"> по </w:t>
            </w:r>
            <w:proofErr w:type="spellStart"/>
            <w:r w:rsidRPr="004149E2">
              <w:rPr>
                <w:lang w:val="ru-UA"/>
              </w:rPr>
              <w:t>вагітності</w:t>
            </w:r>
            <w:proofErr w:type="spellEnd"/>
            <w:r w:rsidRPr="004149E2">
              <w:rPr>
                <w:lang w:val="ru-UA"/>
              </w:rPr>
              <w:t xml:space="preserve"> та пологах (днем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вважається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восьмий</w:t>
            </w:r>
            <w:proofErr w:type="spellEnd"/>
            <w:r w:rsidRPr="004149E2">
              <w:rPr>
                <w:lang w:val="ru-UA"/>
              </w:rPr>
              <w:t xml:space="preserve"> день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відкриття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>) ;  </w:t>
            </w:r>
          </w:p>
          <w:p w14:paraId="536ABE63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5 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–  </w:t>
            </w:r>
            <w:proofErr w:type="spellStart"/>
            <w:r w:rsidRPr="004149E2">
              <w:rPr>
                <w:lang w:val="ru-UA"/>
              </w:rPr>
              <w:t>повідомлення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працівника</w:t>
            </w:r>
            <w:proofErr w:type="spellEnd"/>
            <w:r w:rsidRPr="004149E2">
              <w:rPr>
                <w:lang w:val="ru-UA"/>
              </w:rPr>
              <w:t xml:space="preserve"> про </w:t>
            </w:r>
            <w:proofErr w:type="spellStart"/>
            <w:r w:rsidRPr="004149E2">
              <w:rPr>
                <w:lang w:val="ru-UA"/>
              </w:rPr>
              <w:t>відмову</w:t>
            </w:r>
            <w:proofErr w:type="spellEnd"/>
            <w:r w:rsidRPr="004149E2">
              <w:rPr>
                <w:lang w:val="ru-UA"/>
              </w:rPr>
              <w:t xml:space="preserve"> в </w:t>
            </w:r>
            <w:proofErr w:type="spellStart"/>
            <w:r w:rsidRPr="004149E2">
              <w:rPr>
                <w:lang w:val="ru-UA"/>
              </w:rPr>
              <w:t>оплаті</w:t>
            </w:r>
            <w:proofErr w:type="spellEnd"/>
            <w:r w:rsidRPr="004149E2">
              <w:rPr>
                <w:lang w:val="ru-UA"/>
              </w:rPr>
              <w:t>.</w:t>
            </w:r>
          </w:p>
        </w:tc>
        <w:tc>
          <w:tcPr>
            <w:tcW w:w="4320" w:type="dxa"/>
            <w:shd w:val="clear" w:color="auto" w:fill="FFFFFF"/>
            <w:hideMark/>
          </w:tcPr>
          <w:p w14:paraId="4116B641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10 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– з дня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 xml:space="preserve"> по </w:t>
            </w:r>
            <w:proofErr w:type="spellStart"/>
            <w:r w:rsidRPr="004149E2">
              <w:rPr>
                <w:lang w:val="ru-UA"/>
              </w:rPr>
              <w:t>тимчасовій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непрацездатності</w:t>
            </w:r>
            <w:proofErr w:type="spellEnd"/>
            <w:r w:rsidRPr="004149E2">
              <w:rPr>
                <w:lang w:val="ru-UA"/>
              </w:rPr>
              <w:t xml:space="preserve"> до </w:t>
            </w:r>
            <w:proofErr w:type="spellStart"/>
            <w:r w:rsidRPr="004149E2">
              <w:rPr>
                <w:lang w:val="ru-UA"/>
              </w:rPr>
              <w:t>роботодавця</w:t>
            </w:r>
            <w:proofErr w:type="spellEnd"/>
            <w:r w:rsidRPr="004149E2">
              <w:rPr>
                <w:lang w:val="ru-UA"/>
              </w:rPr>
              <w:t xml:space="preserve"> (днем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вважається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восьмий</w:t>
            </w:r>
            <w:proofErr w:type="spellEnd"/>
            <w:r w:rsidRPr="004149E2">
              <w:rPr>
                <w:lang w:val="ru-UA"/>
              </w:rPr>
              <w:t xml:space="preserve"> день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закриття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>);</w:t>
            </w:r>
          </w:p>
          <w:p w14:paraId="1F5AB0BC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b/>
                <w:bCs/>
                <w:u w:val="single"/>
                <w:lang w:val="ru-UA"/>
              </w:rPr>
              <w:t xml:space="preserve">3 </w:t>
            </w:r>
            <w:proofErr w:type="spellStart"/>
            <w:r w:rsidRPr="004149E2">
              <w:rPr>
                <w:b/>
                <w:bCs/>
                <w:u w:val="single"/>
                <w:lang w:val="ru-UA"/>
              </w:rPr>
              <w:t>дні</w:t>
            </w:r>
            <w:proofErr w:type="spellEnd"/>
            <w:r w:rsidRPr="004149E2">
              <w:rPr>
                <w:lang w:val="ru-UA"/>
              </w:rPr>
              <w:t xml:space="preserve"> – з дня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до </w:t>
            </w:r>
            <w:proofErr w:type="spellStart"/>
            <w:r w:rsidRPr="004149E2">
              <w:rPr>
                <w:lang w:val="ru-UA"/>
              </w:rPr>
              <w:t>роботодавця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 xml:space="preserve"> по </w:t>
            </w:r>
            <w:proofErr w:type="spellStart"/>
            <w:r w:rsidRPr="004149E2">
              <w:rPr>
                <w:lang w:val="ru-UA"/>
              </w:rPr>
              <w:t>вагітності</w:t>
            </w:r>
            <w:proofErr w:type="spellEnd"/>
            <w:r w:rsidRPr="004149E2">
              <w:rPr>
                <w:lang w:val="ru-UA"/>
              </w:rPr>
              <w:t xml:space="preserve"> та пологах (днем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вважається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восьмий</w:t>
            </w:r>
            <w:proofErr w:type="spellEnd"/>
            <w:r w:rsidRPr="004149E2">
              <w:rPr>
                <w:lang w:val="ru-UA"/>
              </w:rPr>
              <w:t xml:space="preserve"> день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відкриття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лікарняного</w:t>
            </w:r>
            <w:proofErr w:type="spellEnd"/>
            <w:r w:rsidRPr="004149E2">
              <w:rPr>
                <w:lang w:val="ru-UA"/>
              </w:rPr>
              <w:t>) ;  </w:t>
            </w:r>
          </w:p>
          <w:p w14:paraId="753ADCF5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5 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–  </w:t>
            </w:r>
            <w:proofErr w:type="spellStart"/>
            <w:r w:rsidRPr="004149E2">
              <w:rPr>
                <w:lang w:val="ru-UA"/>
              </w:rPr>
              <w:t>повідомлення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працівника</w:t>
            </w:r>
            <w:proofErr w:type="spellEnd"/>
            <w:r w:rsidRPr="004149E2">
              <w:rPr>
                <w:lang w:val="ru-UA"/>
              </w:rPr>
              <w:t xml:space="preserve"> про </w:t>
            </w:r>
            <w:proofErr w:type="spellStart"/>
            <w:r w:rsidRPr="004149E2">
              <w:rPr>
                <w:lang w:val="ru-UA"/>
              </w:rPr>
              <w:t>відмову</w:t>
            </w:r>
            <w:proofErr w:type="spellEnd"/>
            <w:r w:rsidRPr="004149E2">
              <w:rPr>
                <w:lang w:val="ru-UA"/>
              </w:rPr>
              <w:t xml:space="preserve"> в </w:t>
            </w:r>
            <w:proofErr w:type="spellStart"/>
            <w:r w:rsidRPr="004149E2">
              <w:rPr>
                <w:lang w:val="ru-UA"/>
              </w:rPr>
              <w:t>оплаті</w:t>
            </w:r>
            <w:proofErr w:type="spellEnd"/>
            <w:r w:rsidRPr="004149E2">
              <w:rPr>
                <w:lang w:val="ru-UA"/>
              </w:rPr>
              <w:t>.</w:t>
            </w:r>
          </w:p>
        </w:tc>
      </w:tr>
      <w:tr w:rsidR="004149E2" w:rsidRPr="004149E2" w14:paraId="5F54DDF8" w14:textId="77777777" w:rsidTr="004149E2">
        <w:trPr>
          <w:tblCellSpacing w:w="0" w:type="dxa"/>
        </w:trPr>
        <w:tc>
          <w:tcPr>
            <w:tcW w:w="8588" w:type="dxa"/>
            <w:gridSpan w:val="2"/>
            <w:shd w:val="clear" w:color="auto" w:fill="FFFFFF"/>
            <w:hideMark/>
          </w:tcPr>
          <w:p w14:paraId="7F89AA3D" w14:textId="77777777" w:rsidR="004149E2" w:rsidRPr="004149E2" w:rsidRDefault="004149E2" w:rsidP="004149E2">
            <w:pPr>
              <w:rPr>
                <w:b/>
                <w:bCs/>
                <w:lang w:val="ru-UA"/>
              </w:rPr>
            </w:pP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Спосіб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подання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заяв-розрахунків</w:t>
            </w:r>
            <w:proofErr w:type="spellEnd"/>
          </w:p>
        </w:tc>
      </w:tr>
      <w:tr w:rsidR="004149E2" w:rsidRPr="004149E2" w14:paraId="023B16F4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55D45E04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– онлайн за </w:t>
            </w:r>
            <w:proofErr w:type="spellStart"/>
            <w:r w:rsidRPr="004149E2">
              <w:rPr>
                <w:lang w:val="ru-UA"/>
              </w:rPr>
              <w:t>допомогою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клієнтського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спеціалізованого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програмного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забезпечення</w:t>
            </w:r>
            <w:proofErr w:type="spellEnd"/>
            <w:r w:rsidRPr="004149E2">
              <w:rPr>
                <w:lang w:val="ru-UA"/>
              </w:rPr>
              <w:t>;</w:t>
            </w:r>
          </w:p>
          <w:p w14:paraId="4F27A102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– на </w:t>
            </w:r>
            <w:proofErr w:type="spellStart"/>
            <w:r w:rsidRPr="004149E2">
              <w:rPr>
                <w:lang w:val="ru-UA"/>
              </w:rPr>
              <w:t>паперових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носіях</w:t>
            </w:r>
            <w:proofErr w:type="spellEnd"/>
            <w:r w:rsidRPr="004149E2">
              <w:rPr>
                <w:lang w:val="ru-UA"/>
              </w:rPr>
              <w:t xml:space="preserve"> до </w:t>
            </w:r>
            <w:proofErr w:type="spellStart"/>
            <w:r w:rsidRPr="004149E2">
              <w:rPr>
                <w:lang w:val="ru-UA"/>
              </w:rPr>
              <w:t>відділень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робочих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органів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виконавчої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дирекції</w:t>
            </w:r>
            <w:proofErr w:type="spellEnd"/>
            <w:r w:rsidRPr="004149E2">
              <w:rPr>
                <w:lang w:val="ru-UA"/>
              </w:rPr>
              <w:t xml:space="preserve"> ФССУ</w:t>
            </w:r>
          </w:p>
        </w:tc>
        <w:tc>
          <w:tcPr>
            <w:tcW w:w="4320" w:type="dxa"/>
            <w:shd w:val="clear" w:color="auto" w:fill="FFFFFF"/>
            <w:hideMark/>
          </w:tcPr>
          <w:p w14:paraId="3E58B699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– в </w:t>
            </w:r>
            <w:proofErr w:type="spellStart"/>
            <w:r w:rsidRPr="004149E2">
              <w:rPr>
                <w:lang w:val="ru-UA"/>
              </w:rPr>
              <w:t>електронному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вигляді</w:t>
            </w:r>
            <w:proofErr w:type="spellEnd"/>
            <w:r w:rsidRPr="004149E2">
              <w:rPr>
                <w:lang w:val="ru-UA"/>
              </w:rPr>
              <w:t xml:space="preserve"> через </w:t>
            </w:r>
            <w:proofErr w:type="spellStart"/>
            <w:r w:rsidRPr="004149E2">
              <w:rPr>
                <w:lang w:val="ru-UA"/>
              </w:rPr>
              <w:t>особистий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кабінет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страхувальника</w:t>
            </w:r>
            <w:proofErr w:type="spellEnd"/>
            <w:r w:rsidRPr="004149E2">
              <w:rPr>
                <w:lang w:val="ru-UA"/>
              </w:rPr>
              <w:t xml:space="preserve"> на </w:t>
            </w:r>
            <w:proofErr w:type="spellStart"/>
            <w:r w:rsidRPr="004149E2">
              <w:rPr>
                <w:lang w:val="ru-UA"/>
              </w:rPr>
              <w:t>вебпорталі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електронних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послуг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Пенсійного</w:t>
            </w:r>
            <w:proofErr w:type="spellEnd"/>
            <w:r w:rsidRPr="004149E2">
              <w:rPr>
                <w:lang w:val="ru-UA"/>
              </w:rPr>
              <w:t xml:space="preserve"> фонду </w:t>
            </w:r>
            <w:proofErr w:type="spellStart"/>
            <w:r w:rsidRPr="004149E2">
              <w:rPr>
                <w:lang w:val="ru-UA"/>
              </w:rPr>
              <w:t>України</w:t>
            </w:r>
            <w:proofErr w:type="spellEnd"/>
            <w:r w:rsidRPr="004149E2">
              <w:rPr>
                <w:lang w:val="ru-UA"/>
              </w:rPr>
              <w:t>;</w:t>
            </w:r>
          </w:p>
          <w:p w14:paraId="6C61E27F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– на </w:t>
            </w:r>
            <w:proofErr w:type="spellStart"/>
            <w:r w:rsidRPr="004149E2">
              <w:rPr>
                <w:lang w:val="ru-UA"/>
              </w:rPr>
              <w:t>паперових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носіях</w:t>
            </w:r>
            <w:proofErr w:type="spellEnd"/>
            <w:r w:rsidRPr="004149E2">
              <w:rPr>
                <w:lang w:val="ru-UA"/>
              </w:rPr>
              <w:t xml:space="preserve"> до будь-</w:t>
            </w:r>
            <w:proofErr w:type="spellStart"/>
            <w:r w:rsidRPr="004149E2">
              <w:rPr>
                <w:lang w:val="ru-UA"/>
              </w:rPr>
              <w:t>якого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сервісного</w:t>
            </w:r>
            <w:proofErr w:type="spellEnd"/>
            <w:r w:rsidRPr="004149E2">
              <w:rPr>
                <w:lang w:val="ru-UA"/>
              </w:rPr>
              <w:t xml:space="preserve"> центру </w:t>
            </w:r>
            <w:proofErr w:type="spellStart"/>
            <w:r w:rsidRPr="004149E2">
              <w:rPr>
                <w:lang w:val="ru-UA"/>
              </w:rPr>
              <w:t>Пенсійного</w:t>
            </w:r>
            <w:proofErr w:type="spellEnd"/>
            <w:r w:rsidRPr="004149E2">
              <w:rPr>
                <w:lang w:val="ru-UA"/>
              </w:rPr>
              <w:t xml:space="preserve"> фонду </w:t>
            </w:r>
            <w:proofErr w:type="spellStart"/>
            <w:r w:rsidRPr="004149E2">
              <w:rPr>
                <w:lang w:val="ru-UA"/>
              </w:rPr>
              <w:t>України</w:t>
            </w:r>
            <w:proofErr w:type="spellEnd"/>
          </w:p>
        </w:tc>
      </w:tr>
      <w:tr w:rsidR="004149E2" w:rsidRPr="004149E2" w14:paraId="16B9BEAD" w14:textId="77777777" w:rsidTr="004149E2">
        <w:trPr>
          <w:tblCellSpacing w:w="0" w:type="dxa"/>
        </w:trPr>
        <w:tc>
          <w:tcPr>
            <w:tcW w:w="8588" w:type="dxa"/>
            <w:gridSpan w:val="2"/>
            <w:shd w:val="clear" w:color="auto" w:fill="FFFFFF"/>
            <w:hideMark/>
          </w:tcPr>
          <w:p w14:paraId="2FEC4903" w14:textId="77777777" w:rsidR="004149E2" w:rsidRPr="004149E2" w:rsidRDefault="004149E2" w:rsidP="004149E2">
            <w:pPr>
              <w:rPr>
                <w:b/>
                <w:bCs/>
                <w:lang w:val="ru-UA"/>
              </w:rPr>
            </w:pP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Фінансування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страхувальників</w:t>
            </w:r>
            <w:proofErr w:type="spellEnd"/>
          </w:p>
        </w:tc>
      </w:tr>
      <w:tr w:rsidR="004149E2" w:rsidRPr="004149E2" w14:paraId="11CEBDA6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6ED4C15F" w14:textId="77777777" w:rsidR="004149E2" w:rsidRPr="004149E2" w:rsidRDefault="004149E2" w:rsidP="004149E2">
            <w:pPr>
              <w:rPr>
                <w:lang w:val="ru-UA"/>
              </w:rPr>
            </w:pPr>
            <w:r w:rsidRPr="004149E2">
              <w:rPr>
                <w:lang w:val="ru-UA"/>
              </w:rPr>
              <w:t xml:space="preserve">ФССУ </w:t>
            </w:r>
            <w:proofErr w:type="spellStart"/>
            <w:r w:rsidRPr="004149E2">
              <w:rPr>
                <w:lang w:val="ru-UA"/>
              </w:rPr>
              <w:t>протягом</w:t>
            </w:r>
            <w:proofErr w:type="spellEnd"/>
            <w:r w:rsidRPr="004149E2">
              <w:rPr>
                <w:lang w:val="ru-UA"/>
              </w:rPr>
              <w:t> </w:t>
            </w:r>
            <w:r w:rsidRPr="004149E2">
              <w:rPr>
                <w:b/>
                <w:bCs/>
                <w:u w:val="single"/>
                <w:lang w:val="ru-UA"/>
              </w:rPr>
              <w:t>10-ти</w:t>
            </w:r>
            <w:r w:rsidRPr="004149E2">
              <w:rPr>
                <w:lang w:val="ru-UA"/>
              </w:rPr>
              <w:t> 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заяви-</w:t>
            </w:r>
            <w:proofErr w:type="spellStart"/>
            <w:r w:rsidRPr="004149E2">
              <w:rPr>
                <w:lang w:val="ru-UA"/>
              </w:rPr>
              <w:t>розрахунку</w:t>
            </w:r>
            <w:proofErr w:type="spellEnd"/>
          </w:p>
        </w:tc>
        <w:tc>
          <w:tcPr>
            <w:tcW w:w="4320" w:type="dxa"/>
            <w:shd w:val="clear" w:color="auto" w:fill="FFFFFF"/>
            <w:hideMark/>
          </w:tcPr>
          <w:p w14:paraId="730B4122" w14:textId="77777777" w:rsidR="004149E2" w:rsidRPr="004149E2" w:rsidRDefault="004149E2" w:rsidP="004149E2">
            <w:pPr>
              <w:rPr>
                <w:lang w:val="ru-UA"/>
              </w:rPr>
            </w:pPr>
            <w:proofErr w:type="spellStart"/>
            <w:r w:rsidRPr="004149E2">
              <w:rPr>
                <w:lang w:val="ru-UA"/>
              </w:rPr>
              <w:t>Пенсійний</w:t>
            </w:r>
            <w:proofErr w:type="spellEnd"/>
            <w:r w:rsidRPr="004149E2">
              <w:rPr>
                <w:lang w:val="ru-UA"/>
              </w:rPr>
              <w:t xml:space="preserve"> фонд </w:t>
            </w:r>
            <w:proofErr w:type="spellStart"/>
            <w:r w:rsidRPr="004149E2">
              <w:rPr>
                <w:lang w:val="ru-UA"/>
              </w:rPr>
              <w:t>України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протягом</w:t>
            </w:r>
            <w:proofErr w:type="spellEnd"/>
            <w:r w:rsidRPr="004149E2">
              <w:rPr>
                <w:lang w:val="ru-UA"/>
              </w:rPr>
              <w:t> </w:t>
            </w:r>
            <w:r w:rsidRPr="004149E2">
              <w:rPr>
                <w:b/>
                <w:bCs/>
                <w:u w:val="single"/>
                <w:lang w:val="ru-UA"/>
              </w:rPr>
              <w:t>3-х </w:t>
            </w:r>
            <w:proofErr w:type="spellStart"/>
            <w:r w:rsidRPr="004149E2">
              <w:rPr>
                <w:lang w:val="ru-UA"/>
              </w:rPr>
              <w:t>днів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централізовано</w:t>
            </w:r>
            <w:proofErr w:type="spellEnd"/>
            <w:r w:rsidRPr="004149E2">
              <w:rPr>
                <w:lang w:val="ru-UA"/>
              </w:rPr>
              <w:t xml:space="preserve"> на </w:t>
            </w:r>
            <w:proofErr w:type="spellStart"/>
            <w:r w:rsidRPr="004149E2">
              <w:rPr>
                <w:lang w:val="ru-UA"/>
              </w:rPr>
              <w:t>окремі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поточні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рахунки</w:t>
            </w:r>
            <w:proofErr w:type="spellEnd"/>
            <w:r w:rsidRPr="004149E2">
              <w:rPr>
                <w:lang w:val="ru-UA"/>
              </w:rPr>
              <w:t xml:space="preserve">, </w:t>
            </w:r>
            <w:proofErr w:type="spellStart"/>
            <w:r w:rsidRPr="004149E2">
              <w:rPr>
                <w:lang w:val="ru-UA"/>
              </w:rPr>
              <w:t>відкриті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страхувальниками</w:t>
            </w:r>
            <w:proofErr w:type="spellEnd"/>
            <w:r w:rsidRPr="004149E2">
              <w:rPr>
                <w:lang w:val="ru-UA"/>
              </w:rPr>
              <w:t xml:space="preserve"> в </w:t>
            </w:r>
            <w:proofErr w:type="spellStart"/>
            <w:r w:rsidRPr="004149E2">
              <w:rPr>
                <w:lang w:val="ru-UA"/>
              </w:rPr>
              <w:t>установах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банків</w:t>
            </w:r>
            <w:proofErr w:type="spellEnd"/>
            <w:r w:rsidRPr="004149E2">
              <w:rPr>
                <w:lang w:val="ru-UA"/>
              </w:rPr>
              <w:t xml:space="preserve"> для </w:t>
            </w:r>
            <w:proofErr w:type="spellStart"/>
            <w:r w:rsidRPr="004149E2">
              <w:rPr>
                <w:lang w:val="ru-UA"/>
              </w:rPr>
              <w:t>зарахування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страхових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коштів</w:t>
            </w:r>
            <w:proofErr w:type="spellEnd"/>
            <w:r w:rsidRPr="004149E2">
              <w:rPr>
                <w:lang w:val="ru-UA"/>
              </w:rPr>
              <w:t xml:space="preserve">, </w:t>
            </w:r>
            <w:proofErr w:type="spellStart"/>
            <w:r w:rsidRPr="004149E2">
              <w:rPr>
                <w:lang w:val="ru-UA"/>
              </w:rPr>
              <w:t>після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надходження</w:t>
            </w:r>
            <w:proofErr w:type="spellEnd"/>
            <w:r w:rsidRPr="004149E2">
              <w:rPr>
                <w:lang w:val="ru-UA"/>
              </w:rPr>
              <w:t xml:space="preserve"> заяви-</w:t>
            </w:r>
            <w:proofErr w:type="spellStart"/>
            <w:r w:rsidRPr="004149E2">
              <w:rPr>
                <w:lang w:val="ru-UA"/>
              </w:rPr>
              <w:t>розрахунку</w:t>
            </w:r>
            <w:proofErr w:type="spellEnd"/>
          </w:p>
        </w:tc>
      </w:tr>
      <w:tr w:rsidR="004149E2" w:rsidRPr="004149E2" w14:paraId="2DD47B6E" w14:textId="77777777" w:rsidTr="004149E2">
        <w:trPr>
          <w:tblCellSpacing w:w="0" w:type="dxa"/>
        </w:trPr>
        <w:tc>
          <w:tcPr>
            <w:tcW w:w="8588" w:type="dxa"/>
            <w:gridSpan w:val="2"/>
            <w:shd w:val="clear" w:color="auto" w:fill="FFFFFF"/>
            <w:hideMark/>
          </w:tcPr>
          <w:p w14:paraId="434E4C5E" w14:textId="77777777" w:rsidR="004149E2" w:rsidRPr="004149E2" w:rsidRDefault="004149E2" w:rsidP="004149E2">
            <w:pPr>
              <w:rPr>
                <w:b/>
                <w:bCs/>
                <w:lang w:val="ru-UA"/>
              </w:rPr>
            </w:pP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Хто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проводить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перевірки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 xml:space="preserve"> </w:t>
            </w:r>
            <w:proofErr w:type="spellStart"/>
            <w:r w:rsidRPr="004149E2">
              <w:rPr>
                <w:b/>
                <w:bCs/>
                <w:i/>
                <w:iCs/>
                <w:lang w:val="ru-UA"/>
              </w:rPr>
              <w:t>страхувальників</w:t>
            </w:r>
            <w:proofErr w:type="spellEnd"/>
            <w:r w:rsidRPr="004149E2">
              <w:rPr>
                <w:b/>
                <w:bCs/>
                <w:i/>
                <w:iCs/>
                <w:lang w:val="ru-UA"/>
              </w:rPr>
              <w:t>? </w:t>
            </w:r>
          </w:p>
        </w:tc>
      </w:tr>
      <w:tr w:rsidR="004149E2" w:rsidRPr="004149E2" w14:paraId="2D5762BB" w14:textId="77777777" w:rsidTr="004149E2">
        <w:trPr>
          <w:tblCellSpacing w:w="0" w:type="dxa"/>
        </w:trPr>
        <w:tc>
          <w:tcPr>
            <w:tcW w:w="4268" w:type="dxa"/>
            <w:shd w:val="clear" w:color="auto" w:fill="FFFFFF"/>
            <w:hideMark/>
          </w:tcPr>
          <w:p w14:paraId="4B8FF72A" w14:textId="77777777" w:rsidR="004149E2" w:rsidRPr="004149E2" w:rsidRDefault="004149E2" w:rsidP="004149E2">
            <w:pPr>
              <w:rPr>
                <w:lang w:val="ru-UA"/>
              </w:rPr>
            </w:pPr>
            <w:proofErr w:type="spellStart"/>
            <w:r w:rsidRPr="004149E2">
              <w:rPr>
                <w:lang w:val="ru-UA"/>
              </w:rPr>
              <w:t>Робочі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органи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виконавчої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дирекції</w:t>
            </w:r>
            <w:proofErr w:type="spellEnd"/>
            <w:r w:rsidRPr="004149E2">
              <w:rPr>
                <w:lang w:val="ru-UA"/>
              </w:rPr>
              <w:t xml:space="preserve"> ФССУ</w:t>
            </w:r>
          </w:p>
        </w:tc>
        <w:tc>
          <w:tcPr>
            <w:tcW w:w="4320" w:type="dxa"/>
            <w:shd w:val="clear" w:color="auto" w:fill="FFFFFF"/>
            <w:hideMark/>
          </w:tcPr>
          <w:p w14:paraId="6D09D5AE" w14:textId="77777777" w:rsidR="004149E2" w:rsidRPr="004149E2" w:rsidRDefault="004149E2" w:rsidP="004149E2">
            <w:pPr>
              <w:rPr>
                <w:lang w:val="ru-UA"/>
              </w:rPr>
            </w:pPr>
            <w:proofErr w:type="spellStart"/>
            <w:r w:rsidRPr="004149E2">
              <w:rPr>
                <w:lang w:val="ru-UA"/>
              </w:rPr>
              <w:t>Територіальні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органи</w:t>
            </w:r>
            <w:proofErr w:type="spellEnd"/>
            <w:r w:rsidRPr="004149E2">
              <w:rPr>
                <w:lang w:val="ru-UA"/>
              </w:rPr>
              <w:t xml:space="preserve"> </w:t>
            </w:r>
            <w:proofErr w:type="spellStart"/>
            <w:r w:rsidRPr="004149E2">
              <w:rPr>
                <w:lang w:val="ru-UA"/>
              </w:rPr>
              <w:t>Пенсійного</w:t>
            </w:r>
            <w:proofErr w:type="spellEnd"/>
            <w:r w:rsidRPr="004149E2">
              <w:rPr>
                <w:lang w:val="ru-UA"/>
              </w:rPr>
              <w:t xml:space="preserve"> фонду </w:t>
            </w:r>
            <w:proofErr w:type="spellStart"/>
            <w:r w:rsidRPr="004149E2">
              <w:rPr>
                <w:lang w:val="ru-UA"/>
              </w:rPr>
              <w:t>України</w:t>
            </w:r>
            <w:proofErr w:type="spellEnd"/>
          </w:p>
        </w:tc>
      </w:tr>
    </w:tbl>
    <w:p w14:paraId="7B81F225" w14:textId="77777777" w:rsidR="002C2739" w:rsidRPr="004149E2" w:rsidRDefault="002C2739">
      <w:pPr>
        <w:rPr>
          <w:lang w:val="ru-UA"/>
        </w:rPr>
      </w:pPr>
    </w:p>
    <w:sectPr w:rsidR="002C2739" w:rsidRPr="0041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57"/>
    <w:rsid w:val="002C2739"/>
    <w:rsid w:val="00322957"/>
    <w:rsid w:val="00356DF5"/>
    <w:rsid w:val="004149E2"/>
    <w:rsid w:val="007C1A97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1539C-75E1-4720-9C89-264A1479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2022-12-30T06:38:00Z</dcterms:created>
  <dcterms:modified xsi:type="dcterms:W3CDTF">2022-12-30T06:42:00Z</dcterms:modified>
</cp:coreProperties>
</file>