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159" w:rsidRPr="00C93159" w:rsidRDefault="00C93159" w:rsidP="00C93159">
      <w:pPr>
        <w:pStyle w:val="2"/>
        <w:jc w:val="center"/>
        <w:rPr>
          <w:lang w:val="uk-UA"/>
        </w:rPr>
      </w:pPr>
      <w:r w:rsidRPr="00C93159">
        <w:rPr>
          <w:lang w:val="uk-UA"/>
        </w:rPr>
        <w:t>ВИКОНАВЧА ДИРЕКЦІЯ ФОНДУ ГАРАНТУВАННЯ ВКЛАДІВ ФІЗИЧНИХ ОСІБ</w:t>
      </w:r>
    </w:p>
    <w:p w:rsidR="00C93159" w:rsidRPr="00C93159" w:rsidRDefault="00C93159" w:rsidP="00C93159">
      <w:pPr>
        <w:pStyle w:val="2"/>
        <w:jc w:val="center"/>
        <w:rPr>
          <w:lang w:val="uk-UA"/>
        </w:rPr>
      </w:pPr>
      <w:r w:rsidRPr="00C93159">
        <w:rPr>
          <w:lang w:val="uk-UA"/>
        </w:rPr>
        <w:t>РІШЕННЯ</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C93159" w:rsidRPr="00C93159" w:rsidTr="00C93159">
        <w:trPr>
          <w:tblCellSpacing w:w="22" w:type="dxa"/>
        </w:trPr>
        <w:tc>
          <w:tcPr>
            <w:tcW w:w="1750" w:type="pct"/>
            <w:hideMark/>
          </w:tcPr>
          <w:p w:rsidR="00C93159" w:rsidRPr="00C93159" w:rsidRDefault="00C93159">
            <w:pPr>
              <w:pStyle w:val="a3"/>
              <w:jc w:val="center"/>
            </w:pPr>
            <w:r w:rsidRPr="00C93159">
              <w:rPr>
                <w:b/>
                <w:bCs/>
              </w:rPr>
              <w:t>08.12.2016</w:t>
            </w:r>
          </w:p>
        </w:tc>
        <w:tc>
          <w:tcPr>
            <w:tcW w:w="1500" w:type="pct"/>
            <w:hideMark/>
          </w:tcPr>
          <w:p w:rsidR="00C93159" w:rsidRPr="00C93159" w:rsidRDefault="00C93159">
            <w:pPr>
              <w:pStyle w:val="a3"/>
              <w:jc w:val="center"/>
            </w:pPr>
            <w:r w:rsidRPr="00C93159">
              <w:rPr>
                <w:b/>
                <w:bCs/>
              </w:rPr>
              <w:t>м. Київ</w:t>
            </w:r>
          </w:p>
        </w:tc>
        <w:tc>
          <w:tcPr>
            <w:tcW w:w="1750" w:type="pct"/>
            <w:hideMark/>
          </w:tcPr>
          <w:p w:rsidR="00C93159" w:rsidRPr="00C93159" w:rsidRDefault="00C93159">
            <w:pPr>
              <w:pStyle w:val="a3"/>
              <w:jc w:val="center"/>
            </w:pPr>
            <w:r w:rsidRPr="00C93159">
              <w:rPr>
                <w:b/>
                <w:bCs/>
              </w:rPr>
              <w:t>N 2707</w:t>
            </w:r>
          </w:p>
        </w:tc>
      </w:tr>
    </w:tbl>
    <w:p w:rsidR="00C93159" w:rsidRPr="00C93159" w:rsidRDefault="00C93159" w:rsidP="00C93159">
      <w:pPr>
        <w:rPr>
          <w:lang w:val="uk-UA"/>
        </w:rPr>
      </w:pPr>
      <w:r w:rsidRPr="00C93159">
        <w:rPr>
          <w:lang w:val="uk-UA"/>
        </w:rPr>
        <w:br w:type="textWrapping" w:clear="all"/>
      </w:r>
    </w:p>
    <w:p w:rsidR="00C93159" w:rsidRPr="00C93159" w:rsidRDefault="00C93159" w:rsidP="00C93159">
      <w:pPr>
        <w:pStyle w:val="a3"/>
        <w:jc w:val="center"/>
        <w:rPr>
          <w:lang w:val="uk-UA"/>
        </w:rPr>
      </w:pPr>
      <w:r w:rsidRPr="00C93159">
        <w:rPr>
          <w:b/>
          <w:bCs/>
          <w:lang w:val="uk-UA"/>
        </w:rPr>
        <w:t>Зареєстровано в Міністерстві юстиції України</w:t>
      </w:r>
      <w:r w:rsidRPr="00C93159">
        <w:rPr>
          <w:lang w:val="uk-UA"/>
        </w:rPr>
        <w:br/>
      </w:r>
      <w:r w:rsidRPr="00C93159">
        <w:rPr>
          <w:b/>
          <w:bCs/>
          <w:lang w:val="uk-UA"/>
        </w:rPr>
        <w:t>18 січня 2017 р. за N 66/29934</w:t>
      </w:r>
    </w:p>
    <w:p w:rsidR="00C93159" w:rsidRPr="00C93159" w:rsidRDefault="00C93159" w:rsidP="00C93159">
      <w:pPr>
        <w:pStyle w:val="2"/>
        <w:jc w:val="center"/>
        <w:rPr>
          <w:lang w:val="uk-UA"/>
        </w:rPr>
      </w:pPr>
      <w:r w:rsidRPr="00C93159">
        <w:rPr>
          <w:lang w:val="uk-UA"/>
        </w:rPr>
        <w:t>Про затвердження Методики оцінки активів банку, віднесеного до категорії проблемних або неплатоспроможних</w:t>
      </w:r>
    </w:p>
    <w:p w:rsidR="00C93159" w:rsidRPr="00C93159" w:rsidRDefault="00C93159" w:rsidP="00C93159">
      <w:pPr>
        <w:pStyle w:val="a3"/>
        <w:jc w:val="both"/>
        <w:rPr>
          <w:lang w:val="uk-UA"/>
        </w:rPr>
      </w:pPr>
      <w:r w:rsidRPr="00C93159">
        <w:rPr>
          <w:lang w:val="uk-UA"/>
        </w:rPr>
        <w:t>З метою реалізації статті 32, частини четвертої статті 40 Закону України "Про систему гарантування вкладів фізичних осіб", а також розрахунку прогнозованих сум грошового відшкодування коштів Фонду банком виконавча дирекція Фонду гарантування вкладів фізичних осіб</w:t>
      </w:r>
    </w:p>
    <w:p w:rsidR="00C93159" w:rsidRPr="00C93159" w:rsidRDefault="00C93159" w:rsidP="00C93159">
      <w:pPr>
        <w:pStyle w:val="a3"/>
        <w:jc w:val="both"/>
        <w:rPr>
          <w:lang w:val="uk-UA"/>
        </w:rPr>
      </w:pPr>
      <w:r w:rsidRPr="00C93159">
        <w:rPr>
          <w:b/>
          <w:bCs/>
          <w:lang w:val="uk-UA"/>
        </w:rPr>
        <w:t>ВИРІШИЛА:</w:t>
      </w:r>
    </w:p>
    <w:p w:rsidR="00C93159" w:rsidRPr="00C93159" w:rsidRDefault="00C93159" w:rsidP="00C93159">
      <w:pPr>
        <w:pStyle w:val="a3"/>
        <w:jc w:val="both"/>
        <w:rPr>
          <w:lang w:val="uk-UA"/>
        </w:rPr>
      </w:pPr>
      <w:r w:rsidRPr="00C93159">
        <w:rPr>
          <w:lang w:val="uk-UA"/>
        </w:rPr>
        <w:t>1. Затвердити Методику оцінки активів банку, віднесеного до категорії проблемних або неплатоспроможних, що додається.</w:t>
      </w:r>
    </w:p>
    <w:p w:rsidR="00C93159" w:rsidRPr="00C93159" w:rsidRDefault="00C93159" w:rsidP="00C93159">
      <w:pPr>
        <w:pStyle w:val="a3"/>
        <w:jc w:val="both"/>
        <w:rPr>
          <w:lang w:val="uk-UA"/>
        </w:rPr>
      </w:pPr>
      <w:r w:rsidRPr="00C93159">
        <w:rPr>
          <w:lang w:val="uk-UA"/>
        </w:rPr>
        <w:t>2. Відділу стратегії та нормативно-методологічного забезпечення разом з юридичним департаментом забезпечити подання цього рішення до Міністерства юстиції України для державної реєстрації.</w:t>
      </w:r>
    </w:p>
    <w:p w:rsidR="00C93159" w:rsidRPr="00C93159" w:rsidRDefault="00C93159" w:rsidP="00C93159">
      <w:pPr>
        <w:pStyle w:val="a3"/>
        <w:jc w:val="both"/>
        <w:rPr>
          <w:lang w:val="uk-UA"/>
        </w:rPr>
      </w:pPr>
      <w:r w:rsidRPr="00C93159">
        <w:rPr>
          <w:lang w:val="uk-UA"/>
        </w:rPr>
        <w:t>3. Це рішення набирає чинності з дня, наступного за днем його офіційного опублікування.</w:t>
      </w:r>
    </w:p>
    <w:p w:rsidR="00C93159" w:rsidRPr="00C93159" w:rsidRDefault="00C93159" w:rsidP="00C93159">
      <w:pPr>
        <w:pStyle w:val="a3"/>
        <w:jc w:val="both"/>
        <w:rPr>
          <w:lang w:val="uk-UA"/>
        </w:rPr>
      </w:pPr>
      <w:r w:rsidRPr="00C93159">
        <w:rPr>
          <w:lang w:val="uk-UA"/>
        </w:rPr>
        <w:t>4. Відділу зв'язків з громадськістю та фінансової просвіти забезпечити розміщення цього рішення на офіційній сторінці Фонду гарантування вкладів фізичних осіб у мережі Інтернет після його державної реєстрації.</w:t>
      </w:r>
    </w:p>
    <w:p w:rsidR="00C93159" w:rsidRPr="00C93159" w:rsidRDefault="00C93159" w:rsidP="00C93159">
      <w:pPr>
        <w:pStyle w:val="a3"/>
        <w:jc w:val="both"/>
        <w:rPr>
          <w:lang w:val="uk-UA"/>
        </w:rPr>
      </w:pPr>
      <w:r w:rsidRPr="00C93159">
        <w:rPr>
          <w:lang w:val="uk-UA"/>
        </w:rPr>
        <w:t>5. Контроль за виконанням цього рішення залишаю за собою.</w:t>
      </w:r>
    </w:p>
    <w:p w:rsidR="00C93159" w:rsidRPr="00C93159" w:rsidRDefault="00C93159" w:rsidP="00C93159">
      <w:pPr>
        <w:pStyle w:val="a3"/>
        <w:jc w:val="both"/>
        <w:rPr>
          <w:lang w:val="uk-UA"/>
        </w:rPr>
      </w:pPr>
      <w:r w:rsidRPr="00C93159">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C93159" w:rsidRPr="00C93159" w:rsidTr="00C93159">
        <w:trPr>
          <w:tblCellSpacing w:w="22" w:type="dxa"/>
        </w:trPr>
        <w:tc>
          <w:tcPr>
            <w:tcW w:w="2500" w:type="pct"/>
            <w:hideMark/>
          </w:tcPr>
          <w:p w:rsidR="00C93159" w:rsidRPr="00C93159" w:rsidRDefault="00C93159">
            <w:pPr>
              <w:pStyle w:val="a3"/>
              <w:jc w:val="center"/>
            </w:pPr>
            <w:r w:rsidRPr="00C93159">
              <w:rPr>
                <w:b/>
                <w:bCs/>
              </w:rPr>
              <w:t>В. о. директора-розпорядника</w:t>
            </w:r>
          </w:p>
        </w:tc>
        <w:tc>
          <w:tcPr>
            <w:tcW w:w="2500" w:type="pct"/>
            <w:vAlign w:val="bottom"/>
            <w:hideMark/>
          </w:tcPr>
          <w:p w:rsidR="00C93159" w:rsidRPr="00C93159" w:rsidRDefault="00C93159">
            <w:pPr>
              <w:pStyle w:val="a3"/>
              <w:jc w:val="center"/>
            </w:pPr>
            <w:r w:rsidRPr="00C93159">
              <w:rPr>
                <w:b/>
                <w:bCs/>
              </w:rPr>
              <w:t>А. Я. Оленчик</w:t>
            </w:r>
          </w:p>
        </w:tc>
      </w:tr>
    </w:tbl>
    <w:p w:rsidR="00C93159" w:rsidRPr="00C93159" w:rsidRDefault="00C93159" w:rsidP="00C93159">
      <w:pPr>
        <w:pStyle w:val="a3"/>
        <w:jc w:val="both"/>
        <w:rPr>
          <w:lang w:val="uk-UA"/>
        </w:rPr>
      </w:pPr>
      <w:r w:rsidRPr="00C93159">
        <w:rPr>
          <w:lang w:val="uk-UA"/>
        </w:rPr>
        <w:br w:type="textWrapping" w:clear="all"/>
      </w:r>
    </w:p>
    <w:p w:rsidR="00C93159" w:rsidRPr="00C93159" w:rsidRDefault="00C93159" w:rsidP="00C93159">
      <w:pPr>
        <w:pStyle w:val="a3"/>
        <w:jc w:val="both"/>
        <w:rPr>
          <w:lang w:val="uk-UA"/>
        </w:rPr>
      </w:pPr>
      <w:r w:rsidRPr="00C93159">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C93159" w:rsidRPr="00C93159" w:rsidTr="00C93159">
        <w:trPr>
          <w:tblCellSpacing w:w="22" w:type="dxa"/>
        </w:trPr>
        <w:tc>
          <w:tcPr>
            <w:tcW w:w="5000" w:type="pct"/>
            <w:hideMark/>
          </w:tcPr>
          <w:p w:rsidR="00C93159" w:rsidRPr="00C93159" w:rsidRDefault="00C93159">
            <w:pPr>
              <w:pStyle w:val="a3"/>
            </w:pPr>
            <w:r w:rsidRPr="00C93159">
              <w:lastRenderedPageBreak/>
              <w:t>Протокол засідання виконавчої дирекції</w:t>
            </w:r>
            <w:r w:rsidRPr="00C93159">
              <w:br/>
              <w:t>від 08 грудня 2016 р. N 192/16</w:t>
            </w:r>
          </w:p>
        </w:tc>
      </w:tr>
    </w:tbl>
    <w:p w:rsidR="00C93159" w:rsidRPr="00C93159" w:rsidRDefault="00C93159" w:rsidP="00C93159">
      <w:pPr>
        <w:pStyle w:val="a3"/>
        <w:jc w:val="both"/>
        <w:rPr>
          <w:lang w:val="uk-UA"/>
        </w:rPr>
      </w:pPr>
      <w:r w:rsidRPr="00C93159">
        <w:rPr>
          <w:lang w:val="uk-UA"/>
        </w:rPr>
        <w:br w:type="textWrapping" w:clear="all"/>
      </w:r>
    </w:p>
    <w:p w:rsidR="00C93159" w:rsidRPr="00C93159" w:rsidRDefault="00C93159" w:rsidP="00C93159">
      <w:pPr>
        <w:pStyle w:val="a3"/>
        <w:jc w:val="both"/>
        <w:rPr>
          <w:lang w:val="uk-UA"/>
        </w:rPr>
      </w:pPr>
      <w:r w:rsidRPr="00C93159">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C93159" w:rsidRPr="00C93159" w:rsidTr="00C93159">
        <w:trPr>
          <w:tblCellSpacing w:w="22" w:type="dxa"/>
        </w:trPr>
        <w:tc>
          <w:tcPr>
            <w:tcW w:w="5000" w:type="pct"/>
            <w:hideMark/>
          </w:tcPr>
          <w:p w:rsidR="00C93159" w:rsidRPr="00C93159" w:rsidRDefault="00C93159">
            <w:pPr>
              <w:pStyle w:val="a3"/>
              <w:rPr>
                <w:lang w:val="uk-UA"/>
              </w:rPr>
            </w:pPr>
            <w:r w:rsidRPr="00C93159">
              <w:rPr>
                <w:lang w:val="uk-UA"/>
              </w:rPr>
              <w:t>ЗАТВЕРДЖЕНО</w:t>
            </w:r>
            <w:r w:rsidRPr="00C93159">
              <w:rPr>
                <w:lang w:val="uk-UA"/>
              </w:rPr>
              <w:br/>
              <w:t>Рішення виконавчої дирекції Фонду гарантування вкладів фізичних осіб</w:t>
            </w:r>
            <w:r w:rsidRPr="00C93159">
              <w:rPr>
                <w:lang w:val="uk-UA"/>
              </w:rPr>
              <w:br/>
              <w:t xml:space="preserve">08 грудня 2016 року </w:t>
            </w:r>
            <w:r w:rsidRPr="00C93159">
              <w:t>N</w:t>
            </w:r>
            <w:r w:rsidRPr="00C93159">
              <w:rPr>
                <w:lang w:val="uk-UA"/>
              </w:rPr>
              <w:t xml:space="preserve"> 2707</w:t>
            </w:r>
          </w:p>
          <w:p w:rsidR="00C93159" w:rsidRPr="00C93159" w:rsidRDefault="00C93159">
            <w:pPr>
              <w:pStyle w:val="a3"/>
            </w:pPr>
            <w:r w:rsidRPr="00C93159">
              <w:t xml:space="preserve">Зареєстровано </w:t>
            </w:r>
            <w:r w:rsidRPr="00C93159">
              <w:br/>
              <w:t>в Міністерстві юстиції України</w:t>
            </w:r>
            <w:r w:rsidRPr="00C93159">
              <w:br/>
              <w:t>18 січня 2017 р. за N 66/29934</w:t>
            </w:r>
          </w:p>
        </w:tc>
      </w:tr>
    </w:tbl>
    <w:p w:rsidR="00C93159" w:rsidRPr="00C93159" w:rsidRDefault="00C93159" w:rsidP="00C93159">
      <w:pPr>
        <w:pStyle w:val="a3"/>
        <w:jc w:val="both"/>
        <w:rPr>
          <w:lang w:val="uk-UA"/>
        </w:rPr>
      </w:pPr>
      <w:r w:rsidRPr="00C93159">
        <w:rPr>
          <w:lang w:val="uk-UA"/>
        </w:rPr>
        <w:br w:type="textWrapping" w:clear="all"/>
      </w:r>
    </w:p>
    <w:p w:rsidR="00C93159" w:rsidRPr="00C93159" w:rsidRDefault="00C93159" w:rsidP="00C93159">
      <w:pPr>
        <w:pStyle w:val="3"/>
        <w:jc w:val="center"/>
        <w:rPr>
          <w:lang w:val="uk-UA"/>
        </w:rPr>
      </w:pPr>
      <w:r w:rsidRPr="00C93159">
        <w:rPr>
          <w:lang w:val="uk-UA"/>
        </w:rPr>
        <w:t>Методика оцінки активів банку, віднесеного до категорії проблемних або неплатоспроможних</w:t>
      </w:r>
    </w:p>
    <w:p w:rsidR="00C93159" w:rsidRPr="00C93159" w:rsidRDefault="00C93159" w:rsidP="00C93159">
      <w:pPr>
        <w:pStyle w:val="3"/>
        <w:jc w:val="center"/>
        <w:rPr>
          <w:lang w:val="uk-UA"/>
        </w:rPr>
      </w:pPr>
      <w:r w:rsidRPr="00C93159">
        <w:rPr>
          <w:lang w:val="uk-UA"/>
        </w:rPr>
        <w:t>I. Загальні положення</w:t>
      </w:r>
    </w:p>
    <w:p w:rsidR="00C93159" w:rsidRPr="00C93159" w:rsidRDefault="00C93159" w:rsidP="00C93159">
      <w:pPr>
        <w:pStyle w:val="a3"/>
        <w:jc w:val="both"/>
        <w:rPr>
          <w:lang w:val="uk-UA"/>
        </w:rPr>
      </w:pPr>
      <w:r w:rsidRPr="00C93159">
        <w:rPr>
          <w:lang w:val="uk-UA"/>
        </w:rPr>
        <w:t>1. Ця Методика розроблена з метою реалізації норм Закону України "Про систему гарантування вкладів фізичних осіб" (далі - Закон), Положення про виведення неплатоспроможного банку з ринку, затвердженого рішенням виконавчої дирекції Фонду гарантування вкладів фізичних осіб від 05 липня 2012 року N 2, зареєстрованого в Міністерстві юстиції України 14 вересня 2012 року за N 1581/21893, а також з метою розрахунку прогнозованих сум грошового відшкодування коштів Фонду гарантування вкладів фізичних осіб (далі - Фонд) банком.</w:t>
      </w:r>
    </w:p>
    <w:p w:rsidR="00C93159" w:rsidRPr="00C93159" w:rsidRDefault="00C93159" w:rsidP="00C93159">
      <w:pPr>
        <w:pStyle w:val="a3"/>
        <w:jc w:val="both"/>
        <w:rPr>
          <w:lang w:val="uk-UA"/>
        </w:rPr>
      </w:pPr>
      <w:r w:rsidRPr="00C93159">
        <w:rPr>
          <w:lang w:val="uk-UA"/>
        </w:rPr>
        <w:t>2. Ця Методика визначає порядок дій працівників Фонду, у тому числі уповноваженої особи Фонду, щодо оцінки вартості активів банку, віднесеного до категорії проблемних або неплатоспроможних, у тому числі для подальшого порівняння результатів оцінки із звітами суб'єктів оціночної діяльності. Результати оцінки за цією Методикою є допоміжними та не можуть використовуватись як єдине джерело для прийняття управлінських рішень Фондом щодо активів банку. Результати оцінки за цією Методикою можуть бути використані при визначенні початкової вартості реалізації активів неплатоспроможних банків на відкритих торгах та є довідковими при визначенні вартості активів проблемних банків для прийняття управлінських рішень.</w:t>
      </w:r>
    </w:p>
    <w:p w:rsidR="00C93159" w:rsidRPr="00C93159" w:rsidRDefault="00C93159" w:rsidP="00C93159">
      <w:pPr>
        <w:pStyle w:val="a3"/>
        <w:jc w:val="both"/>
        <w:rPr>
          <w:lang w:val="uk-UA"/>
        </w:rPr>
      </w:pPr>
      <w:r w:rsidRPr="00C93159">
        <w:rPr>
          <w:lang w:val="uk-UA"/>
        </w:rPr>
        <w:t>3. Оцінка активів за цією Методикою здійснюється для банку, віднесеного до категорії проблемних або неплатоспроможних.</w:t>
      </w:r>
    </w:p>
    <w:p w:rsidR="00C93159" w:rsidRPr="00C93159" w:rsidRDefault="00C93159" w:rsidP="00C93159">
      <w:pPr>
        <w:pStyle w:val="a3"/>
        <w:jc w:val="both"/>
        <w:rPr>
          <w:lang w:val="uk-UA"/>
        </w:rPr>
      </w:pPr>
      <w:r w:rsidRPr="00C93159">
        <w:rPr>
          <w:lang w:val="uk-UA"/>
        </w:rPr>
        <w:t>4. У цій Методиці терміни вживаються у таких значеннях:</w:t>
      </w:r>
    </w:p>
    <w:p w:rsidR="00C93159" w:rsidRPr="00C93159" w:rsidRDefault="00C93159" w:rsidP="00C93159">
      <w:pPr>
        <w:pStyle w:val="a3"/>
        <w:jc w:val="both"/>
        <w:rPr>
          <w:lang w:val="uk-UA"/>
        </w:rPr>
      </w:pPr>
      <w:r w:rsidRPr="00C93159">
        <w:rPr>
          <w:lang w:val="uk-UA"/>
        </w:rPr>
        <w:t>активи та зобов'язання - відповідно до національних положень (стандартів) бухгалтерського обліку;</w:t>
      </w:r>
    </w:p>
    <w:p w:rsidR="00C93159" w:rsidRPr="00C93159" w:rsidRDefault="00C93159" w:rsidP="00C93159">
      <w:pPr>
        <w:pStyle w:val="a3"/>
        <w:jc w:val="both"/>
        <w:rPr>
          <w:lang w:val="uk-UA"/>
        </w:rPr>
      </w:pPr>
      <w:r w:rsidRPr="00C93159">
        <w:rPr>
          <w:lang w:val="uk-UA"/>
        </w:rPr>
        <w:t xml:space="preserve">відповідальна особа Фонду - працівник Фонду, до посадових обов'язків якого належить здійснення оцінки можливої вартості активів банку, віднесеного до категорії проблемних або неплатоспроможних, розрахунку прогнозованих сум грошового відшкодування </w:t>
      </w:r>
      <w:r w:rsidRPr="00C93159">
        <w:rPr>
          <w:lang w:val="uk-UA"/>
        </w:rPr>
        <w:lastRenderedPageBreak/>
        <w:t>коштів Фонду банком, віднесеним до категорії проблемних у разі його віднесення до категорії неплатоспроможних, або неплатоспроможним банком;</w:t>
      </w:r>
    </w:p>
    <w:p w:rsidR="00C93159" w:rsidRPr="00C93159" w:rsidRDefault="00C93159" w:rsidP="00C93159">
      <w:pPr>
        <w:pStyle w:val="a3"/>
        <w:jc w:val="both"/>
        <w:rPr>
          <w:lang w:val="uk-UA"/>
        </w:rPr>
      </w:pPr>
      <w:r w:rsidRPr="00C93159">
        <w:rPr>
          <w:lang w:val="uk-UA"/>
        </w:rPr>
        <w:t>група активів - сукупність активів, які мають одну чи декілька спільних типових характеристик;</w:t>
      </w:r>
    </w:p>
    <w:p w:rsidR="00C93159" w:rsidRPr="00C93159" w:rsidRDefault="00C93159" w:rsidP="00C93159">
      <w:pPr>
        <w:pStyle w:val="a3"/>
        <w:jc w:val="both"/>
        <w:rPr>
          <w:lang w:val="uk-UA"/>
        </w:rPr>
      </w:pPr>
      <w:r w:rsidRPr="00C93159">
        <w:rPr>
          <w:lang w:val="uk-UA"/>
        </w:rPr>
        <w:t>клас активів - сукупність активів, що входять до складу одного рядка банківського балансу відповідно до постанов Правління Національного банку України;</w:t>
      </w:r>
    </w:p>
    <w:p w:rsidR="00C93159" w:rsidRPr="00C93159" w:rsidRDefault="00C93159" w:rsidP="00C93159">
      <w:pPr>
        <w:pStyle w:val="a3"/>
        <w:jc w:val="both"/>
        <w:rPr>
          <w:lang w:val="uk-UA"/>
        </w:rPr>
      </w:pPr>
      <w:r w:rsidRPr="00C93159">
        <w:rPr>
          <w:lang w:val="uk-UA"/>
        </w:rPr>
        <w:t>оцінка можливої вартості активів банку, віднесеного до категорії проблемних або неплатоспроможних, розрахунок прогнозованих сум грошового відшкодування коштів Фонду банком, віднесеним до категорії проблемних або неплатоспроможних (далі - оцінка активів), - стандартизована процедура визначення найбільш вірогідної ринкової вартості класу чи групи активів, яка розраховується Фондом відповідно до положень цієї Методики;</w:t>
      </w:r>
    </w:p>
    <w:p w:rsidR="00C93159" w:rsidRPr="00C93159" w:rsidRDefault="00C93159" w:rsidP="00C93159">
      <w:pPr>
        <w:pStyle w:val="a3"/>
        <w:jc w:val="both"/>
        <w:rPr>
          <w:lang w:val="uk-UA"/>
        </w:rPr>
      </w:pPr>
      <w:r w:rsidRPr="00C93159">
        <w:rPr>
          <w:lang w:val="uk-UA"/>
        </w:rPr>
        <w:t>приведена (теперішня) вартість активу - вартість активу, приведена до дати, на яку визначається вартість активів, шляхом дисконтування грошових потоків відповідно до положень цієї Методики;</w:t>
      </w:r>
    </w:p>
    <w:p w:rsidR="00C93159" w:rsidRPr="00C93159" w:rsidRDefault="00C93159" w:rsidP="00C93159">
      <w:pPr>
        <w:pStyle w:val="a3"/>
        <w:jc w:val="both"/>
        <w:rPr>
          <w:lang w:val="uk-UA"/>
        </w:rPr>
      </w:pPr>
      <w:r w:rsidRPr="00C93159">
        <w:rPr>
          <w:lang w:val="uk-UA"/>
        </w:rPr>
        <w:t>цілісний майновий комплекс - об'єкт, сукупність активів якого забезпечує проведення окремої господарської діяльності на постійній і регулярній основі. Цілісними майновими комплексами є підприємства, а також їх структурні підрозділи (цехи, виробництва, дільниці тощо), які можуть бути виділені в установленому порядку в самостійні об'єкти з подальшим складанням відповідного балансу і можуть бути зареєстровані як самостійні суб'єкти господарської діяльності.</w:t>
      </w:r>
    </w:p>
    <w:p w:rsidR="00C93159" w:rsidRPr="00C93159" w:rsidRDefault="00C93159" w:rsidP="00C93159">
      <w:pPr>
        <w:pStyle w:val="a3"/>
        <w:jc w:val="both"/>
        <w:rPr>
          <w:lang w:val="uk-UA"/>
        </w:rPr>
      </w:pPr>
      <w:r w:rsidRPr="00C93159">
        <w:rPr>
          <w:lang w:val="uk-UA"/>
        </w:rPr>
        <w:t>Інші терміни вживаються у значеннях, наведених у Законах України "Про систему гарантування вкладів фізичних осіб", "Про банки і банківську діяльність", нормативно-правових актах Фонду та Національного банку України (далі - НБУ).</w:t>
      </w:r>
    </w:p>
    <w:p w:rsidR="00C93159" w:rsidRPr="00C93159" w:rsidRDefault="00C93159" w:rsidP="00C93159">
      <w:pPr>
        <w:pStyle w:val="3"/>
        <w:jc w:val="center"/>
        <w:rPr>
          <w:lang w:val="uk-UA"/>
        </w:rPr>
      </w:pPr>
      <w:r w:rsidRPr="00C93159">
        <w:rPr>
          <w:lang w:val="uk-UA"/>
        </w:rPr>
        <w:t>II. Формування переліку активів банку для їх оцінки</w:t>
      </w:r>
    </w:p>
    <w:p w:rsidR="00C93159" w:rsidRPr="00C93159" w:rsidRDefault="00C93159" w:rsidP="00C93159">
      <w:pPr>
        <w:pStyle w:val="a3"/>
        <w:jc w:val="both"/>
        <w:rPr>
          <w:lang w:val="uk-UA"/>
        </w:rPr>
      </w:pPr>
      <w:r w:rsidRPr="00C93159">
        <w:rPr>
          <w:lang w:val="uk-UA"/>
        </w:rPr>
        <w:t>1. Перелік активів банку для їх оцінки має бути наданий Фонду:</w:t>
      </w:r>
    </w:p>
    <w:p w:rsidR="00C93159" w:rsidRPr="00C93159" w:rsidRDefault="00C93159" w:rsidP="00C93159">
      <w:pPr>
        <w:pStyle w:val="a3"/>
        <w:jc w:val="both"/>
        <w:rPr>
          <w:lang w:val="uk-UA"/>
        </w:rPr>
      </w:pPr>
      <w:r w:rsidRPr="00C93159">
        <w:rPr>
          <w:lang w:val="uk-UA"/>
        </w:rPr>
        <w:t>протягом 10 робочих днів з дня віднесення банку до категорії проблемних - керівником інспекційної групи або призначеним працівником Фонду, до повноважень якого належить моніторинг активних операцій у проблемному банку (далі - куратор);</w:t>
      </w:r>
    </w:p>
    <w:p w:rsidR="00C93159" w:rsidRPr="00C93159" w:rsidRDefault="00C93159" w:rsidP="00C93159">
      <w:pPr>
        <w:pStyle w:val="a3"/>
        <w:jc w:val="both"/>
        <w:rPr>
          <w:lang w:val="uk-UA"/>
        </w:rPr>
      </w:pPr>
      <w:r w:rsidRPr="00C93159">
        <w:rPr>
          <w:lang w:val="uk-UA"/>
        </w:rPr>
        <w:t>наступного робочого дня після закінчення інвентаризації активів неплатоспроможного банку - уповноваженою особою Фонду на тимчасову адміністрацію у разі делегування їй повноважень Фондом;</w:t>
      </w:r>
    </w:p>
    <w:p w:rsidR="00C93159" w:rsidRPr="00C93159" w:rsidRDefault="00C93159" w:rsidP="00C93159">
      <w:pPr>
        <w:pStyle w:val="a3"/>
        <w:jc w:val="both"/>
        <w:rPr>
          <w:lang w:val="uk-UA"/>
        </w:rPr>
      </w:pPr>
      <w:r w:rsidRPr="00C93159">
        <w:rPr>
          <w:lang w:val="uk-UA"/>
        </w:rPr>
        <w:t>наступного робочого дня після закінчення формування ліквідаційної маси та кожного разу після прийняття рішення про проведення переоцінки активів неплатоспроможного банку - уповноваженою особою Фонду на ліквідацію банку у разі делегування їй повноважень Фондом.</w:t>
      </w:r>
    </w:p>
    <w:p w:rsidR="00C93159" w:rsidRPr="00C93159" w:rsidRDefault="00C93159" w:rsidP="00C93159">
      <w:pPr>
        <w:pStyle w:val="a3"/>
        <w:jc w:val="both"/>
        <w:rPr>
          <w:lang w:val="uk-UA"/>
        </w:rPr>
      </w:pPr>
      <w:r w:rsidRPr="00C93159">
        <w:rPr>
          <w:lang w:val="uk-UA"/>
        </w:rPr>
        <w:t xml:space="preserve">2. Перелік активів подається куратором, керівником інспекційної групи або уповноваженою особою Фонду за формою, наведеною у додатку 1 до цієї Методики, в електронному вигляді на CD-диску у форматі Microsoft Excel (xlsx), а в разі неможливості </w:t>
      </w:r>
      <w:r w:rsidRPr="00C93159">
        <w:rPr>
          <w:lang w:val="uk-UA"/>
        </w:rPr>
        <w:lastRenderedPageBreak/>
        <w:t>- в іншому форматі, що дає можливість підключити зовнішній файл з базою даних до Microsoft Excel.</w:t>
      </w:r>
    </w:p>
    <w:p w:rsidR="00C93159" w:rsidRPr="00C93159" w:rsidRDefault="00C93159" w:rsidP="00C93159">
      <w:pPr>
        <w:pStyle w:val="a3"/>
        <w:jc w:val="both"/>
        <w:rPr>
          <w:lang w:val="uk-UA"/>
        </w:rPr>
      </w:pPr>
      <w:r w:rsidRPr="00C93159">
        <w:rPr>
          <w:lang w:val="uk-UA"/>
        </w:rPr>
        <w:t>3. Уповноважена особа Фонду на тимчасову адміністрацію або ліквідацію банку за результатами інвентаризації активів банку (працівник Фонду, уповноважений на моніторинг банківських операцій, керівник інспекційної групи - за даними балансу і кредитних справ) під час формування переліку активів банку має забезпечити отримання від банку, віднесеного до категорії проблемних або неплатоспроможних, таких суттєвих характеристик його активів (відповідно до додатка 1 до цієї Методики):</w:t>
      </w:r>
    </w:p>
    <w:p w:rsidR="00C93159" w:rsidRPr="00C93159" w:rsidRDefault="00C93159" w:rsidP="00C93159">
      <w:pPr>
        <w:pStyle w:val="a3"/>
        <w:jc w:val="both"/>
        <w:rPr>
          <w:lang w:val="uk-UA"/>
        </w:rPr>
      </w:pPr>
      <w:r w:rsidRPr="00C93159">
        <w:rPr>
          <w:lang w:val="uk-UA"/>
        </w:rPr>
        <w:t>1) за групою "кредити та заборгованість клієнтів":</w:t>
      </w:r>
    </w:p>
    <w:p w:rsidR="00C93159" w:rsidRPr="00C93159" w:rsidRDefault="00C93159" w:rsidP="00C93159">
      <w:pPr>
        <w:pStyle w:val="a3"/>
        <w:jc w:val="both"/>
        <w:rPr>
          <w:lang w:val="uk-UA"/>
        </w:rPr>
      </w:pPr>
      <w:r w:rsidRPr="00C93159">
        <w:rPr>
          <w:lang w:val="uk-UA"/>
        </w:rPr>
        <w:t>реквізити договору кредитування:</w:t>
      </w:r>
    </w:p>
    <w:p w:rsidR="00C93159" w:rsidRPr="00C93159" w:rsidRDefault="00C93159" w:rsidP="00C93159">
      <w:pPr>
        <w:pStyle w:val="a3"/>
        <w:jc w:val="both"/>
        <w:rPr>
          <w:lang w:val="uk-UA"/>
        </w:rPr>
      </w:pPr>
      <w:r w:rsidRPr="00C93159">
        <w:rPr>
          <w:lang w:val="uk-UA"/>
        </w:rPr>
        <w:t>унікальний код;</w:t>
      </w:r>
    </w:p>
    <w:p w:rsidR="00C93159" w:rsidRPr="00C93159" w:rsidRDefault="00C93159" w:rsidP="00C93159">
      <w:pPr>
        <w:pStyle w:val="a3"/>
        <w:jc w:val="both"/>
        <w:rPr>
          <w:lang w:val="uk-UA"/>
        </w:rPr>
      </w:pPr>
      <w:r w:rsidRPr="00C93159">
        <w:rPr>
          <w:lang w:val="uk-UA"/>
        </w:rPr>
        <w:t>номер;</w:t>
      </w:r>
    </w:p>
    <w:p w:rsidR="00C93159" w:rsidRPr="00C93159" w:rsidRDefault="00C93159" w:rsidP="00C93159">
      <w:pPr>
        <w:pStyle w:val="a3"/>
        <w:jc w:val="both"/>
        <w:rPr>
          <w:lang w:val="uk-UA"/>
        </w:rPr>
      </w:pPr>
      <w:r w:rsidRPr="00C93159">
        <w:rPr>
          <w:lang w:val="uk-UA"/>
        </w:rPr>
        <w:t>дата;</w:t>
      </w:r>
    </w:p>
    <w:p w:rsidR="00C93159" w:rsidRPr="00C93159" w:rsidRDefault="00C93159" w:rsidP="00C93159">
      <w:pPr>
        <w:pStyle w:val="a3"/>
        <w:jc w:val="both"/>
        <w:rPr>
          <w:lang w:val="uk-UA"/>
        </w:rPr>
      </w:pPr>
      <w:r w:rsidRPr="00C93159">
        <w:rPr>
          <w:lang w:val="uk-UA"/>
        </w:rPr>
        <w:t>реквізити договору(ів) застави/іпотеки:</w:t>
      </w:r>
    </w:p>
    <w:p w:rsidR="00C93159" w:rsidRPr="00C93159" w:rsidRDefault="00C93159" w:rsidP="00C93159">
      <w:pPr>
        <w:pStyle w:val="a3"/>
        <w:jc w:val="both"/>
        <w:rPr>
          <w:lang w:val="uk-UA"/>
        </w:rPr>
      </w:pPr>
      <w:r w:rsidRPr="00C93159">
        <w:rPr>
          <w:lang w:val="uk-UA"/>
        </w:rPr>
        <w:t>унікальний код договору кредитування;</w:t>
      </w:r>
    </w:p>
    <w:p w:rsidR="00C93159" w:rsidRPr="00C93159" w:rsidRDefault="00C93159" w:rsidP="00C93159">
      <w:pPr>
        <w:pStyle w:val="a3"/>
        <w:jc w:val="both"/>
        <w:rPr>
          <w:lang w:val="uk-UA"/>
        </w:rPr>
      </w:pPr>
      <w:r w:rsidRPr="00C93159">
        <w:rPr>
          <w:lang w:val="uk-UA"/>
        </w:rPr>
        <w:t>номер;</w:t>
      </w:r>
    </w:p>
    <w:p w:rsidR="00C93159" w:rsidRPr="00C93159" w:rsidRDefault="00C93159" w:rsidP="00C93159">
      <w:pPr>
        <w:pStyle w:val="a3"/>
        <w:jc w:val="both"/>
        <w:rPr>
          <w:lang w:val="uk-UA"/>
        </w:rPr>
      </w:pPr>
      <w:r w:rsidRPr="00C93159">
        <w:rPr>
          <w:lang w:val="uk-UA"/>
        </w:rPr>
        <w:t>дата;</w:t>
      </w:r>
    </w:p>
    <w:p w:rsidR="00C93159" w:rsidRPr="00C93159" w:rsidRDefault="00C93159" w:rsidP="00C93159">
      <w:pPr>
        <w:pStyle w:val="a3"/>
        <w:jc w:val="both"/>
        <w:rPr>
          <w:lang w:val="uk-UA"/>
        </w:rPr>
      </w:pPr>
      <w:r w:rsidRPr="00C93159">
        <w:rPr>
          <w:lang w:val="uk-UA"/>
        </w:rPr>
        <w:t>реквізити договору(ів) поруки/гарантії/страхування:</w:t>
      </w:r>
    </w:p>
    <w:p w:rsidR="00C93159" w:rsidRPr="00C93159" w:rsidRDefault="00C93159" w:rsidP="00C93159">
      <w:pPr>
        <w:pStyle w:val="a3"/>
        <w:jc w:val="both"/>
        <w:rPr>
          <w:lang w:val="uk-UA"/>
        </w:rPr>
      </w:pPr>
      <w:r w:rsidRPr="00C93159">
        <w:rPr>
          <w:lang w:val="uk-UA"/>
        </w:rPr>
        <w:t>унікальний код договору кредитування;</w:t>
      </w:r>
    </w:p>
    <w:p w:rsidR="00C93159" w:rsidRPr="00C93159" w:rsidRDefault="00C93159" w:rsidP="00C93159">
      <w:pPr>
        <w:pStyle w:val="a3"/>
        <w:jc w:val="both"/>
        <w:rPr>
          <w:lang w:val="uk-UA"/>
        </w:rPr>
      </w:pPr>
      <w:r w:rsidRPr="00C93159">
        <w:rPr>
          <w:lang w:val="uk-UA"/>
        </w:rPr>
        <w:t>номер;</w:t>
      </w:r>
    </w:p>
    <w:p w:rsidR="00C93159" w:rsidRPr="00C93159" w:rsidRDefault="00C93159" w:rsidP="00C93159">
      <w:pPr>
        <w:pStyle w:val="a3"/>
        <w:jc w:val="both"/>
        <w:rPr>
          <w:lang w:val="uk-UA"/>
        </w:rPr>
      </w:pPr>
      <w:r w:rsidRPr="00C93159">
        <w:rPr>
          <w:lang w:val="uk-UA"/>
        </w:rPr>
        <w:t>дата;</w:t>
      </w:r>
    </w:p>
    <w:p w:rsidR="00C93159" w:rsidRPr="00C93159" w:rsidRDefault="00C93159" w:rsidP="00C93159">
      <w:pPr>
        <w:pStyle w:val="a3"/>
        <w:jc w:val="both"/>
        <w:rPr>
          <w:lang w:val="uk-UA"/>
        </w:rPr>
      </w:pPr>
      <w:r w:rsidRPr="00C93159">
        <w:rPr>
          <w:lang w:val="uk-UA"/>
        </w:rPr>
        <w:t>код за ЄДРПОУ / реєстраційний номер облікової картки платника податків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позичальника;</w:t>
      </w:r>
    </w:p>
    <w:p w:rsidR="00C93159" w:rsidRPr="00C93159" w:rsidRDefault="00C93159" w:rsidP="00C93159">
      <w:pPr>
        <w:pStyle w:val="a3"/>
        <w:jc w:val="both"/>
        <w:rPr>
          <w:lang w:val="uk-UA"/>
        </w:rPr>
      </w:pPr>
      <w:r w:rsidRPr="00C93159">
        <w:rPr>
          <w:lang w:val="uk-UA"/>
        </w:rPr>
        <w:t>найменування / П. І. Б. позичальника;</w:t>
      </w:r>
    </w:p>
    <w:p w:rsidR="00C93159" w:rsidRPr="00C93159" w:rsidRDefault="00C93159" w:rsidP="00C93159">
      <w:pPr>
        <w:pStyle w:val="a3"/>
        <w:jc w:val="both"/>
        <w:rPr>
          <w:lang w:val="uk-UA"/>
        </w:rPr>
      </w:pPr>
      <w:r w:rsidRPr="00C93159">
        <w:rPr>
          <w:lang w:val="uk-UA"/>
        </w:rPr>
        <w:t>місцезнаходження / місце проживання позичальника (область);</w:t>
      </w:r>
    </w:p>
    <w:p w:rsidR="00C93159" w:rsidRPr="00C93159" w:rsidRDefault="00C93159" w:rsidP="00C93159">
      <w:pPr>
        <w:pStyle w:val="a3"/>
        <w:jc w:val="both"/>
        <w:rPr>
          <w:lang w:val="uk-UA"/>
        </w:rPr>
      </w:pPr>
      <w:r w:rsidRPr="00C93159">
        <w:rPr>
          <w:lang w:val="uk-UA"/>
        </w:rPr>
        <w:t>місцезнаходження / місце проживання позичальника (район);</w:t>
      </w:r>
    </w:p>
    <w:p w:rsidR="00C93159" w:rsidRPr="00C93159" w:rsidRDefault="00C93159" w:rsidP="00C93159">
      <w:pPr>
        <w:pStyle w:val="a3"/>
        <w:jc w:val="both"/>
        <w:rPr>
          <w:lang w:val="uk-UA"/>
        </w:rPr>
      </w:pPr>
      <w:r w:rsidRPr="00C93159">
        <w:rPr>
          <w:lang w:val="uk-UA"/>
        </w:rPr>
        <w:t>місцезнаходження / місце проживання позичальника (населений пункт);</w:t>
      </w:r>
    </w:p>
    <w:p w:rsidR="00C93159" w:rsidRPr="00C93159" w:rsidRDefault="00C93159" w:rsidP="00C93159">
      <w:pPr>
        <w:pStyle w:val="a3"/>
        <w:jc w:val="both"/>
        <w:rPr>
          <w:lang w:val="uk-UA"/>
        </w:rPr>
      </w:pPr>
      <w:r w:rsidRPr="00C93159">
        <w:rPr>
          <w:lang w:val="uk-UA"/>
        </w:rPr>
        <w:t>місцезнаходження / місце проживання позичальника (вулиця, будинок, корпус, квартира);</w:t>
      </w:r>
    </w:p>
    <w:p w:rsidR="00C93159" w:rsidRPr="00C93159" w:rsidRDefault="00C93159" w:rsidP="00C93159">
      <w:pPr>
        <w:pStyle w:val="a3"/>
        <w:jc w:val="both"/>
        <w:rPr>
          <w:lang w:val="uk-UA"/>
        </w:rPr>
      </w:pPr>
      <w:r w:rsidRPr="00C93159">
        <w:rPr>
          <w:lang w:val="uk-UA"/>
        </w:rPr>
        <w:t>контролери та інсайдери (щодо кожного):</w:t>
      </w:r>
    </w:p>
    <w:p w:rsidR="00C93159" w:rsidRPr="00C93159" w:rsidRDefault="00C93159" w:rsidP="00C93159">
      <w:pPr>
        <w:pStyle w:val="a3"/>
        <w:jc w:val="both"/>
        <w:rPr>
          <w:lang w:val="uk-UA"/>
        </w:rPr>
      </w:pPr>
      <w:r w:rsidRPr="00C93159">
        <w:rPr>
          <w:lang w:val="uk-UA"/>
        </w:rPr>
        <w:lastRenderedPageBreak/>
        <w:t>умовне позначення фінансової групи;</w:t>
      </w:r>
    </w:p>
    <w:p w:rsidR="00C93159" w:rsidRPr="00C93159" w:rsidRDefault="00C93159" w:rsidP="00C93159">
      <w:pPr>
        <w:pStyle w:val="a3"/>
        <w:jc w:val="both"/>
        <w:rPr>
          <w:lang w:val="uk-UA"/>
        </w:rPr>
      </w:pPr>
      <w:r w:rsidRPr="00C93159">
        <w:rPr>
          <w:lang w:val="uk-UA"/>
        </w:rPr>
        <w:t>код за ЄДРПОУ /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контролера;</w:t>
      </w:r>
    </w:p>
    <w:p w:rsidR="00C93159" w:rsidRPr="00C93159" w:rsidRDefault="00C93159" w:rsidP="00C93159">
      <w:pPr>
        <w:pStyle w:val="a3"/>
        <w:jc w:val="both"/>
        <w:rPr>
          <w:lang w:val="uk-UA"/>
        </w:rPr>
      </w:pPr>
      <w:r w:rsidRPr="00C93159">
        <w:rPr>
          <w:lang w:val="uk-UA"/>
        </w:rPr>
        <w:t>найменування / П. І. Б. контролера;</w:t>
      </w:r>
    </w:p>
    <w:p w:rsidR="00C93159" w:rsidRPr="00C93159" w:rsidRDefault="00C93159" w:rsidP="00C93159">
      <w:pPr>
        <w:pStyle w:val="a3"/>
        <w:jc w:val="both"/>
        <w:rPr>
          <w:lang w:val="uk-UA"/>
        </w:rPr>
      </w:pPr>
      <w:r w:rsidRPr="00C93159">
        <w:rPr>
          <w:lang w:val="uk-UA"/>
        </w:rPr>
        <w:t>частка контролера у бізнесі позичальника;</w:t>
      </w:r>
    </w:p>
    <w:p w:rsidR="00C93159" w:rsidRPr="00C93159" w:rsidRDefault="00C93159" w:rsidP="00C93159">
      <w:pPr>
        <w:pStyle w:val="a3"/>
        <w:jc w:val="both"/>
        <w:rPr>
          <w:lang w:val="uk-UA"/>
        </w:rPr>
      </w:pPr>
      <w:r w:rsidRPr="00C93159">
        <w:rPr>
          <w:lang w:val="uk-UA"/>
        </w:rPr>
        <w:t>ознака належності до банківської групи;</w:t>
      </w:r>
    </w:p>
    <w:p w:rsidR="00C93159" w:rsidRPr="00C93159" w:rsidRDefault="00C93159" w:rsidP="00C93159">
      <w:pPr>
        <w:pStyle w:val="a3"/>
        <w:jc w:val="both"/>
        <w:rPr>
          <w:lang w:val="uk-UA"/>
        </w:rPr>
      </w:pPr>
      <w:r w:rsidRPr="00C93159">
        <w:rPr>
          <w:lang w:val="uk-UA"/>
        </w:rPr>
        <w:t>ознака пов'язаної особи;</w:t>
      </w:r>
    </w:p>
    <w:p w:rsidR="00C93159" w:rsidRPr="00C93159" w:rsidRDefault="00C93159" w:rsidP="00C93159">
      <w:pPr>
        <w:pStyle w:val="a3"/>
        <w:jc w:val="both"/>
        <w:rPr>
          <w:lang w:val="uk-UA"/>
        </w:rPr>
      </w:pPr>
      <w:r w:rsidRPr="00C93159">
        <w:rPr>
          <w:lang w:val="uk-UA"/>
        </w:rPr>
        <w:t>коментарі щодо контролера та його впливу;</w:t>
      </w:r>
    </w:p>
    <w:p w:rsidR="00C93159" w:rsidRPr="00C93159" w:rsidRDefault="00C93159" w:rsidP="00C93159">
      <w:pPr>
        <w:pStyle w:val="a3"/>
        <w:jc w:val="both"/>
        <w:rPr>
          <w:lang w:val="uk-UA"/>
        </w:rPr>
      </w:pPr>
      <w:r w:rsidRPr="00C93159">
        <w:rPr>
          <w:lang w:val="uk-UA"/>
        </w:rPr>
        <w:t>вид діяльності позичальника (КВЕД);</w:t>
      </w:r>
    </w:p>
    <w:p w:rsidR="00C93159" w:rsidRPr="00C93159" w:rsidRDefault="00C93159" w:rsidP="00C93159">
      <w:pPr>
        <w:pStyle w:val="a3"/>
        <w:jc w:val="both"/>
        <w:rPr>
          <w:lang w:val="uk-UA"/>
        </w:rPr>
      </w:pPr>
      <w:r w:rsidRPr="00C93159">
        <w:rPr>
          <w:lang w:val="uk-UA"/>
        </w:rPr>
        <w:t>клас позичальника;</w:t>
      </w:r>
    </w:p>
    <w:p w:rsidR="00C93159" w:rsidRPr="00C93159" w:rsidRDefault="00C93159" w:rsidP="00C93159">
      <w:pPr>
        <w:pStyle w:val="a3"/>
        <w:jc w:val="both"/>
        <w:rPr>
          <w:lang w:val="uk-UA"/>
        </w:rPr>
      </w:pPr>
      <w:r w:rsidRPr="00C93159">
        <w:rPr>
          <w:lang w:val="uk-UA"/>
        </w:rPr>
        <w:t>кількість персоналу позичальника - юридичної особи (на останню дату);</w:t>
      </w:r>
    </w:p>
    <w:p w:rsidR="00C93159" w:rsidRPr="00C93159" w:rsidRDefault="00C93159" w:rsidP="00C93159">
      <w:pPr>
        <w:pStyle w:val="a3"/>
        <w:jc w:val="both"/>
        <w:rPr>
          <w:lang w:val="uk-UA"/>
        </w:rPr>
      </w:pPr>
      <w:r w:rsidRPr="00C93159">
        <w:rPr>
          <w:lang w:val="uk-UA"/>
        </w:rPr>
        <w:t>дані фінансової звітності позичальника:</w:t>
      </w:r>
    </w:p>
    <w:p w:rsidR="00C93159" w:rsidRPr="00C93159" w:rsidRDefault="00C93159" w:rsidP="00C93159">
      <w:pPr>
        <w:pStyle w:val="a3"/>
        <w:jc w:val="both"/>
        <w:rPr>
          <w:lang w:val="uk-UA"/>
        </w:rPr>
      </w:pPr>
      <w:r w:rsidRPr="00C93159">
        <w:rPr>
          <w:lang w:val="uk-UA"/>
        </w:rPr>
        <w:t>чистий дохід від основної діяльності позичальника - юридичної особи за останній рік / доходи фізичної особи за останній рік (або на останню дату, приведений до річного значення, наприклад з 01 квітня 2014 року по 31 березня 2015 року);</w:t>
      </w:r>
    </w:p>
    <w:p w:rsidR="00C93159" w:rsidRPr="00C93159" w:rsidRDefault="00C93159" w:rsidP="00C93159">
      <w:pPr>
        <w:pStyle w:val="a3"/>
        <w:jc w:val="both"/>
        <w:rPr>
          <w:lang w:val="uk-UA"/>
        </w:rPr>
      </w:pPr>
      <w:r w:rsidRPr="00C93159">
        <w:rPr>
          <w:lang w:val="uk-UA"/>
        </w:rPr>
        <w:t>EBITDA (Earnings before interest, taxes, depreciation, amortization) - аналітичний показник, який дорівнює чистому прибутку до віднімання витрат на сплату відсотків, податків та амортизаційні відрахування. Показник використовується для оцінки того, наскільки прибутковою була б основна діяльність компанії, якби в неї не було фінансових витрат, амортизаційних відрахувань та податкового навантаження. Розраховується за балансовими даними відповідно на останню дату, приведену до річного значення, наприклад з 01 квітня 2014 року по 31 березня 2015 року;</w:t>
      </w:r>
    </w:p>
    <w:p w:rsidR="00C93159" w:rsidRPr="00C93159" w:rsidRDefault="00C93159" w:rsidP="00C93159">
      <w:pPr>
        <w:pStyle w:val="a3"/>
        <w:jc w:val="both"/>
        <w:rPr>
          <w:lang w:val="uk-UA"/>
        </w:rPr>
      </w:pPr>
      <w:r w:rsidRPr="00C93159">
        <w:rPr>
          <w:lang w:val="uk-UA"/>
        </w:rPr>
        <w:t>балансова вартість активів позичальника - юридичної особи (на останню дату);</w:t>
      </w:r>
    </w:p>
    <w:p w:rsidR="00C93159" w:rsidRPr="00C93159" w:rsidRDefault="00C93159" w:rsidP="00C93159">
      <w:pPr>
        <w:pStyle w:val="a3"/>
        <w:jc w:val="both"/>
        <w:rPr>
          <w:lang w:val="uk-UA"/>
        </w:rPr>
      </w:pPr>
      <w:r w:rsidRPr="00C93159">
        <w:rPr>
          <w:lang w:val="uk-UA"/>
        </w:rPr>
        <w:t>балансова вартість основних засобів позичальника - юридичної особи / вартість майна фізичної особи (на останню дату);</w:t>
      </w:r>
    </w:p>
    <w:p w:rsidR="00C93159" w:rsidRPr="00C93159" w:rsidRDefault="00C93159" w:rsidP="00C93159">
      <w:pPr>
        <w:pStyle w:val="a3"/>
        <w:jc w:val="both"/>
        <w:rPr>
          <w:lang w:val="uk-UA"/>
        </w:rPr>
      </w:pPr>
      <w:r w:rsidRPr="00C93159">
        <w:rPr>
          <w:lang w:val="uk-UA"/>
        </w:rPr>
        <w:t>балансова вартість власного капіталу позичальника - юридичної особи (на останню дату);</w:t>
      </w:r>
    </w:p>
    <w:p w:rsidR="00C93159" w:rsidRPr="00C93159" w:rsidRDefault="00C93159" w:rsidP="00C93159">
      <w:pPr>
        <w:pStyle w:val="a3"/>
        <w:jc w:val="both"/>
        <w:rPr>
          <w:lang w:val="uk-UA"/>
        </w:rPr>
      </w:pPr>
      <w:r w:rsidRPr="00C93159">
        <w:rPr>
          <w:lang w:val="uk-UA"/>
        </w:rPr>
        <w:t>загальний розмір довгострокових зобов'язань позичальника;</w:t>
      </w:r>
    </w:p>
    <w:p w:rsidR="00C93159" w:rsidRPr="00C93159" w:rsidRDefault="00C93159" w:rsidP="00C93159">
      <w:pPr>
        <w:pStyle w:val="a3"/>
        <w:jc w:val="both"/>
        <w:rPr>
          <w:lang w:val="uk-UA"/>
        </w:rPr>
      </w:pPr>
      <w:r w:rsidRPr="00C93159">
        <w:rPr>
          <w:lang w:val="uk-UA"/>
        </w:rPr>
        <w:t>короткострокові зобов'язання за банківськими кредитами;</w:t>
      </w:r>
    </w:p>
    <w:p w:rsidR="00C93159" w:rsidRPr="00C93159" w:rsidRDefault="00C93159" w:rsidP="00C93159">
      <w:pPr>
        <w:pStyle w:val="a3"/>
        <w:jc w:val="both"/>
        <w:rPr>
          <w:lang w:val="uk-UA"/>
        </w:rPr>
      </w:pPr>
      <w:r w:rsidRPr="00C93159">
        <w:rPr>
          <w:lang w:val="uk-UA"/>
        </w:rPr>
        <w:t>дата, на яку надані балансові дані позичальника (остання дата);</w:t>
      </w:r>
    </w:p>
    <w:p w:rsidR="00C93159" w:rsidRPr="00C93159" w:rsidRDefault="00C93159" w:rsidP="00C93159">
      <w:pPr>
        <w:pStyle w:val="a3"/>
        <w:jc w:val="both"/>
        <w:rPr>
          <w:lang w:val="uk-UA"/>
        </w:rPr>
      </w:pPr>
      <w:r w:rsidRPr="00C93159">
        <w:rPr>
          <w:lang w:val="uk-UA"/>
        </w:rPr>
        <w:t>для кредитів з величиною заборгованості більше 100 мільйонів гривень також надаються копії всіх наявних фінансових звітів за всі звітні періоди за останні три календарних роки;</w:t>
      </w:r>
    </w:p>
    <w:p w:rsidR="00C93159" w:rsidRPr="00C93159" w:rsidRDefault="00C93159" w:rsidP="00C93159">
      <w:pPr>
        <w:pStyle w:val="a3"/>
        <w:jc w:val="both"/>
        <w:rPr>
          <w:lang w:val="uk-UA"/>
        </w:rPr>
      </w:pPr>
      <w:r w:rsidRPr="00C93159">
        <w:rPr>
          <w:lang w:val="uk-UA"/>
        </w:rPr>
        <w:lastRenderedPageBreak/>
        <w:t>інформація щодо боргового зобов'язання:</w:t>
      </w:r>
    </w:p>
    <w:p w:rsidR="00C93159" w:rsidRPr="00C93159" w:rsidRDefault="00C93159" w:rsidP="00C93159">
      <w:pPr>
        <w:pStyle w:val="a3"/>
        <w:jc w:val="both"/>
        <w:rPr>
          <w:lang w:val="uk-UA"/>
        </w:rPr>
      </w:pPr>
      <w:r w:rsidRPr="00C93159">
        <w:rPr>
          <w:lang w:val="uk-UA"/>
        </w:rPr>
        <w:t>номер балансового рахунку;</w:t>
      </w:r>
    </w:p>
    <w:p w:rsidR="00C93159" w:rsidRPr="00C93159" w:rsidRDefault="00C93159" w:rsidP="00C93159">
      <w:pPr>
        <w:pStyle w:val="a3"/>
        <w:jc w:val="both"/>
        <w:rPr>
          <w:lang w:val="uk-UA"/>
        </w:rPr>
      </w:pPr>
      <w:r w:rsidRPr="00C93159">
        <w:rPr>
          <w:lang w:val="uk-UA"/>
        </w:rPr>
        <w:t>вид кредитного продукту (назва, опис);</w:t>
      </w:r>
    </w:p>
    <w:p w:rsidR="00C93159" w:rsidRPr="00C93159" w:rsidRDefault="00C93159" w:rsidP="00C93159">
      <w:pPr>
        <w:pStyle w:val="a3"/>
        <w:jc w:val="both"/>
        <w:rPr>
          <w:lang w:val="uk-UA"/>
        </w:rPr>
      </w:pPr>
      <w:r w:rsidRPr="00C93159">
        <w:rPr>
          <w:lang w:val="uk-UA"/>
        </w:rPr>
        <w:t>код валюти (довідник НБУ);</w:t>
      </w:r>
    </w:p>
    <w:p w:rsidR="00C93159" w:rsidRPr="00C93159" w:rsidRDefault="00C93159" w:rsidP="00C93159">
      <w:pPr>
        <w:pStyle w:val="a3"/>
        <w:jc w:val="both"/>
        <w:rPr>
          <w:lang w:val="uk-UA"/>
        </w:rPr>
      </w:pPr>
      <w:r w:rsidRPr="00C93159">
        <w:rPr>
          <w:lang w:val="uk-UA"/>
        </w:rPr>
        <w:t>відсоткова ставка;</w:t>
      </w:r>
    </w:p>
    <w:p w:rsidR="00C93159" w:rsidRPr="00C93159" w:rsidRDefault="00C93159" w:rsidP="00C93159">
      <w:pPr>
        <w:pStyle w:val="a3"/>
        <w:jc w:val="both"/>
        <w:rPr>
          <w:lang w:val="uk-UA"/>
        </w:rPr>
      </w:pPr>
      <w:r w:rsidRPr="00C93159">
        <w:rPr>
          <w:lang w:val="uk-UA"/>
        </w:rPr>
        <w:t>розмір комісійних та інших платежів (приведений до ефективної річної відсоткової ставки);</w:t>
      </w:r>
    </w:p>
    <w:p w:rsidR="00C93159" w:rsidRPr="00C93159" w:rsidRDefault="00C93159" w:rsidP="00C93159">
      <w:pPr>
        <w:pStyle w:val="a3"/>
        <w:jc w:val="both"/>
        <w:rPr>
          <w:lang w:val="uk-UA"/>
        </w:rPr>
      </w:pPr>
      <w:r w:rsidRPr="00C93159">
        <w:rPr>
          <w:lang w:val="uk-UA"/>
        </w:rPr>
        <w:t>дата видачі кредиту;</w:t>
      </w:r>
    </w:p>
    <w:p w:rsidR="00C93159" w:rsidRPr="00C93159" w:rsidRDefault="00C93159" w:rsidP="00C93159">
      <w:pPr>
        <w:pStyle w:val="a3"/>
        <w:jc w:val="both"/>
        <w:rPr>
          <w:lang w:val="uk-UA"/>
        </w:rPr>
      </w:pPr>
      <w:r w:rsidRPr="00C93159">
        <w:rPr>
          <w:lang w:val="uk-UA"/>
        </w:rPr>
        <w:t>ознака заміни банку - кредитора протягом останніх дванадцяти місяців (0 - була заміна, 1 - не було заміни);</w:t>
      </w:r>
    </w:p>
    <w:p w:rsidR="00C93159" w:rsidRPr="00C93159" w:rsidRDefault="00C93159" w:rsidP="00C93159">
      <w:pPr>
        <w:pStyle w:val="a3"/>
        <w:jc w:val="both"/>
        <w:rPr>
          <w:lang w:val="uk-UA"/>
        </w:rPr>
      </w:pPr>
      <w:r w:rsidRPr="00C93159">
        <w:rPr>
          <w:lang w:val="uk-UA"/>
        </w:rPr>
        <w:t>балансова вартість основної заборгованості (гривневий еквівалент за офіційним курсом НБУ);</w:t>
      </w:r>
    </w:p>
    <w:p w:rsidR="00C93159" w:rsidRPr="00C93159" w:rsidRDefault="00C93159" w:rsidP="00C93159">
      <w:pPr>
        <w:pStyle w:val="a3"/>
        <w:jc w:val="both"/>
        <w:rPr>
          <w:lang w:val="uk-UA"/>
        </w:rPr>
      </w:pPr>
      <w:r w:rsidRPr="00C93159">
        <w:rPr>
          <w:lang w:val="uk-UA"/>
        </w:rPr>
        <w:t>балансова вартість нарахованих доходів (гривневий еквівалент за офіційним курсом НБУ);</w:t>
      </w:r>
    </w:p>
    <w:p w:rsidR="00C93159" w:rsidRPr="00C93159" w:rsidRDefault="00C93159" w:rsidP="00C93159">
      <w:pPr>
        <w:pStyle w:val="a3"/>
        <w:jc w:val="both"/>
        <w:rPr>
          <w:lang w:val="uk-UA"/>
        </w:rPr>
      </w:pPr>
      <w:r w:rsidRPr="00C93159">
        <w:rPr>
          <w:lang w:val="uk-UA"/>
        </w:rPr>
        <w:t>балансова вартість простроченої заборгованості (гривневий еквівалент за офіційним курсом НБУ);</w:t>
      </w:r>
    </w:p>
    <w:p w:rsidR="00C93159" w:rsidRPr="00C93159" w:rsidRDefault="00C93159" w:rsidP="00C93159">
      <w:pPr>
        <w:pStyle w:val="a3"/>
        <w:jc w:val="both"/>
        <w:rPr>
          <w:lang w:val="uk-UA"/>
        </w:rPr>
      </w:pPr>
      <w:r w:rsidRPr="00C93159">
        <w:rPr>
          <w:lang w:val="uk-UA"/>
        </w:rPr>
        <w:t>балансова вартість прострочених доходів (гривневий еквівалент за офіційним курсом НБУ);</w:t>
      </w:r>
    </w:p>
    <w:p w:rsidR="00C93159" w:rsidRPr="00C93159" w:rsidRDefault="00C93159" w:rsidP="00C93159">
      <w:pPr>
        <w:pStyle w:val="a3"/>
        <w:jc w:val="both"/>
        <w:rPr>
          <w:lang w:val="uk-UA"/>
        </w:rPr>
      </w:pPr>
      <w:r w:rsidRPr="00C93159">
        <w:rPr>
          <w:lang w:val="uk-UA"/>
        </w:rPr>
        <w:t>категорія якості кредиту;</w:t>
      </w:r>
    </w:p>
    <w:p w:rsidR="00C93159" w:rsidRPr="00C93159" w:rsidRDefault="00C93159" w:rsidP="00C93159">
      <w:pPr>
        <w:pStyle w:val="a3"/>
        <w:jc w:val="both"/>
        <w:rPr>
          <w:lang w:val="uk-UA"/>
        </w:rPr>
      </w:pPr>
      <w:r w:rsidRPr="00C93159">
        <w:rPr>
          <w:lang w:val="uk-UA"/>
        </w:rPr>
        <w:t>показник ризику кредиту;</w:t>
      </w:r>
    </w:p>
    <w:p w:rsidR="00C93159" w:rsidRPr="00C93159" w:rsidRDefault="00C93159" w:rsidP="00C93159">
      <w:pPr>
        <w:pStyle w:val="a3"/>
        <w:jc w:val="both"/>
        <w:rPr>
          <w:lang w:val="uk-UA"/>
        </w:rPr>
      </w:pPr>
      <w:r w:rsidRPr="00C93159">
        <w:rPr>
          <w:lang w:val="uk-UA"/>
        </w:rPr>
        <w:t>фактична сума надходжень за основним боргом за останні 12 місяців (гривневий еквівалент за офіційним курсом НБУ);</w:t>
      </w:r>
    </w:p>
    <w:p w:rsidR="00C93159" w:rsidRPr="00C93159" w:rsidRDefault="00C93159" w:rsidP="00C93159">
      <w:pPr>
        <w:pStyle w:val="a3"/>
        <w:jc w:val="both"/>
        <w:rPr>
          <w:lang w:val="uk-UA"/>
        </w:rPr>
      </w:pPr>
      <w:r w:rsidRPr="00C93159">
        <w:rPr>
          <w:lang w:val="uk-UA"/>
        </w:rPr>
        <w:t>фактична сума надходжень за нарахованими доходами за останні 12 місяців (гривневий еквівалент за офіційним курсом НБУ);</w:t>
      </w:r>
    </w:p>
    <w:p w:rsidR="00C93159" w:rsidRPr="00C93159" w:rsidRDefault="00C93159" w:rsidP="00C93159">
      <w:pPr>
        <w:pStyle w:val="a3"/>
        <w:jc w:val="both"/>
        <w:rPr>
          <w:lang w:val="uk-UA"/>
        </w:rPr>
      </w:pPr>
      <w:r w:rsidRPr="00C93159">
        <w:rPr>
          <w:lang w:val="uk-UA"/>
        </w:rPr>
        <w:t>кількість реструктуризацій;</w:t>
      </w:r>
    </w:p>
    <w:p w:rsidR="00C93159" w:rsidRPr="00C93159" w:rsidRDefault="00C93159" w:rsidP="00C93159">
      <w:pPr>
        <w:pStyle w:val="a3"/>
        <w:jc w:val="both"/>
        <w:rPr>
          <w:lang w:val="uk-UA"/>
        </w:rPr>
      </w:pPr>
      <w:r w:rsidRPr="00C93159">
        <w:rPr>
          <w:lang w:val="uk-UA"/>
        </w:rPr>
        <w:t>дата останньої реструктуризації;</w:t>
      </w:r>
    </w:p>
    <w:p w:rsidR="00C93159" w:rsidRPr="00C93159" w:rsidRDefault="00C93159" w:rsidP="00C93159">
      <w:pPr>
        <w:pStyle w:val="a3"/>
        <w:jc w:val="both"/>
        <w:rPr>
          <w:lang w:val="uk-UA"/>
        </w:rPr>
      </w:pPr>
      <w:r w:rsidRPr="00C93159">
        <w:rPr>
          <w:lang w:val="uk-UA"/>
        </w:rPr>
        <w:t>дата останнього здійсненого платежу за кредитом;</w:t>
      </w:r>
    </w:p>
    <w:p w:rsidR="00C93159" w:rsidRPr="00C93159" w:rsidRDefault="00C93159" w:rsidP="00C93159">
      <w:pPr>
        <w:pStyle w:val="a3"/>
        <w:jc w:val="both"/>
        <w:rPr>
          <w:lang w:val="uk-UA"/>
        </w:rPr>
      </w:pPr>
      <w:r w:rsidRPr="00C93159">
        <w:rPr>
          <w:lang w:val="uk-UA"/>
        </w:rPr>
        <w:t>дата виникнення прострочення;</w:t>
      </w:r>
    </w:p>
    <w:p w:rsidR="00C93159" w:rsidRPr="00C93159" w:rsidRDefault="00C93159" w:rsidP="00C93159">
      <w:pPr>
        <w:pStyle w:val="a3"/>
        <w:jc w:val="both"/>
        <w:rPr>
          <w:lang w:val="uk-UA"/>
        </w:rPr>
      </w:pPr>
      <w:r w:rsidRPr="00C93159">
        <w:rPr>
          <w:lang w:val="uk-UA"/>
        </w:rPr>
        <w:t>максимальна кількість днів прострочення;</w:t>
      </w:r>
    </w:p>
    <w:p w:rsidR="00C93159" w:rsidRPr="00C93159" w:rsidRDefault="00C93159" w:rsidP="00C93159">
      <w:pPr>
        <w:pStyle w:val="a3"/>
        <w:jc w:val="both"/>
        <w:rPr>
          <w:lang w:val="uk-UA"/>
        </w:rPr>
      </w:pPr>
      <w:r w:rsidRPr="00C93159">
        <w:rPr>
          <w:lang w:val="uk-UA"/>
        </w:rPr>
        <w:t>план-графік надходжень в погашення кредиту (гривневий еквівалент за офіційним курсом НБУ) - суми в окремих стовпчиках для кожного року, наприклад:</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703"/>
        <w:gridCol w:w="955"/>
        <w:gridCol w:w="956"/>
        <w:gridCol w:w="956"/>
        <w:gridCol w:w="956"/>
        <w:gridCol w:w="956"/>
        <w:gridCol w:w="1246"/>
        <w:gridCol w:w="2805"/>
      </w:tblGrid>
      <w:tr w:rsidR="00C93159" w:rsidRPr="00C93159" w:rsidTr="00C93159">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lastRenderedPageBreak/>
              <w:t>...</w:t>
            </w:r>
          </w:p>
        </w:tc>
        <w:tc>
          <w:tcPr>
            <w:tcW w:w="3150" w:type="pct"/>
            <w:gridSpan w:val="6"/>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t>план-графік надходжень</w:t>
            </w:r>
          </w:p>
        </w:tc>
        <w:tc>
          <w:tcPr>
            <w:tcW w:w="15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t>...</w:t>
            </w:r>
          </w:p>
        </w:tc>
      </w:tr>
      <w:tr w:rsidR="00C93159" w:rsidRPr="00C93159" w:rsidTr="00C9315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5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t>6 міс. 2014</w:t>
            </w:r>
          </w:p>
        </w:tc>
        <w:tc>
          <w:tcPr>
            <w:tcW w:w="5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t>2015</w:t>
            </w:r>
          </w:p>
        </w:tc>
        <w:tc>
          <w:tcPr>
            <w:tcW w:w="5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t>2016</w:t>
            </w:r>
          </w:p>
        </w:tc>
        <w:tc>
          <w:tcPr>
            <w:tcW w:w="5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t>2017</w:t>
            </w:r>
          </w:p>
        </w:tc>
        <w:tc>
          <w:tcPr>
            <w:tcW w:w="5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t>...</w:t>
            </w:r>
          </w:p>
        </w:tc>
        <w:tc>
          <w:tcPr>
            <w:tcW w:w="6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t>рік погашення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r>
      <w:tr w:rsidR="00C93159" w:rsidRPr="00C93159" w:rsidTr="00C93159">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t>...</w:t>
            </w:r>
          </w:p>
        </w:tc>
        <w:tc>
          <w:tcPr>
            <w:tcW w:w="5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t> </w:t>
            </w:r>
          </w:p>
        </w:tc>
        <w:tc>
          <w:tcPr>
            <w:tcW w:w="5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t>9999,9</w:t>
            </w:r>
          </w:p>
        </w:tc>
        <w:tc>
          <w:tcPr>
            <w:tcW w:w="5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t>8888,8</w:t>
            </w:r>
          </w:p>
        </w:tc>
        <w:tc>
          <w:tcPr>
            <w:tcW w:w="5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t>7777,7</w:t>
            </w:r>
          </w:p>
        </w:tc>
        <w:tc>
          <w:tcPr>
            <w:tcW w:w="5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t> </w:t>
            </w:r>
          </w:p>
        </w:tc>
        <w:tc>
          <w:tcPr>
            <w:tcW w:w="6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t>1111,1</w:t>
            </w:r>
          </w:p>
        </w:tc>
        <w:tc>
          <w:tcPr>
            <w:tcW w:w="15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t>...</w:t>
            </w:r>
          </w:p>
        </w:tc>
      </w:tr>
    </w:tbl>
    <w:p w:rsidR="00C93159" w:rsidRPr="00C93159" w:rsidRDefault="00C93159" w:rsidP="00C93159">
      <w:pPr>
        <w:pStyle w:val="a3"/>
        <w:jc w:val="both"/>
        <w:rPr>
          <w:lang w:val="uk-UA"/>
        </w:rPr>
      </w:pPr>
      <w:r w:rsidRPr="00C93159">
        <w:rPr>
          <w:lang w:val="uk-UA"/>
        </w:rPr>
        <w:br w:type="textWrapping" w:clear="all"/>
      </w:r>
    </w:p>
    <w:p w:rsidR="00C93159" w:rsidRPr="00C93159" w:rsidRDefault="00C93159" w:rsidP="00C93159">
      <w:pPr>
        <w:pStyle w:val="a3"/>
        <w:jc w:val="both"/>
        <w:rPr>
          <w:lang w:val="uk-UA"/>
        </w:rPr>
      </w:pPr>
      <w:r w:rsidRPr="00C93159">
        <w:rPr>
          <w:lang w:val="uk-UA"/>
        </w:rPr>
        <w:t>планова дата наступного платежу за основною заборгованістю;</w:t>
      </w:r>
    </w:p>
    <w:p w:rsidR="00C93159" w:rsidRPr="00C93159" w:rsidRDefault="00C93159" w:rsidP="00C93159">
      <w:pPr>
        <w:pStyle w:val="a3"/>
        <w:jc w:val="both"/>
        <w:rPr>
          <w:lang w:val="uk-UA"/>
        </w:rPr>
      </w:pPr>
      <w:r w:rsidRPr="00C93159">
        <w:rPr>
          <w:lang w:val="uk-UA"/>
        </w:rPr>
        <w:t>планова дата наступного платежу за нарахованими доходами;</w:t>
      </w:r>
    </w:p>
    <w:p w:rsidR="00C93159" w:rsidRPr="00C93159" w:rsidRDefault="00C93159" w:rsidP="00C93159">
      <w:pPr>
        <w:pStyle w:val="a3"/>
        <w:jc w:val="both"/>
        <w:rPr>
          <w:lang w:val="uk-UA"/>
        </w:rPr>
      </w:pPr>
      <w:r w:rsidRPr="00C93159">
        <w:rPr>
          <w:lang w:val="uk-UA"/>
        </w:rPr>
        <w:t>планова дата погашення кредиту;</w:t>
      </w:r>
    </w:p>
    <w:p w:rsidR="00C93159" w:rsidRPr="00C93159" w:rsidRDefault="00C93159" w:rsidP="00C93159">
      <w:pPr>
        <w:pStyle w:val="a3"/>
        <w:jc w:val="both"/>
        <w:rPr>
          <w:lang w:val="uk-UA"/>
        </w:rPr>
      </w:pPr>
      <w:r w:rsidRPr="00C93159">
        <w:rPr>
          <w:lang w:val="uk-UA"/>
        </w:rPr>
        <w:t>докладний опис забезпечення (площа та призначення об'єкта нерухомості, його стан, вид обладнання, марка і модель автомобіля, рік випуску, призначення та продуктивність виробничої лінії, вид та обсяг цінних паперів тощо);</w:t>
      </w:r>
    </w:p>
    <w:p w:rsidR="00C93159" w:rsidRPr="00C93159" w:rsidRDefault="00C93159" w:rsidP="00C93159">
      <w:pPr>
        <w:pStyle w:val="a3"/>
        <w:jc w:val="both"/>
        <w:rPr>
          <w:lang w:val="uk-UA"/>
        </w:rPr>
      </w:pPr>
      <w:r w:rsidRPr="00C93159">
        <w:rPr>
          <w:lang w:val="uk-UA"/>
        </w:rPr>
        <w:t>інформація для визначення вартості забезпечення згідно з положеннями цієї Методики відповідно до типу заставлених активів;</w:t>
      </w:r>
    </w:p>
    <w:p w:rsidR="00C93159" w:rsidRPr="00C93159" w:rsidRDefault="00C93159" w:rsidP="00C93159">
      <w:pPr>
        <w:pStyle w:val="a3"/>
        <w:jc w:val="both"/>
        <w:rPr>
          <w:lang w:val="uk-UA"/>
        </w:rPr>
      </w:pPr>
      <w:r w:rsidRPr="00C93159">
        <w:rPr>
          <w:lang w:val="uk-UA"/>
        </w:rPr>
        <w:t>код забезпечення за довідником НБУ S031;</w:t>
      </w:r>
    </w:p>
    <w:p w:rsidR="00C93159" w:rsidRPr="00C93159" w:rsidRDefault="00C93159" w:rsidP="00C93159">
      <w:pPr>
        <w:pStyle w:val="a3"/>
        <w:jc w:val="both"/>
        <w:rPr>
          <w:lang w:val="uk-UA"/>
        </w:rPr>
      </w:pPr>
      <w:r w:rsidRPr="00C93159">
        <w:rPr>
          <w:lang w:val="uk-UA"/>
        </w:rPr>
        <w:t>дата останньої перевірки банком наявності забезпечення;</w:t>
      </w:r>
    </w:p>
    <w:p w:rsidR="00C93159" w:rsidRPr="00C93159" w:rsidRDefault="00C93159" w:rsidP="00C93159">
      <w:pPr>
        <w:pStyle w:val="a3"/>
        <w:jc w:val="both"/>
        <w:rPr>
          <w:lang w:val="uk-UA"/>
        </w:rPr>
      </w:pPr>
      <w:r w:rsidRPr="00C93159">
        <w:rPr>
          <w:lang w:val="uk-UA"/>
        </w:rPr>
        <w:t>балансова вартість забезпечення (гривневий еквівалент за офіційним курсом НБУ);</w:t>
      </w:r>
    </w:p>
    <w:p w:rsidR="00C93159" w:rsidRPr="00C93159" w:rsidRDefault="00C93159" w:rsidP="00C93159">
      <w:pPr>
        <w:pStyle w:val="a3"/>
        <w:jc w:val="both"/>
        <w:rPr>
          <w:lang w:val="uk-UA"/>
        </w:rPr>
      </w:pPr>
      <w:r w:rsidRPr="00C93159">
        <w:rPr>
          <w:lang w:val="uk-UA"/>
        </w:rPr>
        <w:t>дата оцінки суб'єктом оціночної діяльності забезпечення;</w:t>
      </w:r>
    </w:p>
    <w:p w:rsidR="00C93159" w:rsidRPr="00C93159" w:rsidRDefault="00C93159" w:rsidP="00C93159">
      <w:pPr>
        <w:pStyle w:val="a3"/>
        <w:jc w:val="both"/>
        <w:rPr>
          <w:lang w:val="uk-UA"/>
        </w:rPr>
      </w:pPr>
      <w:r w:rsidRPr="00C93159">
        <w:rPr>
          <w:lang w:val="uk-UA"/>
        </w:rPr>
        <w:t>найменування оціночної компанії та її код за ЄДРПОУ / П. І. Б. та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rsidR="00C93159" w:rsidRPr="00C93159" w:rsidRDefault="00C93159" w:rsidP="00C93159">
      <w:pPr>
        <w:pStyle w:val="a3"/>
        <w:jc w:val="both"/>
        <w:rPr>
          <w:lang w:val="uk-UA"/>
        </w:rPr>
      </w:pPr>
      <w:r w:rsidRPr="00C93159">
        <w:rPr>
          <w:lang w:val="uk-UA"/>
        </w:rPr>
        <w:t>оціночна вартість забезпечення (гривневий еквівалент за офіційним курсом НБУ);</w:t>
      </w:r>
    </w:p>
    <w:p w:rsidR="00C93159" w:rsidRPr="00C93159" w:rsidRDefault="00C93159" w:rsidP="00C93159">
      <w:pPr>
        <w:pStyle w:val="a3"/>
        <w:jc w:val="both"/>
        <w:rPr>
          <w:lang w:val="uk-UA"/>
        </w:rPr>
      </w:pPr>
      <w:r w:rsidRPr="00C93159">
        <w:rPr>
          <w:lang w:val="uk-UA"/>
        </w:rPr>
        <w:t>місце розташування застави (область);</w:t>
      </w:r>
    </w:p>
    <w:p w:rsidR="00C93159" w:rsidRPr="00C93159" w:rsidRDefault="00C93159" w:rsidP="00C93159">
      <w:pPr>
        <w:pStyle w:val="a3"/>
        <w:jc w:val="both"/>
        <w:rPr>
          <w:lang w:val="uk-UA"/>
        </w:rPr>
      </w:pPr>
      <w:r w:rsidRPr="00C93159">
        <w:rPr>
          <w:lang w:val="uk-UA"/>
        </w:rPr>
        <w:t>місце розташування застави (район);</w:t>
      </w:r>
    </w:p>
    <w:p w:rsidR="00C93159" w:rsidRPr="00C93159" w:rsidRDefault="00C93159" w:rsidP="00C93159">
      <w:pPr>
        <w:pStyle w:val="a3"/>
        <w:jc w:val="both"/>
        <w:rPr>
          <w:lang w:val="uk-UA"/>
        </w:rPr>
      </w:pPr>
      <w:r w:rsidRPr="00C93159">
        <w:rPr>
          <w:lang w:val="uk-UA"/>
        </w:rPr>
        <w:t>місце розташування застави (населений пункт);</w:t>
      </w:r>
    </w:p>
    <w:p w:rsidR="00C93159" w:rsidRPr="00C93159" w:rsidRDefault="00C93159" w:rsidP="00C93159">
      <w:pPr>
        <w:pStyle w:val="a3"/>
        <w:jc w:val="both"/>
        <w:rPr>
          <w:lang w:val="uk-UA"/>
        </w:rPr>
      </w:pPr>
      <w:r w:rsidRPr="00C93159">
        <w:rPr>
          <w:lang w:val="uk-UA"/>
        </w:rPr>
        <w:t>місце розташування застави (вулиця, будинок, корпус, квартира);</w:t>
      </w:r>
    </w:p>
    <w:p w:rsidR="00C93159" w:rsidRPr="00C93159" w:rsidRDefault="00C93159" w:rsidP="00C93159">
      <w:pPr>
        <w:pStyle w:val="a3"/>
        <w:jc w:val="both"/>
        <w:rPr>
          <w:lang w:val="uk-UA"/>
        </w:rPr>
      </w:pPr>
      <w:r w:rsidRPr="00C93159">
        <w:rPr>
          <w:lang w:val="uk-UA"/>
        </w:rPr>
        <w:t>повнота комплекту документів у кредитній справі:</w:t>
      </w:r>
    </w:p>
    <w:p w:rsidR="00C93159" w:rsidRPr="00C93159" w:rsidRDefault="00C93159" w:rsidP="00C93159">
      <w:pPr>
        <w:pStyle w:val="a3"/>
        <w:jc w:val="both"/>
        <w:rPr>
          <w:lang w:val="uk-UA"/>
        </w:rPr>
      </w:pPr>
      <w:r w:rsidRPr="00C93159">
        <w:rPr>
          <w:lang w:val="uk-UA"/>
        </w:rPr>
        <w:t>0 - у кредитній справі наявні всі документи;</w:t>
      </w:r>
    </w:p>
    <w:p w:rsidR="00C93159" w:rsidRPr="00C93159" w:rsidRDefault="00C93159" w:rsidP="00C93159">
      <w:pPr>
        <w:pStyle w:val="a3"/>
        <w:jc w:val="both"/>
        <w:rPr>
          <w:lang w:val="uk-UA"/>
        </w:rPr>
      </w:pPr>
      <w:r w:rsidRPr="00C93159">
        <w:rPr>
          <w:lang w:val="uk-UA"/>
        </w:rPr>
        <w:lastRenderedPageBreak/>
        <w:t>1 - відсутні деякі документи (крім договору про надання кредиту та договорів забезпечення виконання зобов'язань);</w:t>
      </w:r>
    </w:p>
    <w:p w:rsidR="00C93159" w:rsidRPr="00C93159" w:rsidRDefault="00C93159" w:rsidP="00C93159">
      <w:pPr>
        <w:pStyle w:val="a3"/>
        <w:jc w:val="both"/>
        <w:rPr>
          <w:lang w:val="uk-UA"/>
        </w:rPr>
      </w:pPr>
      <w:r w:rsidRPr="00C93159">
        <w:rPr>
          <w:lang w:val="uk-UA"/>
        </w:rPr>
        <w:t>2 - відсутні договори / наявні нотаріально засвідчені копії договорів про надання кредиту, застави (іпотеки) з можливістю їх відновлення;</w:t>
      </w:r>
    </w:p>
    <w:p w:rsidR="00C93159" w:rsidRPr="00C93159" w:rsidRDefault="00C93159" w:rsidP="00C93159">
      <w:pPr>
        <w:pStyle w:val="a3"/>
        <w:jc w:val="both"/>
        <w:rPr>
          <w:lang w:val="uk-UA"/>
        </w:rPr>
      </w:pPr>
      <w:r w:rsidRPr="00C93159">
        <w:rPr>
          <w:lang w:val="uk-UA"/>
        </w:rPr>
        <w:t>3 - відсутні договори про надання кредиту, застави (іпотеки) без абсолютної можливості їх відновлення (судом визнано відсутність права вимоги за кредитним договором);</w:t>
      </w:r>
    </w:p>
    <w:p w:rsidR="00C93159" w:rsidRPr="00C93159" w:rsidRDefault="00C93159" w:rsidP="00C93159">
      <w:pPr>
        <w:pStyle w:val="a3"/>
        <w:jc w:val="both"/>
        <w:rPr>
          <w:lang w:val="uk-UA"/>
        </w:rPr>
      </w:pPr>
      <w:r w:rsidRPr="00C93159">
        <w:rPr>
          <w:lang w:val="uk-UA"/>
        </w:rPr>
        <w:t>ознака відсутності боржника:</w:t>
      </w:r>
    </w:p>
    <w:p w:rsidR="00C93159" w:rsidRPr="00C93159" w:rsidRDefault="00C93159" w:rsidP="00C93159">
      <w:pPr>
        <w:pStyle w:val="a3"/>
        <w:jc w:val="both"/>
        <w:rPr>
          <w:lang w:val="uk-UA"/>
        </w:rPr>
      </w:pPr>
      <w:r w:rsidRPr="00C93159">
        <w:rPr>
          <w:lang w:val="uk-UA"/>
        </w:rPr>
        <w:t>0 - боржник або поручитель існує;</w:t>
      </w:r>
    </w:p>
    <w:p w:rsidR="00C93159" w:rsidRPr="00C93159" w:rsidRDefault="00C93159" w:rsidP="00C93159">
      <w:pPr>
        <w:pStyle w:val="a3"/>
        <w:jc w:val="both"/>
        <w:rPr>
          <w:lang w:val="uk-UA"/>
        </w:rPr>
      </w:pPr>
      <w:r w:rsidRPr="00C93159">
        <w:rPr>
          <w:lang w:val="uk-UA"/>
        </w:rPr>
        <w:t>1 - боржник припинений як юридична особа, оголошений у розшук або помер, строк оформлення правонаступництва (спадщини) минув;</w:t>
      </w:r>
    </w:p>
    <w:p w:rsidR="00C93159" w:rsidRPr="00C93159" w:rsidRDefault="00C93159" w:rsidP="00C93159">
      <w:pPr>
        <w:pStyle w:val="a3"/>
        <w:jc w:val="both"/>
        <w:rPr>
          <w:lang w:val="uk-UA"/>
        </w:rPr>
      </w:pPr>
      <w:r w:rsidRPr="00C93159">
        <w:rPr>
          <w:lang w:val="uk-UA"/>
        </w:rPr>
        <w:t>2 - боржник та поручителі припинені як юридичні особи або померли, але є правонаступники (спадкоємці);</w:t>
      </w:r>
    </w:p>
    <w:p w:rsidR="00C93159" w:rsidRPr="00C93159" w:rsidRDefault="00C93159" w:rsidP="00C93159">
      <w:pPr>
        <w:pStyle w:val="a3"/>
        <w:jc w:val="both"/>
        <w:rPr>
          <w:lang w:val="uk-UA"/>
        </w:rPr>
      </w:pPr>
      <w:r w:rsidRPr="00C93159">
        <w:rPr>
          <w:lang w:val="uk-UA"/>
        </w:rPr>
        <w:t>3 - боржник та поручителі знаходяться у населених пунктах, на території яких органи державної влади тимчасово не здійснюють свої повноваження;</w:t>
      </w:r>
    </w:p>
    <w:p w:rsidR="00C93159" w:rsidRPr="00C93159" w:rsidRDefault="00C93159" w:rsidP="00C93159">
      <w:pPr>
        <w:pStyle w:val="a3"/>
        <w:jc w:val="both"/>
        <w:rPr>
          <w:lang w:val="uk-UA"/>
        </w:rPr>
      </w:pPr>
      <w:r w:rsidRPr="00C93159">
        <w:rPr>
          <w:lang w:val="uk-UA"/>
        </w:rPr>
        <w:t>4 - боржник та поручителі знаходяться у населених пунктах, що розташовані на лінії зіткнення;</w:t>
      </w:r>
    </w:p>
    <w:p w:rsidR="00C93159" w:rsidRPr="00C93159" w:rsidRDefault="00C93159" w:rsidP="00C93159">
      <w:pPr>
        <w:pStyle w:val="a3"/>
        <w:jc w:val="both"/>
        <w:rPr>
          <w:lang w:val="uk-UA"/>
        </w:rPr>
      </w:pPr>
      <w:r w:rsidRPr="00C93159">
        <w:rPr>
          <w:lang w:val="uk-UA"/>
        </w:rPr>
        <w:t>5 - боржник та поручителі знаходяться на тимчасово окупованій території;</w:t>
      </w:r>
    </w:p>
    <w:p w:rsidR="00C93159" w:rsidRPr="00C93159" w:rsidRDefault="00C93159" w:rsidP="00C93159">
      <w:pPr>
        <w:pStyle w:val="a3"/>
        <w:jc w:val="both"/>
        <w:rPr>
          <w:lang w:val="uk-UA"/>
        </w:rPr>
      </w:pPr>
      <w:r w:rsidRPr="00C93159">
        <w:rPr>
          <w:lang w:val="uk-UA"/>
        </w:rPr>
        <w:t>ознака банкрутства боржника:</w:t>
      </w:r>
    </w:p>
    <w:p w:rsidR="00C93159" w:rsidRPr="00C93159" w:rsidRDefault="00C93159" w:rsidP="00C93159">
      <w:pPr>
        <w:pStyle w:val="a3"/>
        <w:jc w:val="both"/>
        <w:rPr>
          <w:lang w:val="uk-UA"/>
        </w:rPr>
      </w:pPr>
      <w:r w:rsidRPr="00C93159">
        <w:rPr>
          <w:lang w:val="uk-UA"/>
        </w:rPr>
        <w:t>0 - боржника визнано банкрутом і банк не є єдиним забезпеченим кредитором порівняного або більшого впливу, який має права на активи боржника/поручителя (за винятком активів, що забезпечують виконання зобов'язань);</w:t>
      </w:r>
    </w:p>
    <w:p w:rsidR="00C93159" w:rsidRPr="00C93159" w:rsidRDefault="00C93159" w:rsidP="00C93159">
      <w:pPr>
        <w:pStyle w:val="a3"/>
        <w:jc w:val="both"/>
        <w:rPr>
          <w:lang w:val="uk-UA"/>
        </w:rPr>
      </w:pPr>
      <w:r w:rsidRPr="00C93159">
        <w:rPr>
          <w:lang w:val="uk-UA"/>
        </w:rPr>
        <w:t>1 - боржника не визнано банкрутом (або банк - єдиний кредитор максимального впливу, який має права на активи боржника/поручителя);</w:t>
      </w:r>
    </w:p>
    <w:p w:rsidR="00C93159" w:rsidRPr="00C93159" w:rsidRDefault="00C93159" w:rsidP="00C93159">
      <w:pPr>
        <w:pStyle w:val="a3"/>
        <w:jc w:val="both"/>
        <w:rPr>
          <w:lang w:val="uk-UA"/>
        </w:rPr>
      </w:pPr>
      <w:r w:rsidRPr="00C93159">
        <w:rPr>
          <w:lang w:val="uk-UA"/>
        </w:rPr>
        <w:t>ознака наявності арешту / заборони на відчуження забезпечення / активів боржника/поручителя:</w:t>
      </w:r>
    </w:p>
    <w:p w:rsidR="00C93159" w:rsidRPr="00C93159" w:rsidRDefault="00C93159" w:rsidP="00C93159">
      <w:pPr>
        <w:pStyle w:val="a3"/>
        <w:jc w:val="both"/>
        <w:rPr>
          <w:lang w:val="uk-UA"/>
        </w:rPr>
      </w:pPr>
      <w:r w:rsidRPr="00C93159">
        <w:rPr>
          <w:lang w:val="uk-UA"/>
        </w:rPr>
        <w:t>0 - відсутні арешт та заборони;</w:t>
      </w:r>
    </w:p>
    <w:p w:rsidR="00C93159" w:rsidRPr="00C93159" w:rsidRDefault="00C93159" w:rsidP="00C93159">
      <w:pPr>
        <w:pStyle w:val="a3"/>
        <w:jc w:val="both"/>
        <w:rPr>
          <w:lang w:val="uk-UA"/>
        </w:rPr>
      </w:pPr>
      <w:r w:rsidRPr="00C93159">
        <w:rPr>
          <w:lang w:val="uk-UA"/>
        </w:rPr>
        <w:t>1 - на забезпечення накладено арешт (у процесі кримінального провадження, податковий арешт тощо) одним / або більше суб'єктами, що не є банком-кредитором;</w:t>
      </w:r>
    </w:p>
    <w:p w:rsidR="00C93159" w:rsidRPr="00C93159" w:rsidRDefault="00C93159" w:rsidP="00C93159">
      <w:pPr>
        <w:pStyle w:val="a3"/>
        <w:jc w:val="both"/>
        <w:rPr>
          <w:lang w:val="uk-UA"/>
        </w:rPr>
      </w:pPr>
      <w:r w:rsidRPr="00C93159">
        <w:rPr>
          <w:lang w:val="uk-UA"/>
        </w:rPr>
        <w:t>2 - тимчасовий мораторій на примусове відчуження об'єкта, встановлений законом;</w:t>
      </w:r>
    </w:p>
    <w:p w:rsidR="00C93159" w:rsidRPr="00C93159" w:rsidRDefault="00C93159" w:rsidP="00C93159">
      <w:pPr>
        <w:pStyle w:val="a3"/>
        <w:jc w:val="both"/>
        <w:rPr>
          <w:lang w:val="uk-UA"/>
        </w:rPr>
      </w:pPr>
      <w:r w:rsidRPr="00C93159">
        <w:rPr>
          <w:lang w:val="uk-UA"/>
        </w:rPr>
        <w:t>ознака внесення у державні реєстри інформації про обтяження предмета застави (забезпечення):</w:t>
      </w:r>
    </w:p>
    <w:p w:rsidR="00C93159" w:rsidRPr="00C93159" w:rsidRDefault="00C93159" w:rsidP="00C93159">
      <w:pPr>
        <w:pStyle w:val="a3"/>
        <w:jc w:val="both"/>
        <w:rPr>
          <w:lang w:val="uk-UA"/>
        </w:rPr>
      </w:pPr>
      <w:r w:rsidRPr="00C93159">
        <w:rPr>
          <w:lang w:val="uk-UA"/>
        </w:rPr>
        <w:t>0 - є коректна інформація у державних реєстрах;</w:t>
      </w:r>
    </w:p>
    <w:p w:rsidR="00C93159" w:rsidRPr="00C93159" w:rsidRDefault="00C93159" w:rsidP="00C93159">
      <w:pPr>
        <w:pStyle w:val="a3"/>
        <w:jc w:val="both"/>
        <w:rPr>
          <w:lang w:val="uk-UA"/>
        </w:rPr>
      </w:pPr>
      <w:r w:rsidRPr="00C93159">
        <w:rPr>
          <w:lang w:val="uk-UA"/>
        </w:rPr>
        <w:t>1 - відсутня інформація у державних реєстрах;</w:t>
      </w:r>
    </w:p>
    <w:p w:rsidR="00C93159" w:rsidRPr="00C93159" w:rsidRDefault="00C93159" w:rsidP="00C93159">
      <w:pPr>
        <w:pStyle w:val="a3"/>
        <w:jc w:val="both"/>
        <w:rPr>
          <w:lang w:val="uk-UA"/>
        </w:rPr>
      </w:pPr>
      <w:r w:rsidRPr="00C93159">
        <w:rPr>
          <w:lang w:val="uk-UA"/>
        </w:rPr>
        <w:lastRenderedPageBreak/>
        <w:t>ознака, що банк є єдиним заставодержателем або заставодержателем першої черги:</w:t>
      </w:r>
    </w:p>
    <w:p w:rsidR="00C93159" w:rsidRPr="00C93159" w:rsidRDefault="00C93159" w:rsidP="00C93159">
      <w:pPr>
        <w:pStyle w:val="a3"/>
        <w:jc w:val="both"/>
        <w:rPr>
          <w:lang w:val="uk-UA"/>
        </w:rPr>
      </w:pPr>
      <w:r w:rsidRPr="00C93159">
        <w:rPr>
          <w:lang w:val="uk-UA"/>
        </w:rPr>
        <w:t>0 - заставодержатель першої черги / єдиний заставодержатель;</w:t>
      </w:r>
    </w:p>
    <w:p w:rsidR="00C93159" w:rsidRPr="00C93159" w:rsidRDefault="00C93159" w:rsidP="00C93159">
      <w:pPr>
        <w:pStyle w:val="a3"/>
        <w:jc w:val="both"/>
        <w:rPr>
          <w:lang w:val="uk-UA"/>
        </w:rPr>
      </w:pPr>
      <w:r w:rsidRPr="00C93159">
        <w:rPr>
          <w:lang w:val="uk-UA"/>
        </w:rPr>
        <w:t>1 - заставодержатель не першої черги, що підтверджено відповідними правочинами (у тому числі договорами);</w:t>
      </w:r>
    </w:p>
    <w:p w:rsidR="00C93159" w:rsidRPr="00C93159" w:rsidRDefault="00C93159" w:rsidP="00C93159">
      <w:pPr>
        <w:pStyle w:val="a3"/>
        <w:jc w:val="both"/>
        <w:rPr>
          <w:lang w:val="uk-UA"/>
        </w:rPr>
      </w:pPr>
      <w:r w:rsidRPr="00C93159">
        <w:rPr>
          <w:lang w:val="uk-UA"/>
        </w:rPr>
        <w:t>фізична наявність та доступність забезпечення:</w:t>
      </w:r>
    </w:p>
    <w:p w:rsidR="00C93159" w:rsidRPr="00C93159" w:rsidRDefault="00C93159" w:rsidP="00C93159">
      <w:pPr>
        <w:pStyle w:val="a3"/>
        <w:jc w:val="both"/>
        <w:rPr>
          <w:lang w:val="uk-UA"/>
        </w:rPr>
      </w:pPr>
      <w:r w:rsidRPr="00C93159">
        <w:rPr>
          <w:lang w:val="uk-UA"/>
        </w:rPr>
        <w:t>0 - застава наявна і доступна для стягнення;</w:t>
      </w:r>
    </w:p>
    <w:p w:rsidR="00C93159" w:rsidRPr="00C93159" w:rsidRDefault="00C93159" w:rsidP="00C93159">
      <w:pPr>
        <w:pStyle w:val="a3"/>
        <w:jc w:val="both"/>
        <w:rPr>
          <w:lang w:val="uk-UA"/>
        </w:rPr>
      </w:pPr>
      <w:r w:rsidRPr="00C93159">
        <w:rPr>
          <w:lang w:val="uk-UA"/>
        </w:rPr>
        <w:t>1 - застава наявна, але не доступна, або наявна частково, або знаходиться у населених пунктах, на території яких органи державної влади тимчасово не здійснюють свої повноваження;</w:t>
      </w:r>
    </w:p>
    <w:p w:rsidR="00C93159" w:rsidRPr="00C93159" w:rsidRDefault="00C93159" w:rsidP="00C93159">
      <w:pPr>
        <w:pStyle w:val="a3"/>
        <w:jc w:val="both"/>
        <w:rPr>
          <w:lang w:val="uk-UA"/>
        </w:rPr>
      </w:pPr>
      <w:r w:rsidRPr="00C93159">
        <w:rPr>
          <w:lang w:val="uk-UA"/>
        </w:rPr>
        <w:t>2 - застава наявна, але знаходиться на тимчасово окупованій території;</w:t>
      </w:r>
    </w:p>
    <w:p w:rsidR="00C93159" w:rsidRPr="00C93159" w:rsidRDefault="00C93159" w:rsidP="00C93159">
      <w:pPr>
        <w:pStyle w:val="a3"/>
        <w:jc w:val="both"/>
        <w:rPr>
          <w:lang w:val="uk-UA"/>
        </w:rPr>
      </w:pPr>
      <w:r w:rsidRPr="00C93159">
        <w:rPr>
          <w:lang w:val="uk-UA"/>
        </w:rPr>
        <w:t>3 - застава фактично відсутня на момент оцінки, проте була в наявності в момент отримання / обслуговування заборгованості за кредитним зобов'язанням;</w:t>
      </w:r>
    </w:p>
    <w:p w:rsidR="00C93159" w:rsidRPr="00C93159" w:rsidRDefault="00C93159" w:rsidP="00C93159">
      <w:pPr>
        <w:pStyle w:val="a3"/>
        <w:jc w:val="both"/>
        <w:rPr>
          <w:lang w:val="uk-UA"/>
        </w:rPr>
      </w:pPr>
      <w:r w:rsidRPr="00C93159">
        <w:rPr>
          <w:lang w:val="uk-UA"/>
        </w:rPr>
        <w:t>стадія претензійно-позовної роботи:</w:t>
      </w:r>
    </w:p>
    <w:p w:rsidR="00C93159" w:rsidRPr="00C93159" w:rsidRDefault="00C93159" w:rsidP="00C93159">
      <w:pPr>
        <w:pStyle w:val="a3"/>
        <w:jc w:val="both"/>
        <w:rPr>
          <w:lang w:val="uk-UA"/>
        </w:rPr>
      </w:pPr>
      <w:r w:rsidRPr="00C93159">
        <w:rPr>
          <w:lang w:val="uk-UA"/>
        </w:rPr>
        <w:t>0 - немає предмета спору;</w:t>
      </w:r>
    </w:p>
    <w:p w:rsidR="00C93159" w:rsidRPr="00C93159" w:rsidRDefault="00C93159" w:rsidP="00C93159">
      <w:pPr>
        <w:pStyle w:val="a3"/>
        <w:jc w:val="both"/>
        <w:rPr>
          <w:lang w:val="uk-UA"/>
        </w:rPr>
      </w:pPr>
      <w:r w:rsidRPr="00C93159">
        <w:rPr>
          <w:lang w:val="uk-UA"/>
        </w:rPr>
        <w:t>1 - досудова робота, претензія;</w:t>
      </w:r>
    </w:p>
    <w:p w:rsidR="00C93159" w:rsidRPr="00C93159" w:rsidRDefault="00C93159" w:rsidP="00C93159">
      <w:pPr>
        <w:pStyle w:val="a3"/>
        <w:jc w:val="both"/>
        <w:rPr>
          <w:lang w:val="uk-UA"/>
        </w:rPr>
      </w:pPr>
      <w:r w:rsidRPr="00C93159">
        <w:rPr>
          <w:lang w:val="uk-UA"/>
        </w:rPr>
        <w:t>2 - позов у першій інстанції;</w:t>
      </w:r>
    </w:p>
    <w:p w:rsidR="00C93159" w:rsidRPr="00C93159" w:rsidRDefault="00C93159" w:rsidP="00C93159">
      <w:pPr>
        <w:pStyle w:val="a3"/>
        <w:jc w:val="both"/>
        <w:rPr>
          <w:lang w:val="uk-UA"/>
        </w:rPr>
      </w:pPr>
      <w:r w:rsidRPr="00C93159">
        <w:rPr>
          <w:lang w:val="uk-UA"/>
        </w:rPr>
        <w:t>3 - позов в апеляції;</w:t>
      </w:r>
    </w:p>
    <w:p w:rsidR="00C93159" w:rsidRPr="00C93159" w:rsidRDefault="00C93159" w:rsidP="00C93159">
      <w:pPr>
        <w:pStyle w:val="a3"/>
        <w:jc w:val="both"/>
        <w:rPr>
          <w:lang w:val="uk-UA"/>
        </w:rPr>
      </w:pPr>
      <w:r w:rsidRPr="00C93159">
        <w:rPr>
          <w:lang w:val="uk-UA"/>
        </w:rPr>
        <w:t>4 - позов в касації;</w:t>
      </w:r>
    </w:p>
    <w:p w:rsidR="00C93159" w:rsidRPr="00C93159" w:rsidRDefault="00C93159" w:rsidP="00C93159">
      <w:pPr>
        <w:pStyle w:val="a3"/>
        <w:jc w:val="both"/>
        <w:rPr>
          <w:lang w:val="uk-UA"/>
        </w:rPr>
      </w:pPr>
      <w:r w:rsidRPr="00C93159">
        <w:rPr>
          <w:lang w:val="uk-UA"/>
        </w:rPr>
        <w:t>5 - органи державної виконавчої служби або приватні виконавці, договірне (позасудове) стягнення, заява про відкриття виконавчого провадження;</w:t>
      </w:r>
    </w:p>
    <w:p w:rsidR="00C93159" w:rsidRPr="00C93159" w:rsidRDefault="00C93159" w:rsidP="00C93159">
      <w:pPr>
        <w:pStyle w:val="a3"/>
        <w:jc w:val="both"/>
        <w:rPr>
          <w:lang w:val="uk-UA"/>
        </w:rPr>
      </w:pPr>
      <w:r w:rsidRPr="00C93159">
        <w:rPr>
          <w:lang w:val="uk-UA"/>
        </w:rPr>
        <w:t>результат останнього судового розгляду:</w:t>
      </w:r>
    </w:p>
    <w:p w:rsidR="00C93159" w:rsidRPr="00C93159" w:rsidRDefault="00C93159" w:rsidP="00C93159">
      <w:pPr>
        <w:pStyle w:val="a3"/>
        <w:jc w:val="both"/>
        <w:rPr>
          <w:lang w:val="uk-UA"/>
        </w:rPr>
      </w:pPr>
      <w:r w:rsidRPr="00C93159">
        <w:rPr>
          <w:lang w:val="uk-UA"/>
        </w:rPr>
        <w:t>0 - на користь банку або немає спору;</w:t>
      </w:r>
    </w:p>
    <w:p w:rsidR="00C93159" w:rsidRPr="00C93159" w:rsidRDefault="00C93159" w:rsidP="00C93159">
      <w:pPr>
        <w:pStyle w:val="a3"/>
        <w:jc w:val="both"/>
        <w:rPr>
          <w:lang w:val="uk-UA"/>
        </w:rPr>
      </w:pPr>
      <w:r w:rsidRPr="00C93159">
        <w:rPr>
          <w:lang w:val="uk-UA"/>
        </w:rPr>
        <w:t>1 - на користь позичальника:</w:t>
      </w:r>
    </w:p>
    <w:p w:rsidR="00C93159" w:rsidRPr="00C93159" w:rsidRDefault="00C93159" w:rsidP="00C93159">
      <w:pPr>
        <w:pStyle w:val="a3"/>
        <w:jc w:val="both"/>
        <w:rPr>
          <w:lang w:val="uk-UA"/>
        </w:rPr>
      </w:pPr>
      <w:r w:rsidRPr="00C93159">
        <w:rPr>
          <w:lang w:val="uk-UA"/>
        </w:rPr>
        <w:t>1.1 - перша інстанція;</w:t>
      </w:r>
    </w:p>
    <w:p w:rsidR="00C93159" w:rsidRPr="00C93159" w:rsidRDefault="00C93159" w:rsidP="00C93159">
      <w:pPr>
        <w:pStyle w:val="a3"/>
        <w:jc w:val="both"/>
        <w:rPr>
          <w:lang w:val="uk-UA"/>
        </w:rPr>
      </w:pPr>
      <w:r w:rsidRPr="00C93159">
        <w:rPr>
          <w:lang w:val="uk-UA"/>
        </w:rPr>
        <w:t>1.2 - апеляція;</w:t>
      </w:r>
    </w:p>
    <w:p w:rsidR="00C93159" w:rsidRPr="00C93159" w:rsidRDefault="00C93159" w:rsidP="00C93159">
      <w:pPr>
        <w:pStyle w:val="a3"/>
        <w:jc w:val="both"/>
        <w:rPr>
          <w:lang w:val="uk-UA"/>
        </w:rPr>
      </w:pPr>
      <w:r w:rsidRPr="00C93159">
        <w:rPr>
          <w:lang w:val="uk-UA"/>
        </w:rPr>
        <w:t>1.3 - касація;</w:t>
      </w:r>
    </w:p>
    <w:p w:rsidR="00C93159" w:rsidRPr="00C93159" w:rsidRDefault="00C93159" w:rsidP="00C93159">
      <w:pPr>
        <w:pStyle w:val="a3"/>
        <w:jc w:val="both"/>
        <w:rPr>
          <w:lang w:val="uk-UA"/>
        </w:rPr>
      </w:pPr>
      <w:r w:rsidRPr="00C93159">
        <w:rPr>
          <w:lang w:val="uk-UA"/>
        </w:rPr>
        <w:t>код за ЄДРПОУ / реєстраційний номер облікової картки платника податку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 власника активів, переданих у забезпечення, поручителя, гаранта;</w:t>
      </w:r>
    </w:p>
    <w:p w:rsidR="00C93159" w:rsidRPr="00C93159" w:rsidRDefault="00C93159" w:rsidP="00C93159">
      <w:pPr>
        <w:pStyle w:val="a3"/>
        <w:jc w:val="both"/>
        <w:rPr>
          <w:lang w:val="uk-UA"/>
        </w:rPr>
      </w:pPr>
      <w:r w:rsidRPr="00C93159">
        <w:rPr>
          <w:lang w:val="uk-UA"/>
        </w:rPr>
        <w:lastRenderedPageBreak/>
        <w:t>ознака заміни забезпечення за кредитом протягом останніх дванадцяти місяців:</w:t>
      </w:r>
    </w:p>
    <w:p w:rsidR="00C93159" w:rsidRPr="00C93159" w:rsidRDefault="00C93159" w:rsidP="00C93159">
      <w:pPr>
        <w:pStyle w:val="a3"/>
        <w:jc w:val="both"/>
        <w:rPr>
          <w:lang w:val="uk-UA"/>
        </w:rPr>
      </w:pPr>
      <w:r w:rsidRPr="00C93159">
        <w:rPr>
          <w:lang w:val="uk-UA"/>
        </w:rPr>
        <w:t>0 - не було заміни або була заміна на більш ліквідне забезпечення;</w:t>
      </w:r>
    </w:p>
    <w:p w:rsidR="00C93159" w:rsidRPr="00C93159" w:rsidRDefault="00C93159" w:rsidP="00C93159">
      <w:pPr>
        <w:pStyle w:val="a3"/>
        <w:jc w:val="both"/>
        <w:rPr>
          <w:lang w:val="uk-UA"/>
        </w:rPr>
      </w:pPr>
      <w:r w:rsidRPr="00C93159">
        <w:rPr>
          <w:lang w:val="uk-UA"/>
        </w:rPr>
        <w:t>1 - була заміна на менш ліквідне забезпечення або меншої вартості;</w:t>
      </w:r>
    </w:p>
    <w:p w:rsidR="00C93159" w:rsidRPr="00C93159" w:rsidRDefault="00C93159" w:rsidP="00C93159">
      <w:pPr>
        <w:pStyle w:val="a3"/>
        <w:jc w:val="both"/>
        <w:rPr>
          <w:lang w:val="uk-UA"/>
        </w:rPr>
      </w:pPr>
      <w:r w:rsidRPr="00C93159">
        <w:rPr>
          <w:lang w:val="uk-UA"/>
        </w:rPr>
        <w:t>фізична наявність забезпечення:</w:t>
      </w:r>
    </w:p>
    <w:p w:rsidR="00C93159" w:rsidRPr="00C93159" w:rsidRDefault="00C93159" w:rsidP="00C93159">
      <w:pPr>
        <w:pStyle w:val="a3"/>
        <w:jc w:val="both"/>
        <w:rPr>
          <w:lang w:val="uk-UA"/>
        </w:rPr>
      </w:pPr>
      <w:r w:rsidRPr="00C93159">
        <w:rPr>
          <w:lang w:val="uk-UA"/>
        </w:rPr>
        <w:t>0 - застава наявна і доступна для стягнення;</w:t>
      </w:r>
    </w:p>
    <w:p w:rsidR="00C93159" w:rsidRPr="00C93159" w:rsidRDefault="00C93159" w:rsidP="00C93159">
      <w:pPr>
        <w:pStyle w:val="a3"/>
        <w:jc w:val="both"/>
        <w:rPr>
          <w:lang w:val="uk-UA"/>
        </w:rPr>
      </w:pPr>
      <w:r w:rsidRPr="00C93159">
        <w:rPr>
          <w:lang w:val="uk-UA"/>
        </w:rPr>
        <w:t>1 - застава наявна, але не доступна або наявна частково;</w:t>
      </w:r>
    </w:p>
    <w:p w:rsidR="00C93159" w:rsidRPr="00C93159" w:rsidRDefault="00C93159" w:rsidP="00C93159">
      <w:pPr>
        <w:pStyle w:val="a3"/>
        <w:jc w:val="both"/>
        <w:rPr>
          <w:lang w:val="uk-UA"/>
        </w:rPr>
      </w:pPr>
      <w:r w:rsidRPr="00C93159">
        <w:rPr>
          <w:lang w:val="uk-UA"/>
        </w:rPr>
        <w:t>2 - застава фактично відсутня;</w:t>
      </w:r>
    </w:p>
    <w:p w:rsidR="00C93159" w:rsidRPr="00C93159" w:rsidRDefault="00C93159" w:rsidP="00C93159">
      <w:pPr>
        <w:pStyle w:val="a3"/>
        <w:jc w:val="both"/>
        <w:rPr>
          <w:lang w:val="uk-UA"/>
        </w:rPr>
      </w:pPr>
      <w:r w:rsidRPr="00C93159">
        <w:rPr>
          <w:lang w:val="uk-UA"/>
        </w:rPr>
        <w:t>код за ЄДРПОУ /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заставодержателя, якому передано майнові права за кредитними зобов'язаннями у забезпечення за зобов'язаннями банку (за кредитом рефінансування тощо);</w:t>
      </w:r>
    </w:p>
    <w:p w:rsidR="00C93159" w:rsidRPr="00C93159" w:rsidRDefault="00C93159" w:rsidP="00C93159">
      <w:pPr>
        <w:pStyle w:val="a3"/>
        <w:jc w:val="both"/>
        <w:rPr>
          <w:lang w:val="uk-UA"/>
        </w:rPr>
      </w:pPr>
      <w:r w:rsidRPr="00C93159">
        <w:rPr>
          <w:lang w:val="uk-UA"/>
        </w:rPr>
        <w:t>дата накладення арешту / заборони на відчуження майнових прав на кредит;</w:t>
      </w:r>
    </w:p>
    <w:p w:rsidR="00C93159" w:rsidRPr="00C93159" w:rsidRDefault="00C93159" w:rsidP="00C93159">
      <w:pPr>
        <w:pStyle w:val="a3"/>
        <w:jc w:val="both"/>
        <w:rPr>
          <w:lang w:val="uk-UA"/>
        </w:rPr>
      </w:pPr>
      <w:r w:rsidRPr="00C93159">
        <w:rPr>
          <w:lang w:val="uk-UA"/>
        </w:rPr>
        <w:t>примітки (коментарі щодо наведених даних);</w:t>
      </w:r>
    </w:p>
    <w:p w:rsidR="00C93159" w:rsidRPr="00C93159" w:rsidRDefault="00C93159" w:rsidP="00C93159">
      <w:pPr>
        <w:pStyle w:val="a3"/>
        <w:jc w:val="both"/>
        <w:rPr>
          <w:lang w:val="uk-UA"/>
        </w:rPr>
      </w:pPr>
      <w:r w:rsidRPr="00C93159">
        <w:rPr>
          <w:lang w:val="uk-UA"/>
        </w:rPr>
        <w:t>інше (додаткова інформація, що є важливою для оцінки вартості кредиту);</w:t>
      </w:r>
    </w:p>
    <w:p w:rsidR="00C93159" w:rsidRPr="00C93159" w:rsidRDefault="00C93159" w:rsidP="00C93159">
      <w:pPr>
        <w:pStyle w:val="a3"/>
        <w:jc w:val="both"/>
        <w:rPr>
          <w:lang w:val="uk-UA"/>
        </w:rPr>
      </w:pPr>
      <w:r w:rsidRPr="00C93159">
        <w:rPr>
          <w:lang w:val="uk-UA"/>
        </w:rPr>
        <w:t>2) за групою "інвестиції в асоційовані та дочірні компанії" та за групою "цінні папери в портфелю банку" у частині акцій:</w:t>
      </w:r>
    </w:p>
    <w:p w:rsidR="00C93159" w:rsidRPr="00C93159" w:rsidRDefault="00C93159" w:rsidP="00C93159">
      <w:pPr>
        <w:pStyle w:val="a3"/>
        <w:jc w:val="both"/>
        <w:rPr>
          <w:lang w:val="uk-UA"/>
        </w:rPr>
      </w:pPr>
      <w:r w:rsidRPr="00C93159">
        <w:rPr>
          <w:lang w:val="uk-UA"/>
        </w:rPr>
        <w:t>найменування емітента / асоційованої або дочірньої компанії;</w:t>
      </w:r>
    </w:p>
    <w:p w:rsidR="00C93159" w:rsidRPr="00C93159" w:rsidRDefault="00C93159" w:rsidP="00C93159">
      <w:pPr>
        <w:pStyle w:val="a3"/>
        <w:jc w:val="both"/>
        <w:rPr>
          <w:lang w:val="uk-UA"/>
        </w:rPr>
      </w:pPr>
      <w:r w:rsidRPr="00C93159">
        <w:rPr>
          <w:lang w:val="uk-UA"/>
        </w:rPr>
        <w:t>код за ЄДРПОУ;</w:t>
      </w:r>
    </w:p>
    <w:p w:rsidR="00C93159" w:rsidRPr="00C93159" w:rsidRDefault="00C93159" w:rsidP="00C93159">
      <w:pPr>
        <w:pStyle w:val="a3"/>
        <w:jc w:val="both"/>
        <w:rPr>
          <w:lang w:val="uk-UA"/>
        </w:rPr>
      </w:pPr>
      <w:r w:rsidRPr="00C93159">
        <w:rPr>
          <w:lang w:val="uk-UA"/>
        </w:rPr>
        <w:t>розмір належної банку, віднесеному до категорії проблемних або неплатоспроможних, частки у статутному капіталі юридичної особи;</w:t>
      </w:r>
    </w:p>
    <w:p w:rsidR="00C93159" w:rsidRPr="00C93159" w:rsidRDefault="00C93159" w:rsidP="00C93159">
      <w:pPr>
        <w:pStyle w:val="a3"/>
        <w:jc w:val="both"/>
        <w:rPr>
          <w:lang w:val="uk-UA"/>
        </w:rPr>
      </w:pPr>
      <w:r w:rsidRPr="00C93159">
        <w:rPr>
          <w:lang w:val="uk-UA"/>
        </w:rPr>
        <w:t>статутний капітал дочірньої компанії;</w:t>
      </w:r>
    </w:p>
    <w:p w:rsidR="00C93159" w:rsidRPr="00C93159" w:rsidRDefault="00C93159" w:rsidP="00C93159">
      <w:pPr>
        <w:pStyle w:val="a3"/>
        <w:jc w:val="both"/>
        <w:rPr>
          <w:lang w:val="uk-UA"/>
        </w:rPr>
      </w:pPr>
      <w:r w:rsidRPr="00C93159">
        <w:rPr>
          <w:lang w:val="uk-UA"/>
        </w:rPr>
        <w:t>вид діяльності компанії (КВЕД);</w:t>
      </w:r>
    </w:p>
    <w:p w:rsidR="00C93159" w:rsidRPr="00C93159" w:rsidRDefault="00C93159" w:rsidP="00C93159">
      <w:pPr>
        <w:pStyle w:val="a3"/>
        <w:jc w:val="both"/>
        <w:rPr>
          <w:lang w:val="uk-UA"/>
        </w:rPr>
      </w:pPr>
      <w:r w:rsidRPr="00C93159">
        <w:rPr>
          <w:lang w:val="uk-UA"/>
        </w:rPr>
        <w:t>звітна дата, на яку наведено балансові дані емітента/компанії;</w:t>
      </w:r>
    </w:p>
    <w:p w:rsidR="00C93159" w:rsidRPr="00C93159" w:rsidRDefault="00C93159" w:rsidP="00C93159">
      <w:pPr>
        <w:pStyle w:val="a3"/>
        <w:jc w:val="both"/>
        <w:rPr>
          <w:lang w:val="uk-UA"/>
        </w:rPr>
      </w:pPr>
      <w:r w:rsidRPr="00C93159">
        <w:rPr>
          <w:lang w:val="uk-UA"/>
        </w:rPr>
        <w:t>чисельність персоналу компанії на останню звітну дату;</w:t>
      </w:r>
    </w:p>
    <w:p w:rsidR="00C93159" w:rsidRPr="00C93159" w:rsidRDefault="00C93159" w:rsidP="00C93159">
      <w:pPr>
        <w:pStyle w:val="a3"/>
        <w:jc w:val="both"/>
        <w:rPr>
          <w:lang w:val="uk-UA"/>
        </w:rPr>
      </w:pPr>
      <w:r w:rsidRPr="00C93159">
        <w:rPr>
          <w:lang w:val="uk-UA"/>
        </w:rPr>
        <w:t>чистий дохід від основної діяльності компанії за останній рік (або на останню дату, приведена до річного значення);</w:t>
      </w:r>
    </w:p>
    <w:p w:rsidR="00C93159" w:rsidRPr="00C93159" w:rsidRDefault="00C93159" w:rsidP="00C93159">
      <w:pPr>
        <w:pStyle w:val="a3"/>
        <w:jc w:val="both"/>
        <w:rPr>
          <w:lang w:val="uk-UA"/>
        </w:rPr>
      </w:pPr>
      <w:r w:rsidRPr="00C93159">
        <w:rPr>
          <w:lang w:val="uk-UA"/>
        </w:rPr>
        <w:t>EBITDA за останній рік (або на останню дату, приведена до річного значення);</w:t>
      </w:r>
    </w:p>
    <w:p w:rsidR="00C93159" w:rsidRPr="00C93159" w:rsidRDefault="00C93159" w:rsidP="00C93159">
      <w:pPr>
        <w:pStyle w:val="a3"/>
        <w:jc w:val="both"/>
        <w:rPr>
          <w:lang w:val="uk-UA"/>
        </w:rPr>
      </w:pPr>
      <w:r w:rsidRPr="00C93159">
        <w:rPr>
          <w:lang w:val="uk-UA"/>
        </w:rPr>
        <w:t>балансова вартість активів компанії на останню дату;</w:t>
      </w:r>
    </w:p>
    <w:p w:rsidR="00C93159" w:rsidRPr="00C93159" w:rsidRDefault="00C93159" w:rsidP="00C93159">
      <w:pPr>
        <w:pStyle w:val="a3"/>
        <w:jc w:val="both"/>
        <w:rPr>
          <w:lang w:val="uk-UA"/>
        </w:rPr>
      </w:pPr>
      <w:r w:rsidRPr="00C93159">
        <w:rPr>
          <w:lang w:val="uk-UA"/>
        </w:rPr>
        <w:lastRenderedPageBreak/>
        <w:t>балансова вартість основних засобів компанії на останню дату;</w:t>
      </w:r>
    </w:p>
    <w:p w:rsidR="00C93159" w:rsidRPr="00C93159" w:rsidRDefault="00C93159" w:rsidP="00C93159">
      <w:pPr>
        <w:pStyle w:val="a3"/>
        <w:jc w:val="both"/>
        <w:rPr>
          <w:lang w:val="uk-UA"/>
        </w:rPr>
      </w:pPr>
      <w:r w:rsidRPr="00C93159">
        <w:rPr>
          <w:lang w:val="uk-UA"/>
        </w:rPr>
        <w:t>дані про характер та ступінь асоціації компанії з банком, віднесеним до категорії проблемних або неплатоспроможних;</w:t>
      </w:r>
    </w:p>
    <w:p w:rsidR="00C93159" w:rsidRPr="00C93159" w:rsidRDefault="00C93159" w:rsidP="00C93159">
      <w:pPr>
        <w:pStyle w:val="a3"/>
        <w:jc w:val="both"/>
        <w:rPr>
          <w:lang w:val="uk-UA"/>
        </w:rPr>
      </w:pPr>
      <w:r w:rsidRPr="00C93159">
        <w:rPr>
          <w:lang w:val="uk-UA"/>
        </w:rPr>
        <w:t>котирування акцій на організованих ринках;</w:t>
      </w:r>
    </w:p>
    <w:p w:rsidR="00C93159" w:rsidRPr="00C93159" w:rsidRDefault="00C93159" w:rsidP="00C93159">
      <w:pPr>
        <w:pStyle w:val="a3"/>
        <w:jc w:val="both"/>
        <w:rPr>
          <w:lang w:val="uk-UA"/>
        </w:rPr>
      </w:pPr>
      <w:r w:rsidRPr="00C93159">
        <w:rPr>
          <w:lang w:val="uk-UA"/>
        </w:rPr>
        <w:t>ринкова вартість ліквідного майна, що є на балансі (оцінка суб'єкта оціночної діяльності);</w:t>
      </w:r>
    </w:p>
    <w:p w:rsidR="00C93159" w:rsidRPr="00C93159" w:rsidRDefault="00C93159" w:rsidP="00C93159">
      <w:pPr>
        <w:pStyle w:val="a3"/>
        <w:jc w:val="both"/>
        <w:rPr>
          <w:lang w:val="uk-UA"/>
        </w:rPr>
      </w:pPr>
      <w:r w:rsidRPr="00C93159">
        <w:rPr>
          <w:lang w:val="uk-UA"/>
        </w:rPr>
        <w:t>дата оцінки ліквідного майна компанії суб'єктом оціночної діяльності;</w:t>
      </w:r>
    </w:p>
    <w:p w:rsidR="00C93159" w:rsidRPr="00C93159" w:rsidRDefault="00C93159" w:rsidP="00C93159">
      <w:pPr>
        <w:pStyle w:val="a3"/>
        <w:jc w:val="both"/>
        <w:rPr>
          <w:lang w:val="uk-UA"/>
        </w:rPr>
      </w:pPr>
      <w:r w:rsidRPr="00C93159">
        <w:rPr>
          <w:lang w:val="uk-UA"/>
        </w:rPr>
        <w:t>найменування та код за ЄДРПОУ /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суб'єкта оціночної діяльності;</w:t>
      </w:r>
    </w:p>
    <w:p w:rsidR="00C93159" w:rsidRPr="00C93159" w:rsidRDefault="00C93159" w:rsidP="00C93159">
      <w:pPr>
        <w:pStyle w:val="a3"/>
        <w:jc w:val="both"/>
        <w:rPr>
          <w:lang w:val="uk-UA"/>
        </w:rPr>
      </w:pPr>
      <w:r w:rsidRPr="00C93159">
        <w:rPr>
          <w:lang w:val="uk-UA"/>
        </w:rPr>
        <w:t>3) за групами "інвестиційна нерухомість" та "основні засоби та нематеріальні активи" в частині нерухомого майна:</w:t>
      </w:r>
    </w:p>
    <w:p w:rsidR="00C93159" w:rsidRPr="00C93159" w:rsidRDefault="00C93159" w:rsidP="00C93159">
      <w:pPr>
        <w:pStyle w:val="a3"/>
        <w:jc w:val="both"/>
        <w:rPr>
          <w:lang w:val="uk-UA"/>
        </w:rPr>
      </w:pPr>
      <w:r w:rsidRPr="00C93159">
        <w:rPr>
          <w:lang w:val="uk-UA"/>
        </w:rPr>
        <w:t>цільове призначення об'єкта нерухомості (адміністративно-офісне, складське, виробниче, торговельне, житлове тощо);</w:t>
      </w:r>
    </w:p>
    <w:p w:rsidR="00C93159" w:rsidRPr="00C93159" w:rsidRDefault="00C93159" w:rsidP="00C93159">
      <w:pPr>
        <w:pStyle w:val="a3"/>
        <w:jc w:val="both"/>
        <w:rPr>
          <w:lang w:val="uk-UA"/>
        </w:rPr>
      </w:pPr>
      <w:r w:rsidRPr="00C93159">
        <w:rPr>
          <w:lang w:val="uk-UA"/>
        </w:rPr>
        <w:t>поточне використання;</w:t>
      </w:r>
    </w:p>
    <w:p w:rsidR="00C93159" w:rsidRPr="00C93159" w:rsidRDefault="00C93159" w:rsidP="00C93159">
      <w:pPr>
        <w:pStyle w:val="a3"/>
        <w:jc w:val="both"/>
        <w:rPr>
          <w:lang w:val="uk-UA"/>
        </w:rPr>
      </w:pPr>
      <w:r w:rsidRPr="00C93159">
        <w:rPr>
          <w:lang w:val="uk-UA"/>
        </w:rPr>
        <w:t>загальна площа приміщень;</w:t>
      </w:r>
    </w:p>
    <w:p w:rsidR="00C93159" w:rsidRPr="00C93159" w:rsidRDefault="00C93159" w:rsidP="00C93159">
      <w:pPr>
        <w:pStyle w:val="a3"/>
        <w:jc w:val="both"/>
        <w:rPr>
          <w:lang w:val="uk-UA"/>
        </w:rPr>
      </w:pPr>
      <w:r w:rsidRPr="00C93159">
        <w:rPr>
          <w:lang w:val="uk-UA"/>
        </w:rPr>
        <w:t>площа земельної ділянки;</w:t>
      </w:r>
    </w:p>
    <w:p w:rsidR="00C93159" w:rsidRPr="00C93159" w:rsidRDefault="00C93159" w:rsidP="00C93159">
      <w:pPr>
        <w:pStyle w:val="a3"/>
        <w:jc w:val="both"/>
        <w:rPr>
          <w:lang w:val="uk-UA"/>
        </w:rPr>
      </w:pPr>
      <w:r w:rsidRPr="00C93159">
        <w:rPr>
          <w:lang w:val="uk-UA"/>
        </w:rPr>
        <w:t>місце розташування (область);</w:t>
      </w:r>
    </w:p>
    <w:p w:rsidR="00C93159" w:rsidRPr="00C93159" w:rsidRDefault="00C93159" w:rsidP="00C93159">
      <w:pPr>
        <w:pStyle w:val="a3"/>
        <w:jc w:val="both"/>
        <w:rPr>
          <w:lang w:val="uk-UA"/>
        </w:rPr>
      </w:pPr>
      <w:r w:rsidRPr="00C93159">
        <w:rPr>
          <w:lang w:val="uk-UA"/>
        </w:rPr>
        <w:t>місце розташування (район);</w:t>
      </w:r>
    </w:p>
    <w:p w:rsidR="00C93159" w:rsidRPr="00C93159" w:rsidRDefault="00C93159" w:rsidP="00C93159">
      <w:pPr>
        <w:pStyle w:val="a3"/>
        <w:jc w:val="both"/>
        <w:rPr>
          <w:lang w:val="uk-UA"/>
        </w:rPr>
      </w:pPr>
      <w:r w:rsidRPr="00C93159">
        <w:rPr>
          <w:lang w:val="uk-UA"/>
        </w:rPr>
        <w:t>місце розташування (населений пункт);</w:t>
      </w:r>
    </w:p>
    <w:p w:rsidR="00C93159" w:rsidRPr="00C93159" w:rsidRDefault="00C93159" w:rsidP="00C93159">
      <w:pPr>
        <w:pStyle w:val="a3"/>
        <w:jc w:val="both"/>
        <w:rPr>
          <w:lang w:val="uk-UA"/>
        </w:rPr>
      </w:pPr>
      <w:r w:rsidRPr="00C93159">
        <w:rPr>
          <w:lang w:val="uk-UA"/>
        </w:rPr>
        <w:t>місце розташування (вулиця, будинок, корпус, квартира);</w:t>
      </w:r>
    </w:p>
    <w:p w:rsidR="00C93159" w:rsidRPr="00C93159" w:rsidRDefault="00C93159" w:rsidP="00C93159">
      <w:pPr>
        <w:pStyle w:val="a3"/>
        <w:jc w:val="both"/>
        <w:rPr>
          <w:lang w:val="uk-UA"/>
        </w:rPr>
      </w:pPr>
      <w:r w:rsidRPr="00C93159">
        <w:rPr>
          <w:lang w:val="uk-UA"/>
        </w:rPr>
        <w:t>дата оцінки (за наявності);</w:t>
      </w:r>
    </w:p>
    <w:p w:rsidR="00C93159" w:rsidRPr="00C93159" w:rsidRDefault="00C93159" w:rsidP="00C93159">
      <w:pPr>
        <w:pStyle w:val="a3"/>
        <w:jc w:val="both"/>
        <w:rPr>
          <w:lang w:val="uk-UA"/>
        </w:rPr>
      </w:pPr>
      <w:r w:rsidRPr="00C93159">
        <w:rPr>
          <w:lang w:val="uk-UA"/>
        </w:rPr>
        <w:t>ринкова вартість (оцінка суб'єкта оціночної діяльності);</w:t>
      </w:r>
    </w:p>
    <w:p w:rsidR="00C93159" w:rsidRPr="00C93159" w:rsidRDefault="00C93159" w:rsidP="00C93159">
      <w:pPr>
        <w:pStyle w:val="a3"/>
        <w:jc w:val="both"/>
        <w:rPr>
          <w:lang w:val="uk-UA"/>
        </w:rPr>
      </w:pPr>
      <w:r w:rsidRPr="00C93159">
        <w:rPr>
          <w:lang w:val="uk-UA"/>
        </w:rPr>
        <w:t>дата оцінки ліквідного майна компанії суб'єктом оціночної діяльності;</w:t>
      </w:r>
    </w:p>
    <w:p w:rsidR="00C93159" w:rsidRPr="00C93159" w:rsidRDefault="00C93159" w:rsidP="00C93159">
      <w:pPr>
        <w:pStyle w:val="a3"/>
        <w:jc w:val="both"/>
        <w:rPr>
          <w:lang w:val="uk-UA"/>
        </w:rPr>
      </w:pPr>
      <w:r w:rsidRPr="00C93159">
        <w:rPr>
          <w:lang w:val="uk-UA"/>
        </w:rPr>
        <w:t>найменування та код за ЄДРПОУ /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суб'єкта оціночної діяльності;</w:t>
      </w:r>
    </w:p>
    <w:p w:rsidR="00C93159" w:rsidRPr="00C93159" w:rsidRDefault="00C93159" w:rsidP="00C93159">
      <w:pPr>
        <w:pStyle w:val="a3"/>
        <w:jc w:val="both"/>
        <w:rPr>
          <w:lang w:val="uk-UA"/>
        </w:rPr>
      </w:pPr>
      <w:r w:rsidRPr="00C93159">
        <w:rPr>
          <w:lang w:val="uk-UA"/>
        </w:rPr>
        <w:t>4) за групою "основні засоби та нематеріальні активи" в частині обладнання, транспортних засобів, технологічного обладнання та іншого рухомого майна:</w:t>
      </w:r>
    </w:p>
    <w:p w:rsidR="00C93159" w:rsidRPr="00C93159" w:rsidRDefault="00C93159" w:rsidP="00C93159">
      <w:pPr>
        <w:pStyle w:val="a3"/>
        <w:jc w:val="both"/>
        <w:rPr>
          <w:lang w:val="uk-UA"/>
        </w:rPr>
      </w:pPr>
      <w:r w:rsidRPr="00C93159">
        <w:rPr>
          <w:lang w:val="uk-UA"/>
        </w:rPr>
        <w:lastRenderedPageBreak/>
        <w:t>група основних засобів (відповідно до даних бухгалтерського обліку);</w:t>
      </w:r>
    </w:p>
    <w:p w:rsidR="00C93159" w:rsidRPr="00C93159" w:rsidRDefault="00C93159" w:rsidP="00C93159">
      <w:pPr>
        <w:pStyle w:val="a3"/>
        <w:jc w:val="both"/>
        <w:rPr>
          <w:lang w:val="uk-UA"/>
        </w:rPr>
      </w:pPr>
      <w:r w:rsidRPr="00C93159">
        <w:rPr>
          <w:lang w:val="uk-UA"/>
        </w:rPr>
        <w:t>назва/марка/модель;</w:t>
      </w:r>
    </w:p>
    <w:p w:rsidR="00C93159" w:rsidRPr="00C93159" w:rsidRDefault="00C93159" w:rsidP="00C93159">
      <w:pPr>
        <w:pStyle w:val="a3"/>
        <w:jc w:val="both"/>
        <w:rPr>
          <w:lang w:val="uk-UA"/>
        </w:rPr>
      </w:pPr>
      <w:r w:rsidRPr="00C93159">
        <w:rPr>
          <w:lang w:val="uk-UA"/>
        </w:rPr>
        <w:t>рік випуску;</w:t>
      </w:r>
    </w:p>
    <w:p w:rsidR="00C93159" w:rsidRPr="00C93159" w:rsidRDefault="00C93159" w:rsidP="00C93159">
      <w:pPr>
        <w:pStyle w:val="a3"/>
        <w:jc w:val="both"/>
        <w:rPr>
          <w:lang w:val="uk-UA"/>
        </w:rPr>
      </w:pPr>
      <w:r w:rsidRPr="00C93159">
        <w:rPr>
          <w:lang w:val="uk-UA"/>
        </w:rPr>
        <w:t>дата введення в експлуатацію;</w:t>
      </w:r>
    </w:p>
    <w:p w:rsidR="00C93159" w:rsidRPr="00C93159" w:rsidRDefault="00C93159" w:rsidP="00C93159">
      <w:pPr>
        <w:pStyle w:val="a3"/>
        <w:jc w:val="both"/>
        <w:rPr>
          <w:lang w:val="uk-UA"/>
        </w:rPr>
      </w:pPr>
      <w:r w:rsidRPr="00C93159">
        <w:rPr>
          <w:lang w:val="uk-UA"/>
        </w:rPr>
        <w:t>первісна балансова вартість;</w:t>
      </w:r>
    </w:p>
    <w:p w:rsidR="00C93159" w:rsidRPr="00C93159" w:rsidRDefault="00C93159" w:rsidP="00C93159">
      <w:pPr>
        <w:pStyle w:val="a3"/>
        <w:jc w:val="both"/>
        <w:rPr>
          <w:lang w:val="uk-UA"/>
        </w:rPr>
      </w:pPr>
      <w:r w:rsidRPr="00C93159">
        <w:rPr>
          <w:lang w:val="uk-UA"/>
        </w:rPr>
        <w:t>залишкова балансова вартість;</w:t>
      </w:r>
    </w:p>
    <w:p w:rsidR="00C93159" w:rsidRPr="00C93159" w:rsidRDefault="00C93159" w:rsidP="00C93159">
      <w:pPr>
        <w:pStyle w:val="a3"/>
        <w:jc w:val="both"/>
        <w:rPr>
          <w:lang w:val="uk-UA"/>
        </w:rPr>
      </w:pPr>
      <w:r w:rsidRPr="00C93159">
        <w:rPr>
          <w:lang w:val="uk-UA"/>
        </w:rPr>
        <w:t>основна технічна характеристика;</w:t>
      </w:r>
    </w:p>
    <w:p w:rsidR="00C93159" w:rsidRPr="00C93159" w:rsidRDefault="00C93159" w:rsidP="00C93159">
      <w:pPr>
        <w:pStyle w:val="a3"/>
        <w:jc w:val="both"/>
        <w:rPr>
          <w:lang w:val="uk-UA"/>
        </w:rPr>
      </w:pPr>
      <w:r w:rsidRPr="00C93159">
        <w:rPr>
          <w:lang w:val="uk-UA"/>
        </w:rPr>
        <w:t>функціональний стан (добрий, задовільний, умовно-придатний, незадовільний);</w:t>
      </w:r>
    </w:p>
    <w:p w:rsidR="00C93159" w:rsidRPr="00C93159" w:rsidRDefault="00C93159" w:rsidP="00C93159">
      <w:pPr>
        <w:pStyle w:val="a3"/>
        <w:jc w:val="both"/>
        <w:rPr>
          <w:lang w:val="uk-UA"/>
        </w:rPr>
      </w:pPr>
      <w:r w:rsidRPr="00C93159">
        <w:rPr>
          <w:lang w:val="uk-UA"/>
        </w:rPr>
        <w:t>дата оцінки суб'єктом оціночної діяльності;</w:t>
      </w:r>
    </w:p>
    <w:p w:rsidR="00C93159" w:rsidRPr="00C93159" w:rsidRDefault="00C93159" w:rsidP="00C93159">
      <w:pPr>
        <w:pStyle w:val="a3"/>
        <w:jc w:val="both"/>
        <w:rPr>
          <w:lang w:val="uk-UA"/>
        </w:rPr>
      </w:pPr>
      <w:r w:rsidRPr="00C93159">
        <w:rPr>
          <w:lang w:val="uk-UA"/>
        </w:rPr>
        <w:t>оціночна вартість;</w:t>
      </w:r>
    </w:p>
    <w:p w:rsidR="00C93159" w:rsidRPr="00C93159" w:rsidRDefault="00C93159" w:rsidP="00C93159">
      <w:pPr>
        <w:pStyle w:val="a3"/>
        <w:jc w:val="both"/>
        <w:rPr>
          <w:lang w:val="uk-UA"/>
        </w:rPr>
      </w:pPr>
      <w:r w:rsidRPr="00C93159">
        <w:rPr>
          <w:lang w:val="uk-UA"/>
        </w:rPr>
        <w:t>додатково для автотранспорту:</w:t>
      </w:r>
    </w:p>
    <w:p w:rsidR="00C93159" w:rsidRPr="00C93159" w:rsidRDefault="00C93159" w:rsidP="00C93159">
      <w:pPr>
        <w:pStyle w:val="a3"/>
        <w:jc w:val="both"/>
        <w:rPr>
          <w:lang w:val="uk-UA"/>
        </w:rPr>
      </w:pPr>
      <w:r w:rsidRPr="00C93159">
        <w:rPr>
          <w:lang w:val="uk-UA"/>
        </w:rPr>
        <w:t>марка;</w:t>
      </w:r>
    </w:p>
    <w:p w:rsidR="00C93159" w:rsidRPr="00C93159" w:rsidRDefault="00C93159" w:rsidP="00C93159">
      <w:pPr>
        <w:pStyle w:val="a3"/>
        <w:jc w:val="both"/>
        <w:rPr>
          <w:lang w:val="uk-UA"/>
        </w:rPr>
      </w:pPr>
      <w:r w:rsidRPr="00C93159">
        <w:rPr>
          <w:lang w:val="uk-UA"/>
        </w:rPr>
        <w:t>модель;</w:t>
      </w:r>
    </w:p>
    <w:p w:rsidR="00C93159" w:rsidRPr="00C93159" w:rsidRDefault="00C93159" w:rsidP="00C93159">
      <w:pPr>
        <w:pStyle w:val="a3"/>
        <w:jc w:val="both"/>
        <w:rPr>
          <w:lang w:val="uk-UA"/>
        </w:rPr>
      </w:pPr>
      <w:r w:rsidRPr="00C93159">
        <w:rPr>
          <w:lang w:val="uk-UA"/>
        </w:rPr>
        <w:t>рік випуску;</w:t>
      </w:r>
    </w:p>
    <w:p w:rsidR="00C93159" w:rsidRPr="00C93159" w:rsidRDefault="00C93159" w:rsidP="00C93159">
      <w:pPr>
        <w:pStyle w:val="a3"/>
        <w:jc w:val="both"/>
        <w:rPr>
          <w:lang w:val="uk-UA"/>
        </w:rPr>
      </w:pPr>
      <w:r w:rsidRPr="00C93159">
        <w:rPr>
          <w:lang w:val="uk-UA"/>
        </w:rPr>
        <w:t>VIN;</w:t>
      </w:r>
    </w:p>
    <w:p w:rsidR="00C93159" w:rsidRPr="00C93159" w:rsidRDefault="00C93159" w:rsidP="00C93159">
      <w:pPr>
        <w:pStyle w:val="a3"/>
        <w:jc w:val="both"/>
        <w:rPr>
          <w:lang w:val="uk-UA"/>
        </w:rPr>
      </w:pPr>
      <w:r w:rsidRPr="00C93159">
        <w:rPr>
          <w:lang w:val="uk-UA"/>
        </w:rPr>
        <w:t>номер кузова;</w:t>
      </w:r>
    </w:p>
    <w:p w:rsidR="00C93159" w:rsidRPr="00C93159" w:rsidRDefault="00C93159" w:rsidP="00C93159">
      <w:pPr>
        <w:pStyle w:val="a3"/>
        <w:jc w:val="both"/>
        <w:rPr>
          <w:lang w:val="uk-UA"/>
        </w:rPr>
      </w:pPr>
      <w:r w:rsidRPr="00C93159">
        <w:rPr>
          <w:lang w:val="uk-UA"/>
        </w:rPr>
        <w:t>пробіг;</w:t>
      </w:r>
    </w:p>
    <w:p w:rsidR="00C93159" w:rsidRPr="00C93159" w:rsidRDefault="00C93159" w:rsidP="00C93159">
      <w:pPr>
        <w:pStyle w:val="a3"/>
        <w:jc w:val="both"/>
        <w:rPr>
          <w:lang w:val="uk-UA"/>
        </w:rPr>
      </w:pPr>
      <w:r w:rsidRPr="00C93159">
        <w:rPr>
          <w:lang w:val="uk-UA"/>
        </w:rPr>
        <w:t>вид палива;</w:t>
      </w:r>
    </w:p>
    <w:p w:rsidR="00C93159" w:rsidRPr="00C93159" w:rsidRDefault="00C93159" w:rsidP="00C93159">
      <w:pPr>
        <w:pStyle w:val="a3"/>
        <w:jc w:val="both"/>
        <w:rPr>
          <w:lang w:val="uk-UA"/>
        </w:rPr>
      </w:pPr>
      <w:r w:rsidRPr="00C93159">
        <w:rPr>
          <w:lang w:val="uk-UA"/>
        </w:rPr>
        <w:t>потужність двигуна;</w:t>
      </w:r>
    </w:p>
    <w:p w:rsidR="00C93159" w:rsidRPr="00C93159" w:rsidRDefault="00C93159" w:rsidP="00C93159">
      <w:pPr>
        <w:pStyle w:val="a3"/>
        <w:jc w:val="both"/>
        <w:rPr>
          <w:lang w:val="uk-UA"/>
        </w:rPr>
      </w:pPr>
      <w:r w:rsidRPr="00C93159">
        <w:rPr>
          <w:lang w:val="uk-UA"/>
        </w:rPr>
        <w:t>тип коробки перемикання передач;</w:t>
      </w:r>
    </w:p>
    <w:p w:rsidR="00C93159" w:rsidRPr="00C93159" w:rsidRDefault="00C93159" w:rsidP="00C93159">
      <w:pPr>
        <w:pStyle w:val="a3"/>
        <w:jc w:val="both"/>
        <w:rPr>
          <w:lang w:val="uk-UA"/>
        </w:rPr>
      </w:pPr>
      <w:r w:rsidRPr="00C93159">
        <w:rPr>
          <w:lang w:val="uk-UA"/>
        </w:rPr>
        <w:t>тип приводу;</w:t>
      </w:r>
    </w:p>
    <w:p w:rsidR="00C93159" w:rsidRPr="00C93159" w:rsidRDefault="00C93159" w:rsidP="00C93159">
      <w:pPr>
        <w:pStyle w:val="a3"/>
        <w:jc w:val="both"/>
        <w:rPr>
          <w:lang w:val="uk-UA"/>
        </w:rPr>
      </w:pPr>
      <w:r w:rsidRPr="00C93159">
        <w:rPr>
          <w:lang w:val="uk-UA"/>
        </w:rPr>
        <w:t>тип кузова;</w:t>
      </w:r>
    </w:p>
    <w:p w:rsidR="00C93159" w:rsidRPr="00C93159" w:rsidRDefault="00C93159" w:rsidP="00C93159">
      <w:pPr>
        <w:pStyle w:val="a3"/>
        <w:jc w:val="both"/>
        <w:rPr>
          <w:lang w:val="uk-UA"/>
        </w:rPr>
      </w:pPr>
      <w:r w:rsidRPr="00C93159">
        <w:rPr>
          <w:lang w:val="uk-UA"/>
        </w:rPr>
        <w:t>коментарі;</w:t>
      </w:r>
    </w:p>
    <w:p w:rsidR="00C93159" w:rsidRPr="00C93159" w:rsidRDefault="00C93159" w:rsidP="00C93159">
      <w:pPr>
        <w:pStyle w:val="a3"/>
        <w:jc w:val="both"/>
        <w:rPr>
          <w:lang w:val="uk-UA"/>
        </w:rPr>
      </w:pPr>
      <w:r w:rsidRPr="00C93159">
        <w:rPr>
          <w:lang w:val="uk-UA"/>
        </w:rPr>
        <w:t>додатково для технологічного обладнання:</w:t>
      </w:r>
    </w:p>
    <w:p w:rsidR="00C93159" w:rsidRPr="00C93159" w:rsidRDefault="00C93159" w:rsidP="00C93159">
      <w:pPr>
        <w:pStyle w:val="a3"/>
        <w:jc w:val="both"/>
        <w:rPr>
          <w:lang w:val="uk-UA"/>
        </w:rPr>
      </w:pPr>
      <w:r w:rsidRPr="00C93159">
        <w:rPr>
          <w:lang w:val="uk-UA"/>
        </w:rPr>
        <w:t>виробник;</w:t>
      </w:r>
    </w:p>
    <w:p w:rsidR="00C93159" w:rsidRPr="00C93159" w:rsidRDefault="00C93159" w:rsidP="00C93159">
      <w:pPr>
        <w:pStyle w:val="a3"/>
        <w:jc w:val="both"/>
        <w:rPr>
          <w:lang w:val="uk-UA"/>
        </w:rPr>
      </w:pPr>
      <w:r w:rsidRPr="00C93159">
        <w:rPr>
          <w:lang w:val="uk-UA"/>
        </w:rPr>
        <w:t>марка;</w:t>
      </w:r>
    </w:p>
    <w:p w:rsidR="00C93159" w:rsidRPr="00C93159" w:rsidRDefault="00C93159" w:rsidP="00C93159">
      <w:pPr>
        <w:pStyle w:val="a3"/>
        <w:jc w:val="both"/>
        <w:rPr>
          <w:lang w:val="uk-UA"/>
        </w:rPr>
      </w:pPr>
      <w:r w:rsidRPr="00C93159">
        <w:rPr>
          <w:lang w:val="uk-UA"/>
        </w:rPr>
        <w:lastRenderedPageBreak/>
        <w:t>модель;</w:t>
      </w:r>
    </w:p>
    <w:p w:rsidR="00C93159" w:rsidRPr="00C93159" w:rsidRDefault="00C93159" w:rsidP="00C93159">
      <w:pPr>
        <w:pStyle w:val="a3"/>
        <w:jc w:val="both"/>
        <w:rPr>
          <w:lang w:val="uk-UA"/>
        </w:rPr>
      </w:pPr>
      <w:r w:rsidRPr="00C93159">
        <w:rPr>
          <w:lang w:val="uk-UA"/>
        </w:rPr>
        <w:t>функціональне призначення;</w:t>
      </w:r>
    </w:p>
    <w:p w:rsidR="00C93159" w:rsidRPr="00C93159" w:rsidRDefault="00C93159" w:rsidP="00C93159">
      <w:pPr>
        <w:pStyle w:val="a3"/>
        <w:jc w:val="both"/>
        <w:rPr>
          <w:lang w:val="uk-UA"/>
        </w:rPr>
      </w:pPr>
      <w:r w:rsidRPr="00C93159">
        <w:rPr>
          <w:lang w:val="uk-UA"/>
        </w:rPr>
        <w:t>продуктивність;</w:t>
      </w:r>
    </w:p>
    <w:p w:rsidR="00C93159" w:rsidRPr="00C93159" w:rsidRDefault="00C93159" w:rsidP="00C93159">
      <w:pPr>
        <w:pStyle w:val="a3"/>
        <w:jc w:val="both"/>
        <w:rPr>
          <w:lang w:val="uk-UA"/>
        </w:rPr>
      </w:pPr>
      <w:r w:rsidRPr="00C93159">
        <w:rPr>
          <w:lang w:val="uk-UA"/>
        </w:rPr>
        <w:t>коментарі;</w:t>
      </w:r>
    </w:p>
    <w:p w:rsidR="00C93159" w:rsidRPr="00C93159" w:rsidRDefault="00C93159" w:rsidP="00C93159">
      <w:pPr>
        <w:pStyle w:val="a3"/>
        <w:jc w:val="both"/>
        <w:rPr>
          <w:lang w:val="uk-UA"/>
        </w:rPr>
      </w:pPr>
      <w:r w:rsidRPr="00C93159">
        <w:rPr>
          <w:lang w:val="uk-UA"/>
        </w:rPr>
        <w:t>інше;</w:t>
      </w:r>
    </w:p>
    <w:p w:rsidR="00C93159" w:rsidRPr="00C93159" w:rsidRDefault="00C93159" w:rsidP="00C93159">
      <w:pPr>
        <w:pStyle w:val="a3"/>
        <w:jc w:val="both"/>
        <w:rPr>
          <w:lang w:val="uk-UA"/>
        </w:rPr>
      </w:pPr>
      <w:r w:rsidRPr="00C93159">
        <w:rPr>
          <w:lang w:val="uk-UA"/>
        </w:rPr>
        <w:t>додатково для іншого рухомого майна:</w:t>
      </w:r>
    </w:p>
    <w:p w:rsidR="00C93159" w:rsidRPr="00C93159" w:rsidRDefault="00C93159" w:rsidP="00C93159">
      <w:pPr>
        <w:pStyle w:val="a3"/>
        <w:jc w:val="both"/>
        <w:rPr>
          <w:lang w:val="uk-UA"/>
        </w:rPr>
      </w:pPr>
      <w:r w:rsidRPr="00C93159">
        <w:rPr>
          <w:lang w:val="uk-UA"/>
        </w:rPr>
        <w:t>первісна балансова вартість;</w:t>
      </w:r>
    </w:p>
    <w:p w:rsidR="00C93159" w:rsidRPr="00C93159" w:rsidRDefault="00C93159" w:rsidP="00C93159">
      <w:pPr>
        <w:pStyle w:val="a3"/>
        <w:jc w:val="both"/>
        <w:rPr>
          <w:lang w:val="uk-UA"/>
        </w:rPr>
      </w:pPr>
      <w:r w:rsidRPr="00C93159">
        <w:rPr>
          <w:lang w:val="uk-UA"/>
        </w:rPr>
        <w:t>розрахунковий строк експлуатації;</w:t>
      </w:r>
    </w:p>
    <w:p w:rsidR="00C93159" w:rsidRPr="00C93159" w:rsidRDefault="00C93159" w:rsidP="00C93159">
      <w:pPr>
        <w:pStyle w:val="a3"/>
        <w:jc w:val="both"/>
        <w:rPr>
          <w:lang w:val="uk-UA"/>
        </w:rPr>
      </w:pPr>
      <w:r w:rsidRPr="00C93159">
        <w:rPr>
          <w:lang w:val="uk-UA"/>
        </w:rPr>
        <w:t>дата введення в експлуатацію;</w:t>
      </w:r>
    </w:p>
    <w:p w:rsidR="00C93159" w:rsidRPr="00C93159" w:rsidRDefault="00C93159" w:rsidP="00C93159">
      <w:pPr>
        <w:pStyle w:val="a3"/>
        <w:jc w:val="both"/>
        <w:rPr>
          <w:lang w:val="uk-UA"/>
        </w:rPr>
      </w:pPr>
      <w:r w:rsidRPr="00C93159">
        <w:rPr>
          <w:lang w:val="uk-UA"/>
        </w:rPr>
        <w:t>опис та примітки;</w:t>
      </w:r>
    </w:p>
    <w:p w:rsidR="00C93159" w:rsidRPr="00C93159" w:rsidRDefault="00C93159" w:rsidP="00C93159">
      <w:pPr>
        <w:pStyle w:val="a3"/>
        <w:jc w:val="both"/>
        <w:rPr>
          <w:lang w:val="uk-UA"/>
        </w:rPr>
      </w:pPr>
      <w:r w:rsidRPr="00C93159">
        <w:rPr>
          <w:lang w:val="uk-UA"/>
        </w:rPr>
        <w:t>5) за групою "основні засоби та нематеріальні активи" в частині нематеріальних активів:</w:t>
      </w:r>
    </w:p>
    <w:p w:rsidR="00C93159" w:rsidRPr="00C93159" w:rsidRDefault="00C93159" w:rsidP="00C93159">
      <w:pPr>
        <w:pStyle w:val="a3"/>
        <w:jc w:val="both"/>
        <w:rPr>
          <w:lang w:val="uk-UA"/>
        </w:rPr>
      </w:pPr>
      <w:r w:rsidRPr="00C93159">
        <w:rPr>
          <w:lang w:val="uk-UA"/>
        </w:rPr>
        <w:t>належність авторських прав;</w:t>
      </w:r>
    </w:p>
    <w:p w:rsidR="00C93159" w:rsidRPr="00C93159" w:rsidRDefault="00C93159" w:rsidP="00C93159">
      <w:pPr>
        <w:pStyle w:val="a3"/>
        <w:jc w:val="both"/>
        <w:rPr>
          <w:lang w:val="uk-UA"/>
        </w:rPr>
      </w:pPr>
      <w:r w:rsidRPr="00C93159">
        <w:rPr>
          <w:lang w:val="uk-UA"/>
        </w:rPr>
        <w:t>прогнозний остаточний строк корисного використання за умови ліквідації банку;</w:t>
      </w:r>
    </w:p>
    <w:p w:rsidR="00C93159" w:rsidRPr="00C93159" w:rsidRDefault="00C93159" w:rsidP="00C93159">
      <w:pPr>
        <w:pStyle w:val="a3"/>
        <w:jc w:val="both"/>
        <w:rPr>
          <w:lang w:val="uk-UA"/>
        </w:rPr>
      </w:pPr>
      <w:r w:rsidRPr="00C93159">
        <w:rPr>
          <w:lang w:val="uk-UA"/>
        </w:rPr>
        <w:t>належність активу до групи обмеженого в обігу майна;</w:t>
      </w:r>
    </w:p>
    <w:p w:rsidR="00C93159" w:rsidRPr="00C93159" w:rsidRDefault="00C93159" w:rsidP="00C93159">
      <w:pPr>
        <w:pStyle w:val="a3"/>
        <w:jc w:val="both"/>
        <w:rPr>
          <w:lang w:val="uk-UA"/>
        </w:rPr>
      </w:pPr>
      <w:r w:rsidRPr="00C93159">
        <w:rPr>
          <w:lang w:val="uk-UA"/>
        </w:rPr>
        <w:t>первісна балансова вартість;</w:t>
      </w:r>
    </w:p>
    <w:p w:rsidR="00C93159" w:rsidRPr="00C93159" w:rsidRDefault="00C93159" w:rsidP="00C93159">
      <w:pPr>
        <w:pStyle w:val="a3"/>
        <w:jc w:val="both"/>
        <w:rPr>
          <w:lang w:val="uk-UA"/>
        </w:rPr>
      </w:pPr>
      <w:r w:rsidRPr="00C93159">
        <w:rPr>
          <w:lang w:val="uk-UA"/>
        </w:rPr>
        <w:t>розрахунковий строк експлуатації;</w:t>
      </w:r>
    </w:p>
    <w:p w:rsidR="00C93159" w:rsidRPr="00C93159" w:rsidRDefault="00C93159" w:rsidP="00C93159">
      <w:pPr>
        <w:pStyle w:val="a3"/>
        <w:jc w:val="both"/>
        <w:rPr>
          <w:lang w:val="uk-UA"/>
        </w:rPr>
      </w:pPr>
      <w:r w:rsidRPr="00C93159">
        <w:rPr>
          <w:lang w:val="uk-UA"/>
        </w:rPr>
        <w:t>дата введення в експлуатацію.</w:t>
      </w:r>
    </w:p>
    <w:p w:rsidR="00C93159" w:rsidRPr="00C93159" w:rsidRDefault="00C93159" w:rsidP="00C93159">
      <w:pPr>
        <w:pStyle w:val="a3"/>
        <w:jc w:val="both"/>
        <w:rPr>
          <w:lang w:val="uk-UA"/>
        </w:rPr>
      </w:pPr>
      <w:r w:rsidRPr="00C93159">
        <w:rPr>
          <w:lang w:val="uk-UA"/>
        </w:rPr>
        <w:t>4. При встановленні суттєвих характеристик активів банку за групою "кредити та заборгованість клієнтів" уповноважена особа Фонду (у разі делегування їй повноважень Фондом) визначає ймовірність повернення такої заборгованості (юридичний ризик), яка розраховується шляхом вибору з переліку коефіцієнтів ймовірності стягнення, що відповідають характеристикам кожного активу. Коефіцієнти застосовуються для непрацюючих кредитів відповідно до якості кредитної справи, тенденцій розгляду позовів до боржників у судових засіданнях та прогнозів їх результатів у такому порядку:</w:t>
      </w:r>
    </w:p>
    <w:p w:rsidR="00C93159" w:rsidRPr="00C93159" w:rsidRDefault="00C93159" w:rsidP="00C93159">
      <w:pPr>
        <w:pStyle w:val="a3"/>
        <w:jc w:val="both"/>
        <w:rPr>
          <w:lang w:val="uk-UA"/>
        </w:rPr>
      </w:pPr>
      <w:r w:rsidRPr="00C93159">
        <w:rPr>
          <w:lang w:val="uk-UA"/>
        </w:rPr>
        <w:t>1) визначається ймовірність примусового стягнення заборгованості за рішенням суду або шляхом звернення стягнення на предмет застави за такими показниками:</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3661"/>
        <w:gridCol w:w="5932"/>
      </w:tblGrid>
      <w:tr w:rsidR="00C93159" w:rsidRPr="00C93159" w:rsidTr="00C93159">
        <w:trPr>
          <w:tblCellSpacing w:w="22" w:type="dxa"/>
        </w:trPr>
        <w:tc>
          <w:tcPr>
            <w:tcW w:w="19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t>Показник</w:t>
            </w:r>
          </w:p>
        </w:tc>
        <w:tc>
          <w:tcPr>
            <w:tcW w:w="31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t>Значення з таблиці</w:t>
            </w:r>
          </w:p>
        </w:tc>
      </w:tr>
      <w:tr w:rsidR="00C93159" w:rsidRPr="00C93159" w:rsidTr="00C93159">
        <w:trPr>
          <w:tblCellSpacing w:w="22" w:type="dxa"/>
        </w:trPr>
        <w:tc>
          <w:tcPr>
            <w:tcW w:w="19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Ознака відсутності боржника</w:t>
            </w:r>
          </w:p>
        </w:tc>
        <w:tc>
          <w:tcPr>
            <w:tcW w:w="31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0 - боржник або поручитель існує</w:t>
            </w:r>
          </w:p>
        </w:tc>
      </w:tr>
      <w:tr w:rsidR="00C93159" w:rsidRPr="00C93159" w:rsidTr="00C9315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31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1 - боржники припинені як юридичні особи, оголошені у розшук або померли (оголошені померлими), строк оформлення правонаступництва (спадщини) минув</w:t>
            </w:r>
          </w:p>
        </w:tc>
      </w:tr>
      <w:tr w:rsidR="00C93159" w:rsidRPr="00C93159" w:rsidTr="00C9315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31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2 - боржник та поручителі припинені або померли (оголошені померлими), але є правонаступники (спадкоємці)</w:t>
            </w:r>
          </w:p>
        </w:tc>
      </w:tr>
      <w:tr w:rsidR="00C93159" w:rsidRPr="00C93159" w:rsidTr="00C9315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31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3 - боржник та поручителі знаходяться у населених пунктах, на території яких органи державної влади тимчасово не здійснюють свої повноваження</w:t>
            </w:r>
          </w:p>
        </w:tc>
      </w:tr>
      <w:tr w:rsidR="00C93159" w:rsidRPr="00C93159" w:rsidTr="00C9315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31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4 - боржник та поручителі знаходяться у населених пунктах, що розташовані на лінії зіткнення</w:t>
            </w:r>
          </w:p>
        </w:tc>
      </w:tr>
      <w:tr w:rsidR="00C93159" w:rsidRPr="00C93159" w:rsidTr="00C9315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31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5 - боржник та поручителі знаходяться на тимчасово окупованій території</w:t>
            </w:r>
          </w:p>
        </w:tc>
      </w:tr>
      <w:tr w:rsidR="00C93159" w:rsidRPr="00C93159" w:rsidTr="00C93159">
        <w:trPr>
          <w:tblCellSpacing w:w="22" w:type="dxa"/>
        </w:trPr>
        <w:tc>
          <w:tcPr>
            <w:tcW w:w="19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Ознака банкрутства боржника</w:t>
            </w:r>
          </w:p>
        </w:tc>
        <w:tc>
          <w:tcPr>
            <w:tcW w:w="31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0 - боржника визнано банкрутом і банк не є єдиним забезпеченим кредитором порівняного або більшого впливу, який має права на активи боржника/поручителя (за винятком активів, що забезпечують виконання зобов'язань)</w:t>
            </w:r>
          </w:p>
        </w:tc>
      </w:tr>
      <w:tr w:rsidR="00C93159" w:rsidRPr="00C93159" w:rsidTr="00C9315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31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1 - боржника не визнано банкрутом (або банк - єдиний кредитор максимального впливу, який має права на активи боржника/поручителя)</w:t>
            </w:r>
          </w:p>
        </w:tc>
      </w:tr>
      <w:tr w:rsidR="00C93159" w:rsidRPr="00C93159" w:rsidTr="00C93159">
        <w:trPr>
          <w:tblCellSpacing w:w="22" w:type="dxa"/>
        </w:trPr>
        <w:tc>
          <w:tcPr>
            <w:tcW w:w="19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Повнота комплекту документів у кредитній справі</w:t>
            </w:r>
          </w:p>
        </w:tc>
        <w:tc>
          <w:tcPr>
            <w:tcW w:w="31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0 - у кредитній справі наявні всі документи</w:t>
            </w:r>
          </w:p>
        </w:tc>
      </w:tr>
      <w:tr w:rsidR="00C93159" w:rsidRPr="00C93159" w:rsidTr="00C9315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31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1 - відсутні деякі документи (крім договору про надання кредиту та договорів забезпечення виконання зобов'язань)</w:t>
            </w:r>
          </w:p>
        </w:tc>
      </w:tr>
      <w:tr w:rsidR="00C93159" w:rsidRPr="00C93159" w:rsidTr="00C9315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31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2 - відсутні договори / наявні нотаріально засвідчені копії договорів про надання кредиту, застави (іпотеки) з можливістю їх відновлення</w:t>
            </w:r>
          </w:p>
        </w:tc>
      </w:tr>
      <w:tr w:rsidR="00C93159" w:rsidRPr="00C93159" w:rsidTr="00C9315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31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3 - відсутні договори про надання кредиту, застави (іпотеки) без абсолютної можливості їх відновлення (судом визнано відсутність права вимоги за кредитним договором)</w:t>
            </w:r>
          </w:p>
        </w:tc>
      </w:tr>
      <w:tr w:rsidR="00C93159" w:rsidRPr="00C93159" w:rsidTr="00C93159">
        <w:trPr>
          <w:tblCellSpacing w:w="22" w:type="dxa"/>
        </w:trPr>
        <w:tc>
          <w:tcPr>
            <w:tcW w:w="19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Ознака наявності арешту / заборони на відчуження забезпечення / активів боржника/поручителя</w:t>
            </w:r>
          </w:p>
        </w:tc>
        <w:tc>
          <w:tcPr>
            <w:tcW w:w="31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0 - відсутні арешт та заборони</w:t>
            </w:r>
          </w:p>
        </w:tc>
      </w:tr>
      <w:tr w:rsidR="00C93159" w:rsidRPr="00C93159" w:rsidTr="00C9315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31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1 - на забезпечення накладено арешт (в ході кримінального провадження, податковий арешт тощо) одним/або більше суб'єктами, що не є банком-кредитором</w:t>
            </w:r>
          </w:p>
        </w:tc>
      </w:tr>
      <w:tr w:rsidR="00C93159" w:rsidRPr="00C93159" w:rsidTr="00C9315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31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2 - тимчасовий мораторій на примусове відчуження об'єкта, встановлений законом</w:t>
            </w:r>
          </w:p>
        </w:tc>
      </w:tr>
      <w:tr w:rsidR="00C93159" w:rsidRPr="00C93159" w:rsidTr="00C93159">
        <w:trPr>
          <w:tblCellSpacing w:w="22" w:type="dxa"/>
        </w:trPr>
        <w:tc>
          <w:tcPr>
            <w:tcW w:w="19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Ознака внесення у державні реєстри інформації про обтяження предмета застави (забезпечення)</w:t>
            </w:r>
          </w:p>
        </w:tc>
        <w:tc>
          <w:tcPr>
            <w:tcW w:w="31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0 - є коректна інформація у державних реєстрах</w:t>
            </w:r>
          </w:p>
        </w:tc>
      </w:tr>
      <w:tr w:rsidR="00C93159" w:rsidRPr="00C93159" w:rsidTr="00C9315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31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1 - відсутня інформація у державних реєстрах</w:t>
            </w:r>
          </w:p>
        </w:tc>
      </w:tr>
      <w:tr w:rsidR="00C93159" w:rsidRPr="00C93159" w:rsidTr="00C93159">
        <w:trPr>
          <w:tblCellSpacing w:w="22" w:type="dxa"/>
        </w:trPr>
        <w:tc>
          <w:tcPr>
            <w:tcW w:w="19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 xml:space="preserve">Ознака, що банк є єдиним заставодержателем або </w:t>
            </w:r>
            <w:r w:rsidRPr="00C93159">
              <w:lastRenderedPageBreak/>
              <w:t>заставодержателем першої черги</w:t>
            </w:r>
          </w:p>
        </w:tc>
        <w:tc>
          <w:tcPr>
            <w:tcW w:w="31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lastRenderedPageBreak/>
              <w:t>0 - заставодержатель першої черги / єдиний заставодержатель</w:t>
            </w:r>
          </w:p>
        </w:tc>
      </w:tr>
      <w:tr w:rsidR="00C93159" w:rsidRPr="00C93159" w:rsidTr="00C9315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31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1 - заставодержатель не першої черги, підтверджено відповідними договорами</w:t>
            </w:r>
          </w:p>
        </w:tc>
      </w:tr>
      <w:tr w:rsidR="00C93159" w:rsidRPr="00C93159" w:rsidTr="00C93159">
        <w:trPr>
          <w:tblCellSpacing w:w="22" w:type="dxa"/>
        </w:trPr>
        <w:tc>
          <w:tcPr>
            <w:tcW w:w="19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lastRenderedPageBreak/>
              <w:t>Фізична наявність та доступність забезпечення (показник, що не береться до розрахунку для бланкового залишку заборгованості)</w:t>
            </w:r>
          </w:p>
        </w:tc>
        <w:tc>
          <w:tcPr>
            <w:tcW w:w="31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0 - застава наявна і доступна для стягнення</w:t>
            </w:r>
          </w:p>
        </w:tc>
      </w:tr>
      <w:tr w:rsidR="00C93159" w:rsidRPr="00C93159" w:rsidTr="00C9315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31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1 - застава наявна, але не доступна, або наявна частково, або знаходиться у населених пунктах, на території яких органи державної влади тимчасово не здійснюють свої повноваження</w:t>
            </w:r>
          </w:p>
        </w:tc>
      </w:tr>
      <w:tr w:rsidR="00C93159" w:rsidRPr="00C93159" w:rsidTr="00C9315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31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2 - застава наявна, але знаходиться на тимчасово окупованій території</w:t>
            </w:r>
          </w:p>
        </w:tc>
      </w:tr>
      <w:tr w:rsidR="00C93159" w:rsidRPr="00C93159" w:rsidTr="00C9315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31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3 - застава фактично відсутня на дату оцінки, проте була в наявності на дату отримання/обслуговування кредиту</w:t>
            </w:r>
          </w:p>
        </w:tc>
      </w:tr>
      <w:tr w:rsidR="00C93159" w:rsidRPr="00C93159" w:rsidTr="00C93159">
        <w:trPr>
          <w:tblCellSpacing w:w="22" w:type="dxa"/>
        </w:trPr>
        <w:tc>
          <w:tcPr>
            <w:tcW w:w="19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Стадія претензійно-позовної роботи</w:t>
            </w:r>
          </w:p>
        </w:tc>
        <w:tc>
          <w:tcPr>
            <w:tcW w:w="31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0 - немає предмета спору</w:t>
            </w:r>
          </w:p>
        </w:tc>
      </w:tr>
      <w:tr w:rsidR="00C93159" w:rsidRPr="00C93159" w:rsidTr="00C9315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31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1 - досудова робота, претензія</w:t>
            </w:r>
          </w:p>
        </w:tc>
      </w:tr>
      <w:tr w:rsidR="00C93159" w:rsidRPr="00C93159" w:rsidTr="00C9315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31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2 - позов у першій інстанції</w:t>
            </w:r>
          </w:p>
        </w:tc>
      </w:tr>
      <w:tr w:rsidR="00C93159" w:rsidRPr="00C93159" w:rsidTr="00C9315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31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3 - позов в апеляційній інстанції</w:t>
            </w:r>
          </w:p>
        </w:tc>
      </w:tr>
      <w:tr w:rsidR="00C93159" w:rsidRPr="00C93159" w:rsidTr="00C9315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31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4 - позов в касаційній інстанції</w:t>
            </w:r>
          </w:p>
        </w:tc>
      </w:tr>
      <w:tr w:rsidR="00C93159" w:rsidRPr="00C93159" w:rsidTr="00C9315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31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5 - органи державної виконавчої служби (приватні виконавці), договірне стягнення, подана заява про відкриття виконавчого провадження</w:t>
            </w:r>
          </w:p>
        </w:tc>
      </w:tr>
      <w:tr w:rsidR="00C93159" w:rsidRPr="00C93159" w:rsidTr="00C93159">
        <w:trPr>
          <w:tblCellSpacing w:w="22" w:type="dxa"/>
        </w:trPr>
        <w:tc>
          <w:tcPr>
            <w:tcW w:w="19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Результат останнього судового розгляду</w:t>
            </w:r>
          </w:p>
        </w:tc>
        <w:tc>
          <w:tcPr>
            <w:tcW w:w="31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0 - на користь банку або немає спору</w:t>
            </w:r>
          </w:p>
        </w:tc>
      </w:tr>
      <w:tr w:rsidR="00C93159" w:rsidRPr="00C93159" w:rsidTr="00C9315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31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pPr>
            <w:r w:rsidRPr="00C93159">
              <w:t>1 - на користь позичальника</w:t>
            </w:r>
            <w:r w:rsidRPr="00C93159">
              <w:br/>
              <w:t>програно першу інстанцію,</w:t>
            </w:r>
            <w:r w:rsidRPr="00C93159">
              <w:br/>
              <w:t>програно апеляцію,</w:t>
            </w:r>
            <w:r w:rsidRPr="00C93159">
              <w:br/>
              <w:t>програно касацію</w:t>
            </w:r>
          </w:p>
        </w:tc>
      </w:tr>
    </w:tbl>
    <w:p w:rsidR="00C93159" w:rsidRPr="00C93159" w:rsidRDefault="00C93159" w:rsidP="00C93159">
      <w:pPr>
        <w:pStyle w:val="a3"/>
        <w:jc w:val="both"/>
        <w:rPr>
          <w:lang w:val="uk-UA"/>
        </w:rPr>
      </w:pPr>
      <w:r w:rsidRPr="00C93159">
        <w:rPr>
          <w:lang w:val="uk-UA"/>
        </w:rPr>
        <w:br w:type="textWrapping" w:clear="all"/>
      </w:r>
    </w:p>
    <w:p w:rsidR="00C93159" w:rsidRPr="00C93159" w:rsidRDefault="00C93159" w:rsidP="00C93159">
      <w:pPr>
        <w:pStyle w:val="a3"/>
        <w:jc w:val="both"/>
        <w:rPr>
          <w:lang w:val="uk-UA"/>
        </w:rPr>
      </w:pPr>
      <w:r w:rsidRPr="00C93159">
        <w:rPr>
          <w:lang w:val="uk-UA"/>
        </w:rPr>
        <w:t>2) визначається результат множення ймовірностей за обраними показниками. Отриманий добуток може використовуватись як розмір юридичного ризику.</w:t>
      </w:r>
    </w:p>
    <w:p w:rsidR="00C93159" w:rsidRPr="00C93159" w:rsidRDefault="00C93159" w:rsidP="00C93159">
      <w:pPr>
        <w:pStyle w:val="a3"/>
        <w:jc w:val="both"/>
        <w:rPr>
          <w:lang w:val="uk-UA"/>
        </w:rPr>
      </w:pPr>
      <w:r w:rsidRPr="00C93159">
        <w:rPr>
          <w:lang w:val="uk-UA"/>
        </w:rPr>
        <w:t>Економічний ризик за кредитною заборгованістю враховується шляхом вибору відповідного коефіцієнта дисконтування.</w:t>
      </w:r>
    </w:p>
    <w:p w:rsidR="00C93159" w:rsidRPr="00C93159" w:rsidRDefault="00C93159" w:rsidP="00C93159">
      <w:pPr>
        <w:pStyle w:val="a3"/>
        <w:jc w:val="both"/>
        <w:rPr>
          <w:lang w:val="uk-UA"/>
        </w:rPr>
      </w:pPr>
      <w:r w:rsidRPr="00C93159">
        <w:rPr>
          <w:lang w:val="uk-UA"/>
        </w:rPr>
        <w:t>5. При встановленні суттєвих характеристик нерухомості, у тому числі іпотеки, відповідальна особа Фонду може визначити ймовірність продажу таких активів у виконавчому провадженні (у тому числі наявність обмежень щодо їх реалізації) шляхом розрахунку коефіцієнта ймовірності продажу відповідно до рішення виконавчої дирекції Фонду. У цьому разі відповідальна особа Фонду враховує зазначений відсоток шляхом зважування отриманих результатів на зазначений відсоток.</w:t>
      </w:r>
    </w:p>
    <w:p w:rsidR="00C93159" w:rsidRPr="00C93159" w:rsidRDefault="00C93159" w:rsidP="00C93159">
      <w:pPr>
        <w:pStyle w:val="a3"/>
        <w:jc w:val="both"/>
        <w:rPr>
          <w:lang w:val="uk-UA"/>
        </w:rPr>
      </w:pPr>
      <w:r w:rsidRPr="00C93159">
        <w:rPr>
          <w:lang w:val="uk-UA"/>
        </w:rPr>
        <w:lastRenderedPageBreak/>
        <w:t>6. Мають бути зазначені активи банку, передані іншим установам, зокрема НБУ, у якості забезпечення за зобов'язаннями банку.</w:t>
      </w:r>
    </w:p>
    <w:p w:rsidR="00C93159" w:rsidRPr="00C93159" w:rsidRDefault="00C93159" w:rsidP="00C93159">
      <w:pPr>
        <w:pStyle w:val="3"/>
        <w:jc w:val="center"/>
        <w:rPr>
          <w:lang w:val="uk-UA"/>
        </w:rPr>
      </w:pPr>
      <w:r w:rsidRPr="00C93159">
        <w:rPr>
          <w:lang w:val="uk-UA"/>
        </w:rPr>
        <w:t>III. Порядок оцінки активів банку</w:t>
      </w:r>
    </w:p>
    <w:p w:rsidR="00C93159" w:rsidRPr="00C93159" w:rsidRDefault="00C93159" w:rsidP="00C93159">
      <w:pPr>
        <w:pStyle w:val="a3"/>
        <w:jc w:val="both"/>
        <w:rPr>
          <w:lang w:val="uk-UA"/>
        </w:rPr>
      </w:pPr>
      <w:r w:rsidRPr="00C93159">
        <w:rPr>
          <w:lang w:val="uk-UA"/>
        </w:rPr>
        <w:t>1. Оцінка активів здійснюється у такій послідовності:</w:t>
      </w:r>
    </w:p>
    <w:p w:rsidR="00C93159" w:rsidRPr="00C93159" w:rsidRDefault="00C93159" w:rsidP="00C93159">
      <w:pPr>
        <w:pStyle w:val="a3"/>
        <w:jc w:val="both"/>
        <w:rPr>
          <w:lang w:val="uk-UA"/>
        </w:rPr>
      </w:pPr>
      <w:r w:rsidRPr="00C93159">
        <w:rPr>
          <w:lang w:val="uk-UA"/>
        </w:rPr>
        <w:t>1) отримання переліків активів;</w:t>
      </w:r>
    </w:p>
    <w:p w:rsidR="00C93159" w:rsidRPr="00C93159" w:rsidRDefault="00C93159" w:rsidP="00C93159">
      <w:pPr>
        <w:pStyle w:val="a3"/>
        <w:jc w:val="both"/>
        <w:rPr>
          <w:lang w:val="uk-UA"/>
        </w:rPr>
      </w:pPr>
      <w:r w:rsidRPr="00C93159">
        <w:rPr>
          <w:lang w:val="uk-UA"/>
        </w:rPr>
        <w:t>2) оцінка часу (людино-годин), необхідного для оцінки всіх активів та формування групи відповідальних осіб;</w:t>
      </w:r>
    </w:p>
    <w:p w:rsidR="00C93159" w:rsidRPr="00C93159" w:rsidRDefault="00C93159" w:rsidP="00C93159">
      <w:pPr>
        <w:pStyle w:val="a3"/>
        <w:jc w:val="both"/>
        <w:rPr>
          <w:lang w:val="uk-UA"/>
        </w:rPr>
      </w:pPr>
      <w:r w:rsidRPr="00C93159">
        <w:rPr>
          <w:lang w:val="uk-UA"/>
        </w:rPr>
        <w:t>3) об'єднання однорідних активів одного класу за ознакою боржника (кредити одному і тому самому позичальнику, облігації одного й того самого позичальника тощо);</w:t>
      </w:r>
    </w:p>
    <w:p w:rsidR="00C93159" w:rsidRPr="00C93159" w:rsidRDefault="00C93159" w:rsidP="00C93159">
      <w:pPr>
        <w:pStyle w:val="a3"/>
        <w:jc w:val="both"/>
        <w:rPr>
          <w:lang w:val="uk-UA"/>
        </w:rPr>
      </w:pPr>
      <w:r w:rsidRPr="00C93159">
        <w:rPr>
          <w:lang w:val="uk-UA"/>
        </w:rPr>
        <w:t>4) сортування класів активів (кредитний портфель, цінні папери, дебіторська заборгованість, нерухомість, інші основні засоби, інші активи) за загальною балансовою вартістю активів;</w:t>
      </w:r>
    </w:p>
    <w:p w:rsidR="00C93159" w:rsidRPr="00C93159" w:rsidRDefault="00C93159" w:rsidP="00C93159">
      <w:pPr>
        <w:pStyle w:val="a3"/>
        <w:jc w:val="both"/>
        <w:rPr>
          <w:lang w:val="uk-UA"/>
        </w:rPr>
      </w:pPr>
      <w:r w:rsidRPr="00C93159">
        <w:rPr>
          <w:lang w:val="uk-UA"/>
        </w:rPr>
        <w:t>5) виділення активів, які знаходяться у зоні проведення антитерористичної операції або на окупованій території;</w:t>
      </w:r>
    </w:p>
    <w:p w:rsidR="00C93159" w:rsidRPr="00C93159" w:rsidRDefault="00C93159" w:rsidP="00C93159">
      <w:pPr>
        <w:pStyle w:val="a3"/>
        <w:jc w:val="both"/>
        <w:rPr>
          <w:lang w:val="uk-UA"/>
        </w:rPr>
      </w:pPr>
      <w:r w:rsidRPr="00C93159">
        <w:rPr>
          <w:lang w:val="uk-UA"/>
        </w:rPr>
        <w:t>6) оцінка власного нерухомого майна банку відповідно до цієї Методики;</w:t>
      </w:r>
    </w:p>
    <w:p w:rsidR="00C93159" w:rsidRPr="00C93159" w:rsidRDefault="00C93159" w:rsidP="00C93159">
      <w:pPr>
        <w:pStyle w:val="a3"/>
        <w:jc w:val="both"/>
        <w:rPr>
          <w:lang w:val="uk-UA"/>
        </w:rPr>
      </w:pPr>
      <w:r w:rsidRPr="00C93159">
        <w:rPr>
          <w:lang w:val="uk-UA"/>
        </w:rPr>
        <w:t>7) виділення у класі "кредитний портфель" підкласів "споживчі та незабезпечені кредити фізичним особам", "інші кредити фізичним особам", "кредити юридичним особам":</w:t>
      </w:r>
    </w:p>
    <w:p w:rsidR="00C93159" w:rsidRPr="00C93159" w:rsidRDefault="00C93159" w:rsidP="00C93159">
      <w:pPr>
        <w:pStyle w:val="a3"/>
        <w:jc w:val="both"/>
        <w:rPr>
          <w:lang w:val="uk-UA"/>
        </w:rPr>
      </w:pPr>
      <w:r w:rsidRPr="00C93159">
        <w:rPr>
          <w:lang w:val="uk-UA"/>
        </w:rPr>
        <w:t>для непрацюючих кредитів з величиною заборгованості більше 100 млн грн за умови наявності необхідної інформації повинні бути визначені сценарії врегулювання ситуації за конкретним кредитом. Сценарій продажу застави є базовим та оцінюється у будь-якому випадку. Крім того, за наявності інформації та правових можливостей повинні бути проаналізовані такі альтернативні сценарії із прогнозуванням реалістичної та економічної вигоди для банку:</w:t>
      </w:r>
    </w:p>
    <w:p w:rsidR="00C93159" w:rsidRPr="00C93159" w:rsidRDefault="00C93159" w:rsidP="00C93159">
      <w:pPr>
        <w:pStyle w:val="a3"/>
        <w:jc w:val="both"/>
        <w:rPr>
          <w:lang w:val="uk-UA"/>
        </w:rPr>
      </w:pPr>
      <w:r w:rsidRPr="00C93159">
        <w:rPr>
          <w:lang w:val="uk-UA"/>
        </w:rPr>
        <w:t>реструктуризація заборгованості за кредитним зобов'язанням, що передбачає пролонгацію строку погашення заборгованості та відповідне зменшення розміру чергових платежів до розміру, який боржник буде спроможний погашати;</w:t>
      </w:r>
    </w:p>
    <w:p w:rsidR="00C93159" w:rsidRPr="00C93159" w:rsidRDefault="00C93159" w:rsidP="00C93159">
      <w:pPr>
        <w:pStyle w:val="a3"/>
        <w:jc w:val="both"/>
        <w:rPr>
          <w:lang w:val="uk-UA"/>
        </w:rPr>
      </w:pPr>
      <w:r w:rsidRPr="00C93159">
        <w:rPr>
          <w:lang w:val="uk-UA"/>
        </w:rPr>
        <w:t>перекредитування боржника іншим банком.</w:t>
      </w:r>
    </w:p>
    <w:p w:rsidR="00C93159" w:rsidRPr="00C93159" w:rsidRDefault="00C93159" w:rsidP="00C93159">
      <w:pPr>
        <w:pStyle w:val="a3"/>
        <w:jc w:val="both"/>
        <w:rPr>
          <w:lang w:val="uk-UA"/>
        </w:rPr>
      </w:pPr>
      <w:r w:rsidRPr="00C93159">
        <w:rPr>
          <w:lang w:val="uk-UA"/>
        </w:rPr>
        <w:t>Можливість реалізації сценаріїв визначається на підставі наявної інформації щодо позичальника, поручителів, забезпечення та інших факторів.</w:t>
      </w:r>
    </w:p>
    <w:p w:rsidR="00C93159" w:rsidRPr="00C93159" w:rsidRDefault="00C93159" w:rsidP="00C93159">
      <w:pPr>
        <w:pStyle w:val="a3"/>
        <w:jc w:val="both"/>
        <w:rPr>
          <w:lang w:val="uk-UA"/>
        </w:rPr>
      </w:pPr>
      <w:r w:rsidRPr="00C93159">
        <w:rPr>
          <w:lang w:val="uk-UA"/>
        </w:rPr>
        <w:t>За кожним можливим сценарієм визначається оціночна вартість такого кредиту, що дорівнює приведеній (теперішній) вартості грошових потоків, що отримає Фонд у разі реалізації такого сценарію.</w:t>
      </w:r>
    </w:p>
    <w:p w:rsidR="00C93159" w:rsidRPr="00C93159" w:rsidRDefault="00C93159" w:rsidP="00C93159">
      <w:pPr>
        <w:pStyle w:val="a3"/>
        <w:jc w:val="both"/>
        <w:rPr>
          <w:lang w:val="uk-UA"/>
        </w:rPr>
      </w:pPr>
      <w:r w:rsidRPr="00C93159">
        <w:rPr>
          <w:lang w:val="uk-UA"/>
        </w:rPr>
        <w:t>Непрацюючий кредит з величиною заборгованості більше 100 млн грн оцінюється за сценарієм, який може бути реалізованим та передбачає отримання Фондом максимального приведеного доходу (порівняно з іншими сценаріями).</w:t>
      </w:r>
    </w:p>
    <w:p w:rsidR="00C93159" w:rsidRPr="00C93159" w:rsidRDefault="00C93159" w:rsidP="00C93159">
      <w:pPr>
        <w:pStyle w:val="a3"/>
        <w:jc w:val="both"/>
        <w:rPr>
          <w:lang w:val="uk-UA"/>
        </w:rPr>
      </w:pPr>
      <w:r w:rsidRPr="00C93159">
        <w:rPr>
          <w:lang w:val="uk-UA"/>
        </w:rPr>
        <w:lastRenderedPageBreak/>
        <w:t>У разі наявності ознак, що позичальник, заборгованість якого за непрацюючим кредитом перевищує суму, встановлену Фондом, має можливість обслуговувати кредит (знаходиться у "стратегічному дефолті"), результат оцінки такого кредиту не може бути нижчим за відсоток від балансової вартості заборгованості за кредитом, встановлений Фондом. Ця вимога не стосується активів, боржник та майновий поручитель за якими знаходяться (ведуть діяльність) у населених пунктах, на території яких органи державної влади тимчасово не здійснюють свої повноваження або на тимчасово окупованій території. Ознаками стратегічного дефолту, зокрема, можуть бути:</w:t>
      </w:r>
    </w:p>
    <w:p w:rsidR="00C93159" w:rsidRPr="00C93159" w:rsidRDefault="00C93159" w:rsidP="00C93159">
      <w:pPr>
        <w:pStyle w:val="a3"/>
        <w:jc w:val="both"/>
        <w:rPr>
          <w:lang w:val="uk-UA"/>
        </w:rPr>
      </w:pPr>
      <w:r w:rsidRPr="00C93159">
        <w:rPr>
          <w:lang w:val="uk-UA"/>
        </w:rPr>
        <w:t>припинення обслуговування кредиту позичальником після віднесення банку до категорії неплатоспроможних, платежі за яким до цього здійснювались регулярно та своєчасно;</w:t>
      </w:r>
    </w:p>
    <w:p w:rsidR="00C93159" w:rsidRPr="00C93159" w:rsidRDefault="00C93159" w:rsidP="00C93159">
      <w:pPr>
        <w:pStyle w:val="a3"/>
        <w:jc w:val="both"/>
        <w:rPr>
          <w:lang w:val="uk-UA"/>
        </w:rPr>
      </w:pPr>
      <w:r w:rsidRPr="00C93159">
        <w:rPr>
          <w:lang w:val="uk-UA"/>
        </w:rPr>
        <w:t>стабільне надходження грошових коштів позичальникові в достатньому обсязі для сплати відсотків за кредитом, яке на зазнало суттєвих змін;</w:t>
      </w:r>
    </w:p>
    <w:p w:rsidR="00C93159" w:rsidRPr="00C93159" w:rsidRDefault="00C93159" w:rsidP="00C93159">
      <w:pPr>
        <w:pStyle w:val="a3"/>
        <w:jc w:val="both"/>
        <w:rPr>
          <w:lang w:val="uk-UA"/>
        </w:rPr>
      </w:pPr>
      <w:r w:rsidRPr="00C93159">
        <w:rPr>
          <w:lang w:val="uk-UA"/>
        </w:rPr>
        <w:t>отримання позичальником кредитів в іншому банку після припинення обслуговування кредитів у проблемному/неплатоспроможному банку.</w:t>
      </w:r>
    </w:p>
    <w:p w:rsidR="00C93159" w:rsidRPr="00C93159" w:rsidRDefault="00C93159" w:rsidP="00C93159">
      <w:pPr>
        <w:pStyle w:val="a3"/>
        <w:jc w:val="both"/>
        <w:rPr>
          <w:lang w:val="uk-UA"/>
        </w:rPr>
      </w:pPr>
      <w:r w:rsidRPr="00C93159">
        <w:rPr>
          <w:lang w:val="uk-UA"/>
        </w:rPr>
        <w:t>Для виявлення ознак "стратегічного дефолту" можуть використовуватись відкриті джерела інформації, дані Фонду, НБУ та документи, надані третіми особами;</w:t>
      </w:r>
    </w:p>
    <w:p w:rsidR="00C93159" w:rsidRPr="00C93159" w:rsidRDefault="00C93159" w:rsidP="00C93159">
      <w:pPr>
        <w:pStyle w:val="a3"/>
        <w:jc w:val="both"/>
        <w:rPr>
          <w:lang w:val="uk-UA"/>
        </w:rPr>
      </w:pPr>
      <w:r w:rsidRPr="00C93159">
        <w:rPr>
          <w:lang w:val="uk-UA"/>
        </w:rPr>
        <w:t>8) виділення у кожному класі та підкласі активів (крім власного нерухомого майна банку) 20 % найбільших за балансовою вартістю активів (далі - виділена частка);</w:t>
      </w:r>
    </w:p>
    <w:p w:rsidR="00C93159" w:rsidRPr="00C93159" w:rsidRDefault="00C93159" w:rsidP="00C93159">
      <w:pPr>
        <w:pStyle w:val="a3"/>
        <w:jc w:val="both"/>
        <w:rPr>
          <w:lang w:val="uk-UA"/>
        </w:rPr>
      </w:pPr>
      <w:r w:rsidRPr="00C93159">
        <w:rPr>
          <w:lang w:val="uk-UA"/>
        </w:rPr>
        <w:t>9) здійснення оцінки приведеної (теперішньої) вартості грошових потоків від виділеної частки активів (PV) за кожним класом та підкласом активів, виходячи з встановлених строків (для проблемного банку - очікуваних строків) тимчасової адміністрації та ліквідації банку, а також строків продажу активів спеціалізованою установою (у разі її створення) - здійснення "due diligence".</w:t>
      </w:r>
    </w:p>
    <w:p w:rsidR="00C93159" w:rsidRPr="00C93159" w:rsidRDefault="00C93159" w:rsidP="00C93159">
      <w:pPr>
        <w:pStyle w:val="a3"/>
        <w:jc w:val="both"/>
        <w:rPr>
          <w:lang w:val="uk-UA"/>
        </w:rPr>
      </w:pPr>
      <w:r w:rsidRPr="00C93159">
        <w:rPr>
          <w:lang w:val="uk-UA"/>
        </w:rPr>
        <w:t>У разі якщо відповідальна особа Фонду має достатньо часу для продовження оцінки, здійснюються виділення у кожному класі активів наступних 20 % активів (наступної виділеної частки) та розрахунок теперішньої вартості виділеної частки активів (PV) від цих наступних 20 % активів і до досягнення 100 % активів у кожному класі.</w:t>
      </w:r>
    </w:p>
    <w:p w:rsidR="00C93159" w:rsidRPr="00C93159" w:rsidRDefault="00C93159" w:rsidP="00C93159">
      <w:pPr>
        <w:pStyle w:val="a3"/>
        <w:jc w:val="both"/>
        <w:rPr>
          <w:lang w:val="uk-UA"/>
        </w:rPr>
      </w:pPr>
      <w:r w:rsidRPr="00C93159">
        <w:rPr>
          <w:lang w:val="uk-UA"/>
        </w:rPr>
        <w:t>У разі якщо відповідальна особа Фонду не має достатньо часу для оцінки наступних виділених часток - визначення співвідношення виділеної частки активів (PV) та балансової вартості оцінених активів відповідного класу (підкласу) та визначення оціночної вартості неоцінених активів в групі шляхом множення балансової вартості неоцінених активів на розрахований коефіцієнт співвідношення. Наприклад, за групою портфеля споживчих кредитів:</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716"/>
        <w:gridCol w:w="1915"/>
        <w:gridCol w:w="3902"/>
      </w:tblGrid>
      <w:tr w:rsidR="00C93159" w:rsidRPr="00C93159" w:rsidTr="00C93159">
        <w:trPr>
          <w:tblCellSpacing w:w="22" w:type="dxa"/>
        </w:trPr>
        <w:tc>
          <w:tcPr>
            <w:tcW w:w="19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pPr>
            <w:r w:rsidRPr="00C93159">
              <w:t> </w:t>
            </w:r>
          </w:p>
        </w:tc>
        <w:tc>
          <w:tcPr>
            <w:tcW w:w="10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t>Балансова вартість</w:t>
            </w:r>
          </w:p>
        </w:tc>
        <w:tc>
          <w:tcPr>
            <w:tcW w:w="20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t>Оціночна вартість відповідно до цієї методології</w:t>
            </w:r>
          </w:p>
        </w:tc>
      </w:tr>
      <w:tr w:rsidR="00C93159" w:rsidRPr="00C93159" w:rsidTr="00C93159">
        <w:trPr>
          <w:tblCellSpacing w:w="22" w:type="dxa"/>
        </w:trPr>
        <w:tc>
          <w:tcPr>
            <w:tcW w:w="19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pPr>
            <w:r w:rsidRPr="00C93159">
              <w:t>Всього балансова вартість споживчих кредитів (2 тис. од.)</w:t>
            </w:r>
          </w:p>
        </w:tc>
        <w:tc>
          <w:tcPr>
            <w:tcW w:w="10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right"/>
            </w:pPr>
            <w:r w:rsidRPr="00C93159">
              <w:t>10,0 млн грн</w:t>
            </w:r>
          </w:p>
        </w:tc>
        <w:tc>
          <w:tcPr>
            <w:tcW w:w="20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t>?</w:t>
            </w:r>
          </w:p>
        </w:tc>
      </w:tr>
      <w:tr w:rsidR="00C93159" w:rsidRPr="00C93159" w:rsidTr="00C93159">
        <w:trPr>
          <w:tblCellSpacing w:w="22" w:type="dxa"/>
        </w:trPr>
        <w:tc>
          <w:tcPr>
            <w:tcW w:w="19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pPr>
            <w:r w:rsidRPr="00C93159">
              <w:t>Оцінена частина (40 % найбільших споживчих кредитів - 800 од.) - "due diligence"</w:t>
            </w:r>
          </w:p>
        </w:tc>
        <w:tc>
          <w:tcPr>
            <w:tcW w:w="10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right"/>
            </w:pPr>
            <w:r w:rsidRPr="00C93159">
              <w:t>5,2 млн грн</w:t>
            </w:r>
          </w:p>
        </w:tc>
        <w:tc>
          <w:tcPr>
            <w:tcW w:w="20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right"/>
            </w:pPr>
            <w:r w:rsidRPr="00C93159">
              <w:t>1,5 млн грн</w:t>
            </w:r>
          </w:p>
        </w:tc>
      </w:tr>
      <w:tr w:rsidR="00C93159" w:rsidRPr="00C93159" w:rsidTr="00C93159">
        <w:trPr>
          <w:tblCellSpacing w:w="22" w:type="dxa"/>
        </w:trPr>
        <w:tc>
          <w:tcPr>
            <w:tcW w:w="19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pPr>
            <w:r w:rsidRPr="00C93159">
              <w:t xml:space="preserve">Розрахункове співвідношення </w:t>
            </w:r>
            <w:r w:rsidRPr="00C93159">
              <w:lastRenderedPageBreak/>
              <w:t>(коефіцієнт)</w:t>
            </w:r>
          </w:p>
        </w:tc>
        <w:tc>
          <w:tcPr>
            <w:tcW w:w="3050" w:type="pct"/>
            <w:gridSpan w:val="2"/>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lastRenderedPageBreak/>
              <w:t>= 1,5 / 5,2</w:t>
            </w:r>
          </w:p>
        </w:tc>
      </w:tr>
      <w:tr w:rsidR="00C93159" w:rsidRPr="00C93159" w:rsidTr="00C93159">
        <w:trPr>
          <w:tblCellSpacing w:w="22" w:type="dxa"/>
        </w:trPr>
        <w:tc>
          <w:tcPr>
            <w:tcW w:w="19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pPr>
            <w:r w:rsidRPr="00C93159">
              <w:lastRenderedPageBreak/>
              <w:t>Неоцінені споживчі кредити (60 % решти споживчих кредитів)</w:t>
            </w:r>
          </w:p>
        </w:tc>
        <w:tc>
          <w:tcPr>
            <w:tcW w:w="10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right"/>
            </w:pPr>
            <w:r w:rsidRPr="00C93159">
              <w:t>4,8 млн грн</w:t>
            </w:r>
          </w:p>
        </w:tc>
        <w:tc>
          <w:tcPr>
            <w:tcW w:w="20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right"/>
            </w:pPr>
            <w:r w:rsidRPr="00C93159">
              <w:t>= 1,5 / 5,2 * 4,8 = 1,4 млн грн</w:t>
            </w:r>
          </w:p>
        </w:tc>
      </w:tr>
      <w:tr w:rsidR="00C93159" w:rsidRPr="00C93159" w:rsidTr="00C93159">
        <w:trPr>
          <w:tblCellSpacing w:w="22" w:type="dxa"/>
        </w:trPr>
        <w:tc>
          <w:tcPr>
            <w:tcW w:w="19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pPr>
            <w:r w:rsidRPr="00C93159">
              <w:t>ВСЬОГО вартість споживчих кредитів</w:t>
            </w:r>
          </w:p>
        </w:tc>
        <w:tc>
          <w:tcPr>
            <w:tcW w:w="10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right"/>
            </w:pPr>
            <w:r w:rsidRPr="00C93159">
              <w:t>10,0 млн грн</w:t>
            </w:r>
          </w:p>
        </w:tc>
        <w:tc>
          <w:tcPr>
            <w:tcW w:w="20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right"/>
            </w:pPr>
            <w:r w:rsidRPr="00C93159">
              <w:t>= 1,5 + 1,4 = 2,9 млн грн</w:t>
            </w:r>
          </w:p>
        </w:tc>
      </w:tr>
    </w:tbl>
    <w:p w:rsidR="00C93159" w:rsidRPr="00C93159" w:rsidRDefault="00C93159" w:rsidP="00C93159">
      <w:pPr>
        <w:pStyle w:val="a3"/>
        <w:jc w:val="both"/>
        <w:rPr>
          <w:lang w:val="uk-UA"/>
        </w:rPr>
      </w:pPr>
      <w:r w:rsidRPr="00C93159">
        <w:rPr>
          <w:lang w:val="uk-UA"/>
        </w:rPr>
        <w:br w:type="textWrapping" w:clear="all"/>
      </w:r>
    </w:p>
    <w:p w:rsidR="00C93159" w:rsidRPr="00C93159" w:rsidRDefault="00C93159" w:rsidP="00C93159">
      <w:pPr>
        <w:pStyle w:val="a3"/>
        <w:jc w:val="both"/>
        <w:rPr>
          <w:lang w:val="uk-UA"/>
        </w:rPr>
      </w:pPr>
      <w:r w:rsidRPr="00C93159">
        <w:rPr>
          <w:lang w:val="uk-UA"/>
        </w:rPr>
        <w:t>Для визначення вартості окремого активу (речі, майнового права тощо), щодо якого не було здійснено "due diligence" відповідно до цієї Методики, до балансової вартості застосовується коефіцієнт на рівні, визначеному для відповідної групи активів;</w:t>
      </w:r>
    </w:p>
    <w:p w:rsidR="00C93159" w:rsidRPr="00C93159" w:rsidRDefault="00C93159" w:rsidP="00C93159">
      <w:pPr>
        <w:pStyle w:val="a3"/>
        <w:jc w:val="both"/>
        <w:rPr>
          <w:lang w:val="uk-UA"/>
        </w:rPr>
      </w:pPr>
      <w:r w:rsidRPr="00C93159">
        <w:rPr>
          <w:lang w:val="uk-UA"/>
        </w:rPr>
        <w:t>10) визначення загальної оціночної вартості активів шляхом складання результатів оцінки за кожною групою активів та власної нерухомості.</w:t>
      </w:r>
    </w:p>
    <w:p w:rsidR="00C93159" w:rsidRPr="00C93159" w:rsidRDefault="00C93159" w:rsidP="00C93159">
      <w:pPr>
        <w:pStyle w:val="a3"/>
        <w:jc w:val="both"/>
        <w:rPr>
          <w:lang w:val="uk-UA"/>
        </w:rPr>
      </w:pPr>
      <w:r w:rsidRPr="00C93159">
        <w:rPr>
          <w:lang w:val="uk-UA"/>
        </w:rPr>
        <w:t>2. З метою оцінки вартості кредитного портфеля за кожним кредитом визначаються характеристики.</w:t>
      </w:r>
    </w:p>
    <w:p w:rsidR="00C93159" w:rsidRPr="00C93159" w:rsidRDefault="00C93159" w:rsidP="00C93159">
      <w:pPr>
        <w:pStyle w:val="a3"/>
        <w:jc w:val="both"/>
        <w:rPr>
          <w:lang w:val="uk-UA"/>
        </w:rPr>
      </w:pPr>
      <w:r w:rsidRPr="00C93159">
        <w:rPr>
          <w:lang w:val="uk-UA"/>
        </w:rPr>
        <w:t>Категорія якості кредиту визначається за такими критеріями:</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685"/>
        <w:gridCol w:w="3413"/>
        <w:gridCol w:w="3435"/>
      </w:tblGrid>
      <w:tr w:rsidR="00C93159" w:rsidRPr="00C93159" w:rsidTr="00C93159">
        <w:trPr>
          <w:tblCellSpacing w:w="22" w:type="dxa"/>
        </w:trPr>
        <w:tc>
          <w:tcPr>
            <w:tcW w:w="1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t>Кількість календарних днів прострочення (включно)</w:t>
            </w:r>
          </w:p>
        </w:tc>
        <w:tc>
          <w:tcPr>
            <w:tcW w:w="18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t>Обсяг грошових надходжень від позичальника за останні 12 місяців</w:t>
            </w:r>
          </w:p>
        </w:tc>
        <w:tc>
          <w:tcPr>
            <w:tcW w:w="18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t>Класифікація</w:t>
            </w:r>
          </w:p>
        </w:tc>
      </w:tr>
      <w:tr w:rsidR="00C93159" w:rsidRPr="00C93159" w:rsidTr="00C93159">
        <w:trPr>
          <w:tblCellSpacing w:w="22" w:type="dxa"/>
        </w:trPr>
        <w:tc>
          <w:tcPr>
            <w:tcW w:w="1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t>від 0 до 90 включно</w:t>
            </w:r>
          </w:p>
        </w:tc>
        <w:tc>
          <w:tcPr>
            <w:tcW w:w="18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t>більше 2 % балансової вартості кредиту</w:t>
            </w:r>
          </w:p>
        </w:tc>
        <w:tc>
          <w:tcPr>
            <w:tcW w:w="18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t>працюючий кредит</w:t>
            </w:r>
          </w:p>
        </w:tc>
      </w:tr>
      <w:tr w:rsidR="00C93159" w:rsidRPr="00C93159" w:rsidTr="00C93159">
        <w:trPr>
          <w:tblCellSpacing w:w="22" w:type="dxa"/>
        </w:trPr>
        <w:tc>
          <w:tcPr>
            <w:tcW w:w="1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t>не важливо</w:t>
            </w:r>
          </w:p>
        </w:tc>
        <w:tc>
          <w:tcPr>
            <w:tcW w:w="18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t>не більше 2 % від балансової вартості кредиту</w:t>
            </w:r>
          </w:p>
        </w:tc>
        <w:tc>
          <w:tcPr>
            <w:tcW w:w="18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t>непрацюючий кредит</w:t>
            </w:r>
          </w:p>
        </w:tc>
      </w:tr>
      <w:tr w:rsidR="00C93159" w:rsidRPr="00C93159" w:rsidTr="00C93159">
        <w:trPr>
          <w:tblCellSpacing w:w="22" w:type="dxa"/>
        </w:trPr>
        <w:tc>
          <w:tcPr>
            <w:tcW w:w="1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t>понад 91</w:t>
            </w:r>
          </w:p>
        </w:tc>
        <w:tc>
          <w:tcPr>
            <w:tcW w:w="18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t>не важливо</w:t>
            </w:r>
          </w:p>
        </w:tc>
        <w:tc>
          <w:tcPr>
            <w:tcW w:w="18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t>непрацюючий кредит</w:t>
            </w:r>
          </w:p>
        </w:tc>
      </w:tr>
    </w:tbl>
    <w:p w:rsidR="00C93159" w:rsidRPr="00C93159" w:rsidRDefault="00C93159" w:rsidP="00C93159">
      <w:pPr>
        <w:pStyle w:val="a3"/>
        <w:jc w:val="both"/>
        <w:rPr>
          <w:lang w:val="uk-UA"/>
        </w:rPr>
      </w:pPr>
      <w:r w:rsidRPr="00C93159">
        <w:rPr>
          <w:lang w:val="uk-UA"/>
        </w:rPr>
        <w:br w:type="textWrapping" w:clear="all"/>
      </w:r>
    </w:p>
    <w:p w:rsidR="00C93159" w:rsidRPr="00C93159" w:rsidRDefault="00C93159" w:rsidP="00C93159">
      <w:pPr>
        <w:pStyle w:val="a3"/>
        <w:jc w:val="both"/>
        <w:rPr>
          <w:lang w:val="uk-UA"/>
        </w:rPr>
      </w:pPr>
      <w:r w:rsidRPr="00C93159">
        <w:rPr>
          <w:lang w:val="uk-UA"/>
        </w:rPr>
        <w:t>З метою оцінки активів проблемного банку кількість календарних днів прострочення визначається на звітну дату. З метою оцінки активів банку, який віднесено до категорії неплатоспроможних, не більше ніж за 365 днів до звітної дати - на дату запровадження тимчасової адміністрації.</w:t>
      </w:r>
    </w:p>
    <w:p w:rsidR="00C93159" w:rsidRPr="00C93159" w:rsidRDefault="00C93159" w:rsidP="00C93159">
      <w:pPr>
        <w:pStyle w:val="a3"/>
        <w:jc w:val="both"/>
        <w:rPr>
          <w:lang w:val="uk-UA"/>
        </w:rPr>
      </w:pPr>
      <w:r w:rsidRPr="00C93159">
        <w:rPr>
          <w:lang w:val="uk-UA"/>
        </w:rPr>
        <w:t>За наявності інформації обсяг грошових надходжень від позичальника за останні 12 місяців визначається без врахування:</w:t>
      </w:r>
    </w:p>
    <w:p w:rsidR="00C93159" w:rsidRPr="00C93159" w:rsidRDefault="00C93159" w:rsidP="00C93159">
      <w:pPr>
        <w:pStyle w:val="a3"/>
        <w:jc w:val="both"/>
        <w:rPr>
          <w:lang w:val="uk-UA"/>
        </w:rPr>
      </w:pPr>
      <w:r w:rsidRPr="00C93159">
        <w:rPr>
          <w:lang w:val="uk-UA"/>
        </w:rPr>
        <w:t>платежів, здійснених позичальником/поручителем за рахунок нових кредитів/траншів кредитної лінії, наданих проблемним/неплатоспроможним банком;</w:t>
      </w:r>
    </w:p>
    <w:p w:rsidR="00C93159" w:rsidRPr="00C93159" w:rsidRDefault="00C93159" w:rsidP="00C93159">
      <w:pPr>
        <w:pStyle w:val="a3"/>
        <w:jc w:val="both"/>
        <w:rPr>
          <w:lang w:val="uk-UA"/>
        </w:rPr>
      </w:pPr>
      <w:r w:rsidRPr="00C93159">
        <w:rPr>
          <w:lang w:val="uk-UA"/>
        </w:rPr>
        <w:t>операцій, визнаних нікчемними відповідно до статті 38 Закону.</w:t>
      </w:r>
    </w:p>
    <w:p w:rsidR="00C93159" w:rsidRPr="00C93159" w:rsidRDefault="00C93159" w:rsidP="00C93159">
      <w:pPr>
        <w:pStyle w:val="a3"/>
        <w:jc w:val="both"/>
        <w:rPr>
          <w:lang w:val="uk-UA"/>
        </w:rPr>
      </w:pPr>
      <w:r w:rsidRPr="00C93159">
        <w:rPr>
          <w:lang w:val="uk-UA"/>
        </w:rPr>
        <w:t>Строк закінчення кредитного договору визначається у роках (із округленням до цілого числа).</w:t>
      </w:r>
    </w:p>
    <w:p w:rsidR="00C93159" w:rsidRPr="00C93159" w:rsidRDefault="00C93159" w:rsidP="00C93159">
      <w:pPr>
        <w:pStyle w:val="a3"/>
        <w:jc w:val="both"/>
        <w:rPr>
          <w:lang w:val="uk-UA"/>
        </w:rPr>
      </w:pPr>
      <w:r w:rsidRPr="00C93159">
        <w:rPr>
          <w:lang w:val="uk-UA"/>
        </w:rPr>
        <w:lastRenderedPageBreak/>
        <w:t>Для оцінки кредитів здійснюється розрахунок теперішньої вартості майбутніх грошових потоків від погашення виділеної частки активів (PV).</w:t>
      </w:r>
    </w:p>
    <w:p w:rsidR="00C93159" w:rsidRPr="00C93159" w:rsidRDefault="00C93159" w:rsidP="00C93159">
      <w:pPr>
        <w:pStyle w:val="a3"/>
        <w:jc w:val="both"/>
        <w:rPr>
          <w:lang w:val="uk-UA"/>
        </w:rPr>
      </w:pPr>
      <w:r w:rsidRPr="00C93159">
        <w:rPr>
          <w:lang w:val="uk-UA"/>
        </w:rPr>
        <w:t>Для оцінки можливої вартості кредитів банку відповідальна особа Фонду здійснює:</w:t>
      </w:r>
    </w:p>
    <w:p w:rsidR="00C93159" w:rsidRPr="00C93159" w:rsidRDefault="00C93159" w:rsidP="00C93159">
      <w:pPr>
        <w:pStyle w:val="a3"/>
        <w:jc w:val="both"/>
        <w:rPr>
          <w:lang w:val="uk-UA"/>
        </w:rPr>
      </w:pPr>
      <w:r w:rsidRPr="00C93159">
        <w:rPr>
          <w:lang w:val="uk-UA"/>
        </w:rPr>
        <w:t>групування кредитів за позичальниками;</w:t>
      </w:r>
    </w:p>
    <w:p w:rsidR="00C93159" w:rsidRPr="00C93159" w:rsidRDefault="00C93159" w:rsidP="00C93159">
      <w:pPr>
        <w:pStyle w:val="a3"/>
        <w:jc w:val="both"/>
        <w:rPr>
          <w:lang w:val="uk-UA"/>
        </w:rPr>
      </w:pPr>
      <w:r w:rsidRPr="00C93159">
        <w:rPr>
          <w:lang w:val="uk-UA"/>
        </w:rPr>
        <w:t>визначення загальної вартості кредитів, наданих кожному позичальникові;</w:t>
      </w:r>
    </w:p>
    <w:p w:rsidR="00C93159" w:rsidRPr="00C93159" w:rsidRDefault="00C93159" w:rsidP="00C93159">
      <w:pPr>
        <w:pStyle w:val="a3"/>
        <w:jc w:val="both"/>
        <w:rPr>
          <w:lang w:val="uk-UA"/>
        </w:rPr>
      </w:pPr>
      <w:r w:rsidRPr="00C93159">
        <w:rPr>
          <w:lang w:val="uk-UA"/>
        </w:rPr>
        <w:t>формування однорідних підпортфелів за типом кредитного продукту (відповідно до додатка 2 до цієї Методики);</w:t>
      </w:r>
    </w:p>
    <w:p w:rsidR="00C93159" w:rsidRPr="00C93159" w:rsidRDefault="00C93159" w:rsidP="00C93159">
      <w:pPr>
        <w:pStyle w:val="a3"/>
        <w:jc w:val="both"/>
        <w:rPr>
          <w:lang w:val="uk-UA"/>
        </w:rPr>
      </w:pPr>
      <w:r w:rsidRPr="00C93159">
        <w:rPr>
          <w:lang w:val="uk-UA"/>
        </w:rPr>
        <w:t>сортування підпортфелів кредитного портфеля та за балансовою вартістю кредиту у зворотному порядку (від більшого до меншого);</w:t>
      </w:r>
    </w:p>
    <w:p w:rsidR="00C93159" w:rsidRPr="00C93159" w:rsidRDefault="00C93159" w:rsidP="00C93159">
      <w:pPr>
        <w:pStyle w:val="a3"/>
        <w:jc w:val="both"/>
        <w:rPr>
          <w:lang w:val="uk-UA"/>
        </w:rPr>
      </w:pPr>
      <w:r w:rsidRPr="00C93159">
        <w:rPr>
          <w:lang w:val="uk-UA"/>
        </w:rPr>
        <w:t>виділення у кожному підпортфелі найбільших кредитів (які ще не оцінені), балансова вартість яких складає 20 % балансової вартості відповідного підпортфеля;</w:t>
      </w:r>
    </w:p>
    <w:p w:rsidR="00C93159" w:rsidRPr="00C93159" w:rsidRDefault="00C93159" w:rsidP="00C93159">
      <w:pPr>
        <w:pStyle w:val="a3"/>
        <w:jc w:val="both"/>
        <w:rPr>
          <w:lang w:val="uk-UA"/>
        </w:rPr>
      </w:pPr>
      <w:r w:rsidRPr="00C93159">
        <w:rPr>
          <w:lang w:val="uk-UA"/>
        </w:rPr>
        <w:t>пошук у кожному підпортфелі кредитів таких, які мають одночасно дві або більше ознак шахрайства (за наявності обґрунтованих підстав відповідальна особа Фонду має право не застосовувати ці критерії до окремих кредитів), а саме:</w:t>
      </w:r>
    </w:p>
    <w:p w:rsidR="00C93159" w:rsidRPr="00C93159" w:rsidRDefault="00C93159" w:rsidP="00C93159">
      <w:pPr>
        <w:pStyle w:val="a3"/>
        <w:jc w:val="both"/>
        <w:rPr>
          <w:lang w:val="uk-UA"/>
        </w:rPr>
      </w:pPr>
      <w:r w:rsidRPr="00C93159">
        <w:rPr>
          <w:lang w:val="uk-UA"/>
        </w:rPr>
        <w:t>забезпеченням за кредитом юридичної особи є депозит тієї ж юридичної особи у тому ж банку;</w:t>
      </w:r>
    </w:p>
    <w:p w:rsidR="00C93159" w:rsidRPr="00C93159" w:rsidRDefault="00C93159" w:rsidP="00C93159">
      <w:pPr>
        <w:pStyle w:val="a3"/>
        <w:jc w:val="both"/>
        <w:rPr>
          <w:lang w:val="uk-UA"/>
        </w:rPr>
      </w:pPr>
      <w:r w:rsidRPr="00C93159">
        <w:rPr>
          <w:lang w:val="uk-UA"/>
        </w:rPr>
        <w:t>забезпеченням за кредитом є неліквідні активи (коди видів забезпечення - відповідно до додатка 3 до цієї Методики, у тому числі активи, які мають ознаки формування цін на них шахрайським способом);</w:t>
      </w:r>
    </w:p>
    <w:p w:rsidR="00C93159" w:rsidRPr="00C93159" w:rsidRDefault="00C93159" w:rsidP="00C93159">
      <w:pPr>
        <w:pStyle w:val="a3"/>
        <w:jc w:val="both"/>
        <w:rPr>
          <w:lang w:val="uk-UA"/>
        </w:rPr>
      </w:pPr>
      <w:r w:rsidRPr="00C93159">
        <w:rPr>
          <w:lang w:val="uk-UA"/>
        </w:rPr>
        <w:t>кредити були надані підприємствам, які засновані підприємствами, пов'язаними з банківською групою / з банком особами;</w:t>
      </w:r>
    </w:p>
    <w:p w:rsidR="00C93159" w:rsidRPr="00C93159" w:rsidRDefault="00C93159" w:rsidP="00C93159">
      <w:pPr>
        <w:pStyle w:val="a3"/>
        <w:jc w:val="both"/>
        <w:rPr>
          <w:lang w:val="uk-UA"/>
        </w:rPr>
      </w:pPr>
      <w:r w:rsidRPr="00C93159">
        <w:rPr>
          <w:lang w:val="uk-UA"/>
        </w:rPr>
        <w:t>кредити, надані на неринкових умовах;</w:t>
      </w:r>
    </w:p>
    <w:p w:rsidR="00C93159" w:rsidRPr="00C93159" w:rsidRDefault="00C93159" w:rsidP="00C93159">
      <w:pPr>
        <w:pStyle w:val="a3"/>
        <w:jc w:val="both"/>
        <w:rPr>
          <w:lang w:val="uk-UA"/>
        </w:rPr>
      </w:pPr>
      <w:r w:rsidRPr="00C93159">
        <w:rPr>
          <w:lang w:val="uk-UA"/>
        </w:rPr>
        <w:t>кредити, надані пов'язаним із банком особам;</w:t>
      </w:r>
    </w:p>
    <w:p w:rsidR="00C93159" w:rsidRPr="00C93159" w:rsidRDefault="00C93159" w:rsidP="00C93159">
      <w:pPr>
        <w:pStyle w:val="a3"/>
        <w:jc w:val="both"/>
        <w:rPr>
          <w:lang w:val="uk-UA"/>
        </w:rPr>
      </w:pPr>
      <w:r w:rsidRPr="00C93159">
        <w:rPr>
          <w:lang w:val="uk-UA"/>
        </w:rPr>
        <w:t>кредити, надані компаніям, які не мають достатнього обсягу доходів від основної діяльності для покриття відсотків за кредитом;</w:t>
      </w:r>
    </w:p>
    <w:p w:rsidR="00C93159" w:rsidRPr="00C93159" w:rsidRDefault="00C93159" w:rsidP="00C93159">
      <w:pPr>
        <w:pStyle w:val="a3"/>
        <w:jc w:val="both"/>
        <w:rPr>
          <w:lang w:val="uk-UA"/>
        </w:rPr>
      </w:pPr>
      <w:r w:rsidRPr="00C93159">
        <w:rPr>
          <w:lang w:val="uk-UA"/>
        </w:rPr>
        <w:t>кредити, надані компаніям, які не мають достатньої кількості персоналу для провадження основної діяльності;</w:t>
      </w:r>
    </w:p>
    <w:p w:rsidR="00C93159" w:rsidRPr="00C93159" w:rsidRDefault="00C93159" w:rsidP="00C93159">
      <w:pPr>
        <w:pStyle w:val="a3"/>
        <w:jc w:val="both"/>
        <w:rPr>
          <w:lang w:val="uk-UA"/>
        </w:rPr>
      </w:pPr>
      <w:r w:rsidRPr="00C93159">
        <w:rPr>
          <w:lang w:val="uk-UA"/>
        </w:rPr>
        <w:t>відсутні грошові надходження за кредитом за весь період з дати його видачі;</w:t>
      </w:r>
    </w:p>
    <w:p w:rsidR="00C93159" w:rsidRPr="00C93159" w:rsidRDefault="00C93159" w:rsidP="00C93159">
      <w:pPr>
        <w:pStyle w:val="a3"/>
        <w:jc w:val="both"/>
        <w:rPr>
          <w:lang w:val="uk-UA"/>
        </w:rPr>
      </w:pPr>
      <w:r w:rsidRPr="00C93159">
        <w:rPr>
          <w:lang w:val="uk-UA"/>
        </w:rPr>
        <w:t>неодноразово реструктуризовані кредити за умови відсутності грошових надходжень за кредитами протягом останніх 12 місяців;</w:t>
      </w:r>
    </w:p>
    <w:p w:rsidR="00C93159" w:rsidRPr="00C93159" w:rsidRDefault="00C93159" w:rsidP="00C93159">
      <w:pPr>
        <w:pStyle w:val="a3"/>
        <w:jc w:val="both"/>
        <w:rPr>
          <w:lang w:val="uk-UA"/>
        </w:rPr>
      </w:pPr>
      <w:r w:rsidRPr="00C93159">
        <w:rPr>
          <w:lang w:val="uk-UA"/>
        </w:rPr>
        <w:t>кредити або кредитні лінії погашаються виключно за рахунок видачі нових кредитів або нових наданих траншів;</w:t>
      </w:r>
    </w:p>
    <w:p w:rsidR="00C93159" w:rsidRPr="00C93159" w:rsidRDefault="00C93159" w:rsidP="00C93159">
      <w:pPr>
        <w:pStyle w:val="a3"/>
        <w:jc w:val="both"/>
        <w:rPr>
          <w:lang w:val="uk-UA"/>
        </w:rPr>
      </w:pPr>
      <w:r w:rsidRPr="00C93159">
        <w:rPr>
          <w:lang w:val="uk-UA"/>
        </w:rPr>
        <w:t>кредити різним позичальникам, надані під одне й те саме забезпечення (при цьому вартість забезпечення значно нижча за загальну вартість таких кредитів);</w:t>
      </w:r>
    </w:p>
    <w:p w:rsidR="00C93159" w:rsidRPr="00C93159" w:rsidRDefault="00C93159" w:rsidP="00C93159">
      <w:pPr>
        <w:pStyle w:val="a3"/>
        <w:jc w:val="both"/>
        <w:rPr>
          <w:lang w:val="uk-UA"/>
        </w:rPr>
      </w:pPr>
      <w:r w:rsidRPr="00C93159">
        <w:rPr>
          <w:lang w:val="uk-UA"/>
        </w:rPr>
        <w:lastRenderedPageBreak/>
        <w:t>кредити, надані особам, які також отримали інший кредит, віднесений до категорії шахрайських.</w:t>
      </w:r>
    </w:p>
    <w:p w:rsidR="00C93159" w:rsidRPr="00C93159" w:rsidRDefault="00C93159" w:rsidP="00C93159">
      <w:pPr>
        <w:pStyle w:val="a3"/>
        <w:jc w:val="both"/>
        <w:rPr>
          <w:lang w:val="uk-UA"/>
        </w:rPr>
      </w:pPr>
      <w:r w:rsidRPr="00C93159">
        <w:rPr>
          <w:lang w:val="uk-UA"/>
        </w:rPr>
        <w:t>Оцінка кредитів, віднесених до категорії шахрайських, здійснюється шляхом обов'язкового застосування поправочних коефіцієнтів, що враховують відсутність забезпечення та/або позичальника.</w:t>
      </w:r>
    </w:p>
    <w:p w:rsidR="00C93159" w:rsidRPr="00C93159" w:rsidRDefault="00C93159" w:rsidP="00C93159">
      <w:pPr>
        <w:pStyle w:val="a3"/>
        <w:jc w:val="both"/>
        <w:rPr>
          <w:lang w:val="uk-UA"/>
        </w:rPr>
      </w:pPr>
      <w:r w:rsidRPr="00C93159">
        <w:rPr>
          <w:lang w:val="uk-UA"/>
        </w:rPr>
        <w:t>Кредити, видані компаніям, зареєстрованим у зоні проведення антитерористичної операції або на окупованій території, або забезпеченим активами, що знаходяться у зоні проведення антитерористичної операції або на окупованій території, оцінюються шляхом обов'язкового застосування відповідних поправочних коефіцієнтів, що враховують відсутність доступу до об'єктів забезпечення, неможливості перевірки їх фактичної наявності;</w:t>
      </w:r>
    </w:p>
    <w:p w:rsidR="00C93159" w:rsidRPr="00C93159" w:rsidRDefault="00C93159" w:rsidP="00C93159">
      <w:pPr>
        <w:pStyle w:val="a3"/>
        <w:jc w:val="both"/>
        <w:rPr>
          <w:lang w:val="uk-UA"/>
        </w:rPr>
      </w:pPr>
      <w:r w:rsidRPr="00C93159">
        <w:rPr>
          <w:lang w:val="uk-UA"/>
        </w:rPr>
        <w:t>розділення модифікованих підпортфелів кредитного портфеля на два підпортфеля: підпортфель працюючих кредитів та підпортфель непрацюючих кредитів.</w:t>
      </w:r>
    </w:p>
    <w:p w:rsidR="00C93159" w:rsidRPr="00C93159" w:rsidRDefault="00C93159" w:rsidP="00C93159">
      <w:pPr>
        <w:pStyle w:val="a3"/>
        <w:jc w:val="both"/>
        <w:rPr>
          <w:lang w:val="uk-UA"/>
        </w:rPr>
      </w:pPr>
      <w:r w:rsidRPr="00C93159">
        <w:rPr>
          <w:lang w:val="uk-UA"/>
        </w:rPr>
        <w:t>Для оцінки можливої вартості працюючих кредитів банку відповідальна особа Фонду здійснює:</w:t>
      </w:r>
    </w:p>
    <w:p w:rsidR="00C93159" w:rsidRPr="00C93159" w:rsidRDefault="00C93159" w:rsidP="00C93159">
      <w:pPr>
        <w:pStyle w:val="a3"/>
        <w:jc w:val="both"/>
        <w:rPr>
          <w:lang w:val="uk-UA"/>
        </w:rPr>
      </w:pPr>
      <w:r w:rsidRPr="00C93159">
        <w:rPr>
          <w:lang w:val="uk-UA"/>
        </w:rPr>
        <w:t>визначення базового коефіцієнта дисконтування шляхом розрахунку середнього значення річної ставки за кредитами за останні 12 місяців за статистичними даними, опублікованими в електронному бюлетені (електронному виданні) на сторінці офіційного Інтернет-представництва НБУ (графа "сектор загального державного управління, процентна ставка, %" таблиці 4.1.1.1 "Процентні ставки за новими кредитами резидентам (крім інших депозитних корпорацій) за секторами економіки" розділу 4 "Фінансові ринки";</w:t>
      </w:r>
    </w:p>
    <w:p w:rsidR="00C93159" w:rsidRPr="00C93159" w:rsidRDefault="00C93159" w:rsidP="00C93159">
      <w:pPr>
        <w:pStyle w:val="a3"/>
        <w:jc w:val="both"/>
        <w:rPr>
          <w:lang w:val="uk-UA"/>
        </w:rPr>
      </w:pPr>
      <w:r w:rsidRPr="00C93159">
        <w:rPr>
          <w:lang w:val="uk-UA"/>
        </w:rPr>
        <w:t>корегування базового коефіцієнта дисконтування відповідно до класифікації кожного кредиту у модифікованому портфелі згідно з рішенням виконавчої дирекції Фонду (шляхом додавання до базового коефіцієнта поправочних коефіцієнтів).</w:t>
      </w:r>
    </w:p>
    <w:p w:rsidR="00C93159" w:rsidRPr="00C93159" w:rsidRDefault="00C93159" w:rsidP="00C93159">
      <w:pPr>
        <w:pStyle w:val="a3"/>
        <w:jc w:val="both"/>
        <w:rPr>
          <w:lang w:val="uk-UA"/>
        </w:rPr>
      </w:pPr>
      <w:r w:rsidRPr="00C93159">
        <w:rPr>
          <w:lang w:val="uk-UA"/>
        </w:rPr>
        <w:t>При цьому вважаються незабезпеченими кредити, забезпечені наступними видами забезпечень:</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955"/>
        <w:gridCol w:w="4578"/>
      </w:tblGrid>
      <w:tr w:rsidR="00C93159" w:rsidRPr="00C93159" w:rsidTr="00C93159">
        <w:trPr>
          <w:tblCellSpacing w:w="22" w:type="dxa"/>
        </w:trPr>
        <w:tc>
          <w:tcPr>
            <w:tcW w:w="26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Код видів забезпечення згідно з додатком</w:t>
            </w:r>
          </w:p>
        </w:tc>
        <w:tc>
          <w:tcPr>
            <w:tcW w:w="2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Примітки</w:t>
            </w:r>
          </w:p>
        </w:tc>
      </w:tr>
      <w:tr w:rsidR="00C93159" w:rsidRPr="00C93159" w:rsidTr="00C93159">
        <w:trPr>
          <w:tblCellSpacing w:w="22" w:type="dxa"/>
        </w:trPr>
        <w:tc>
          <w:tcPr>
            <w:tcW w:w="26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Фінансові гарантії (коди довідника НБУ "КЛ_S031" за станом на 30.09.2014: 11, 12, 13, 14, 15, 19, 20, 21, 22, 23, 24, 31, 34, 36, 39, 52, 53, 54, 57)</w:t>
            </w:r>
          </w:p>
        </w:tc>
        <w:tc>
          <w:tcPr>
            <w:tcW w:w="2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за умови, що фінансова гарантія не може бути оцінена або емітент не може виконати зобов'язання за кредитом</w:t>
            </w:r>
          </w:p>
        </w:tc>
      </w:tr>
      <w:tr w:rsidR="00C93159" w:rsidRPr="00C93159" w:rsidTr="00C93159">
        <w:trPr>
          <w:tblCellSpacing w:w="22" w:type="dxa"/>
        </w:trPr>
        <w:tc>
          <w:tcPr>
            <w:tcW w:w="26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Інші забезпечення: (16, 17, 18, 27, 28, 29, 30, 32, 33, 55, 90)</w:t>
            </w:r>
          </w:p>
        </w:tc>
        <w:tc>
          <w:tcPr>
            <w:tcW w:w="2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 </w:t>
            </w:r>
          </w:p>
        </w:tc>
      </w:tr>
    </w:tbl>
    <w:p w:rsidR="00C93159" w:rsidRPr="00C93159" w:rsidRDefault="00C93159" w:rsidP="00C93159">
      <w:pPr>
        <w:pStyle w:val="a3"/>
        <w:jc w:val="both"/>
        <w:rPr>
          <w:lang w:val="uk-UA"/>
        </w:rPr>
      </w:pPr>
      <w:r w:rsidRPr="00C93159">
        <w:rPr>
          <w:lang w:val="uk-UA"/>
        </w:rPr>
        <w:br w:type="textWrapping" w:clear="all"/>
      </w:r>
    </w:p>
    <w:p w:rsidR="00C93159" w:rsidRPr="00C93159" w:rsidRDefault="00C93159" w:rsidP="00C93159">
      <w:pPr>
        <w:pStyle w:val="a3"/>
        <w:jc w:val="both"/>
        <w:rPr>
          <w:lang w:val="uk-UA"/>
        </w:rPr>
      </w:pPr>
      <w:r w:rsidRPr="00C93159">
        <w:rPr>
          <w:lang w:val="uk-UA"/>
        </w:rPr>
        <w:t>Розрахунок теперішньої вартості майбутніх грошових потоків за кредитами, що віднесені до працюючих, здійснюється за формулою:</w:t>
      </w:r>
    </w:p>
    <w:tbl>
      <w:tblPr>
        <w:tblW w:w="5000" w:type="pct"/>
        <w:jc w:val="center"/>
        <w:tblCellSpacing w:w="22" w:type="dxa"/>
        <w:tblCellMar>
          <w:top w:w="30" w:type="dxa"/>
          <w:left w:w="30" w:type="dxa"/>
          <w:bottom w:w="30" w:type="dxa"/>
          <w:right w:w="30" w:type="dxa"/>
        </w:tblCellMar>
        <w:tblLook w:val="04A0"/>
      </w:tblPr>
      <w:tblGrid>
        <w:gridCol w:w="5501"/>
        <w:gridCol w:w="4002"/>
      </w:tblGrid>
      <w:tr w:rsidR="00C93159" w:rsidRPr="00C93159" w:rsidTr="00C93159">
        <w:trPr>
          <w:tblCellSpacing w:w="22" w:type="dxa"/>
          <w:jc w:val="center"/>
        </w:trPr>
        <w:tc>
          <w:tcPr>
            <w:tcW w:w="2900" w:type="pct"/>
            <w:vAlign w:val="center"/>
            <w:hideMark/>
          </w:tcPr>
          <w:p w:rsidR="00C93159" w:rsidRPr="00C93159" w:rsidRDefault="00C93159">
            <w:pPr>
              <w:pStyle w:val="a3"/>
              <w:jc w:val="right"/>
            </w:pPr>
            <w:r w:rsidRPr="00C93159">
              <w:lastRenderedPageBreak/>
              <w:t> </w:t>
            </w:r>
            <w:r w:rsidRPr="00C93159">
              <w:rPr>
                <w:noProof/>
              </w:rPr>
              <w:drawing>
                <wp:inline distT="0" distB="0" distL="0" distR="0">
                  <wp:extent cx="1329055" cy="553085"/>
                  <wp:effectExtent l="19050" t="0" r="4445" b="0"/>
                  <wp:docPr id="2" name="Рисунок 2" descr="C:\Users\Sorochenko_A\AppData\Roaming\Liga70\Client\Session\RE2993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rochenko_A\AppData\Roaming\Liga70\Client\Session\RE29934_img_001.gif"/>
                          <pic:cNvPicPr>
                            <a:picLocks noChangeAspect="1" noChangeArrowheads="1"/>
                          </pic:cNvPicPr>
                        </pic:nvPicPr>
                        <pic:blipFill>
                          <a:blip r:embed="rId4"/>
                          <a:srcRect/>
                          <a:stretch>
                            <a:fillRect/>
                          </a:stretch>
                        </pic:blipFill>
                        <pic:spPr bwMode="auto">
                          <a:xfrm>
                            <a:off x="0" y="0"/>
                            <a:ext cx="1329055" cy="553085"/>
                          </a:xfrm>
                          <a:prstGeom prst="rect">
                            <a:avLst/>
                          </a:prstGeom>
                          <a:noFill/>
                          <a:ln w="9525">
                            <a:noFill/>
                            <a:miter lim="800000"/>
                            <a:headEnd/>
                            <a:tailEnd/>
                          </a:ln>
                        </pic:spPr>
                      </pic:pic>
                    </a:graphicData>
                  </a:graphic>
                </wp:inline>
              </w:drawing>
            </w:r>
            <w:r w:rsidRPr="00C93159">
              <w:t> </w:t>
            </w:r>
          </w:p>
        </w:tc>
        <w:tc>
          <w:tcPr>
            <w:tcW w:w="2100" w:type="pct"/>
            <w:vAlign w:val="center"/>
            <w:hideMark/>
          </w:tcPr>
          <w:p w:rsidR="00C93159" w:rsidRPr="00C93159" w:rsidRDefault="00C93159">
            <w:pPr>
              <w:pStyle w:val="a3"/>
            </w:pPr>
            <w:r w:rsidRPr="00C93159">
              <w:t>,</w:t>
            </w:r>
          </w:p>
        </w:tc>
      </w:tr>
    </w:tbl>
    <w:p w:rsidR="00C93159" w:rsidRPr="00C93159" w:rsidRDefault="00C93159" w:rsidP="00C93159">
      <w:pPr>
        <w:pStyle w:val="a3"/>
        <w:jc w:val="both"/>
        <w:rPr>
          <w:lang w:val="uk-UA"/>
        </w:rPr>
      </w:pPr>
      <w:r w:rsidRPr="00C93159">
        <w:rPr>
          <w:lang w:val="uk-UA"/>
        </w:rPr>
        <w:br w:type="textWrapping" w:clear="all"/>
      </w:r>
    </w:p>
    <w:p w:rsidR="00C93159" w:rsidRPr="00C93159" w:rsidRDefault="00C93159" w:rsidP="00C93159">
      <w:pPr>
        <w:pStyle w:val="a3"/>
        <w:jc w:val="both"/>
        <w:rPr>
          <w:lang w:val="uk-UA"/>
        </w:rPr>
      </w:pPr>
      <w:r w:rsidRPr="00C93159">
        <w:rPr>
          <w:lang w:val="uk-UA"/>
        </w:rPr>
        <w:t>де P</w:t>
      </w:r>
      <w:r w:rsidRPr="00C93159">
        <w:rPr>
          <w:vertAlign w:val="subscript"/>
          <w:lang w:val="uk-UA"/>
        </w:rPr>
        <w:t xml:space="preserve"> t</w:t>
      </w:r>
      <w:r w:rsidRPr="00C93159">
        <w:rPr>
          <w:lang w:val="uk-UA"/>
        </w:rPr>
        <w:t xml:space="preserve"> - сума основного боргу, що має бути сплачена позичальником банку у відповідному розрахунковому періоді, грн;</w:t>
      </w:r>
    </w:p>
    <w:p w:rsidR="00C93159" w:rsidRPr="00C93159" w:rsidRDefault="00C93159" w:rsidP="00C93159">
      <w:pPr>
        <w:pStyle w:val="a3"/>
        <w:jc w:val="both"/>
        <w:rPr>
          <w:lang w:val="uk-UA"/>
        </w:rPr>
      </w:pPr>
      <w:r w:rsidRPr="00C93159">
        <w:rPr>
          <w:lang w:val="uk-UA"/>
        </w:rPr>
        <w:t>I</w:t>
      </w:r>
      <w:r w:rsidRPr="00C93159">
        <w:rPr>
          <w:vertAlign w:val="subscript"/>
          <w:lang w:val="uk-UA"/>
        </w:rPr>
        <w:t xml:space="preserve"> t</w:t>
      </w:r>
      <w:r w:rsidRPr="00C93159">
        <w:rPr>
          <w:lang w:val="uk-UA"/>
        </w:rPr>
        <w:t xml:space="preserve"> - сума відсотків, комісій та інших платежів із обслуговування заборгованості за кредитом, що мають бути сплачені позичальником банку у відповідному розрахунковому періоді, грн;</w:t>
      </w:r>
    </w:p>
    <w:p w:rsidR="00C93159" w:rsidRPr="00C93159" w:rsidRDefault="00C93159" w:rsidP="00C93159">
      <w:pPr>
        <w:pStyle w:val="a3"/>
        <w:jc w:val="both"/>
        <w:rPr>
          <w:lang w:val="uk-UA"/>
        </w:rPr>
      </w:pPr>
      <w:r w:rsidRPr="00C93159">
        <w:rPr>
          <w:lang w:val="uk-UA"/>
        </w:rPr>
        <w:t>d - ставка дисконтування для працюючих кредитів;</w:t>
      </w:r>
    </w:p>
    <w:p w:rsidR="00C93159" w:rsidRPr="00C93159" w:rsidRDefault="00C93159" w:rsidP="00C93159">
      <w:pPr>
        <w:pStyle w:val="a3"/>
        <w:jc w:val="both"/>
        <w:rPr>
          <w:lang w:val="uk-UA"/>
        </w:rPr>
      </w:pPr>
      <w:r w:rsidRPr="00C93159">
        <w:rPr>
          <w:lang w:val="uk-UA"/>
        </w:rPr>
        <w:t>n - кількість розрахункових періодів, років;</w:t>
      </w:r>
    </w:p>
    <w:p w:rsidR="00C93159" w:rsidRPr="00C93159" w:rsidRDefault="00C93159" w:rsidP="00C93159">
      <w:pPr>
        <w:pStyle w:val="a3"/>
        <w:jc w:val="both"/>
        <w:rPr>
          <w:lang w:val="uk-UA"/>
        </w:rPr>
      </w:pPr>
      <w:r w:rsidRPr="00C93159">
        <w:rPr>
          <w:lang w:val="uk-UA"/>
        </w:rPr>
        <w:t>t - розрахунковий період.</w:t>
      </w:r>
    </w:p>
    <w:p w:rsidR="00C93159" w:rsidRPr="00C93159" w:rsidRDefault="00C93159" w:rsidP="00C93159">
      <w:pPr>
        <w:pStyle w:val="a3"/>
        <w:jc w:val="both"/>
        <w:rPr>
          <w:lang w:val="uk-UA"/>
        </w:rPr>
      </w:pPr>
      <w:r w:rsidRPr="00C93159">
        <w:rPr>
          <w:lang w:val="uk-UA"/>
        </w:rPr>
        <w:t>За базовий розрахунковий період приймається строк в один рік, починаючи з дати оцінки, при цьому кількість розрахункових періодів відповідає строку найдовшого кредиту у модифікованому кредитному портфелі, що оцінюється.</w:t>
      </w:r>
    </w:p>
    <w:p w:rsidR="00C93159" w:rsidRPr="00C93159" w:rsidRDefault="00C93159" w:rsidP="00C93159">
      <w:pPr>
        <w:pStyle w:val="a3"/>
        <w:jc w:val="both"/>
        <w:rPr>
          <w:lang w:val="uk-UA"/>
        </w:rPr>
      </w:pPr>
      <w:r w:rsidRPr="00C93159">
        <w:rPr>
          <w:lang w:val="uk-UA"/>
        </w:rPr>
        <w:t>Оцінка непрацюючих бланкових кредитів (пулів кредитів) здійснюється такими шляхами:</w:t>
      </w:r>
    </w:p>
    <w:p w:rsidR="00C93159" w:rsidRPr="00C93159" w:rsidRDefault="00C93159" w:rsidP="00C93159">
      <w:pPr>
        <w:pStyle w:val="a3"/>
        <w:jc w:val="both"/>
        <w:rPr>
          <w:lang w:val="uk-UA"/>
        </w:rPr>
      </w:pPr>
      <w:r w:rsidRPr="00C93159">
        <w:rPr>
          <w:lang w:val="uk-UA"/>
        </w:rPr>
        <w:t>приведення потенційних майбутніх грошових потоків до теперішньої вартості (у разі наявності ретроспективних даних щодо опрацювання даного кредиту (пулу кредитів) компаніями зі стягнення активів та обґрунтованих прогнозів щодо зборів у майбутньому);</w:t>
      </w:r>
    </w:p>
    <w:p w:rsidR="00C93159" w:rsidRPr="00C93159" w:rsidRDefault="00C93159" w:rsidP="00C93159">
      <w:pPr>
        <w:pStyle w:val="a3"/>
        <w:jc w:val="both"/>
        <w:rPr>
          <w:lang w:val="uk-UA"/>
        </w:rPr>
      </w:pPr>
      <w:r w:rsidRPr="00C93159">
        <w:rPr>
          <w:lang w:val="uk-UA"/>
        </w:rPr>
        <w:t>множення загальної балансової вартості непрацюючих кредитів на коефіцієнт, що відображає середню ринкову вартість таких кредитів. Коефіцієнт визначається на підставі наявних даних про договори купівлі-продажу аналогічних кредитів за останні 6 місяців (за даними Фонду або інших банків).</w:t>
      </w:r>
    </w:p>
    <w:p w:rsidR="00C93159" w:rsidRPr="00C93159" w:rsidRDefault="00C93159" w:rsidP="00C93159">
      <w:pPr>
        <w:pStyle w:val="a3"/>
        <w:jc w:val="both"/>
        <w:rPr>
          <w:lang w:val="uk-UA"/>
        </w:rPr>
      </w:pPr>
      <w:r w:rsidRPr="00C93159">
        <w:rPr>
          <w:lang w:val="uk-UA"/>
        </w:rPr>
        <w:t>У разі неможливості прогнозування та відсутності статистичних даних за останні 6 місяців розрахунок теперішньої вартості майбутніх грошових потоків за бланковими кредитами, що віднесені до непрацюючих, здійснюється за формулою</w:t>
      </w:r>
    </w:p>
    <w:tbl>
      <w:tblPr>
        <w:tblW w:w="10500" w:type="dxa"/>
        <w:jc w:val="center"/>
        <w:tblCellSpacing w:w="22" w:type="dxa"/>
        <w:tblCellMar>
          <w:top w:w="30" w:type="dxa"/>
          <w:left w:w="30" w:type="dxa"/>
          <w:bottom w:w="30" w:type="dxa"/>
          <w:right w:w="30" w:type="dxa"/>
        </w:tblCellMar>
        <w:tblLook w:val="04A0"/>
      </w:tblPr>
      <w:tblGrid>
        <w:gridCol w:w="4609"/>
        <w:gridCol w:w="973"/>
        <w:gridCol w:w="4918"/>
      </w:tblGrid>
      <w:tr w:rsidR="00C93159" w:rsidRPr="00C93159" w:rsidTr="00C93159">
        <w:trPr>
          <w:tblCellSpacing w:w="22" w:type="dxa"/>
          <w:jc w:val="center"/>
        </w:trPr>
        <w:tc>
          <w:tcPr>
            <w:tcW w:w="2200" w:type="pct"/>
            <w:vMerge w:val="restart"/>
            <w:vAlign w:val="center"/>
            <w:hideMark/>
          </w:tcPr>
          <w:p w:rsidR="00C93159" w:rsidRPr="00C93159" w:rsidRDefault="00C93159">
            <w:pPr>
              <w:pStyle w:val="a3"/>
              <w:jc w:val="right"/>
            </w:pPr>
            <w:r w:rsidRPr="00C93159">
              <w:rPr>
                <w:i/>
                <w:iCs/>
              </w:rPr>
              <w:t xml:space="preserve">S = k </w:t>
            </w:r>
            <w:r w:rsidRPr="00C93159">
              <w:rPr>
                <w:rFonts w:ascii="Symbol" w:hAnsi="Symbol"/>
              </w:rPr>
              <w:t></w:t>
            </w:r>
          </w:p>
        </w:tc>
        <w:tc>
          <w:tcPr>
            <w:tcW w:w="450" w:type="pct"/>
            <w:vAlign w:val="bottom"/>
            <w:hideMark/>
          </w:tcPr>
          <w:p w:rsidR="00C93159" w:rsidRPr="00C93159" w:rsidRDefault="00C93159">
            <w:pPr>
              <w:pStyle w:val="a3"/>
              <w:jc w:val="center"/>
            </w:pPr>
            <w:r w:rsidRPr="00C93159">
              <w:t>Б</w:t>
            </w:r>
            <w:r w:rsidRPr="00C93159">
              <w:rPr>
                <w:vertAlign w:val="subscript"/>
              </w:rPr>
              <w:t xml:space="preserve"> t</w:t>
            </w:r>
          </w:p>
        </w:tc>
        <w:tc>
          <w:tcPr>
            <w:tcW w:w="2350" w:type="pct"/>
            <w:vMerge w:val="restart"/>
            <w:vAlign w:val="center"/>
            <w:hideMark/>
          </w:tcPr>
          <w:p w:rsidR="00C93159" w:rsidRPr="00C93159" w:rsidRDefault="00C93159">
            <w:pPr>
              <w:pStyle w:val="a3"/>
            </w:pPr>
            <w:r w:rsidRPr="00C93159">
              <w:t>,</w:t>
            </w:r>
          </w:p>
        </w:tc>
      </w:tr>
      <w:tr w:rsidR="00C93159" w:rsidRPr="00C93159" w:rsidTr="00C93159">
        <w:trPr>
          <w:tblCellSpacing w:w="22" w:type="dxa"/>
          <w:jc w:val="center"/>
        </w:trPr>
        <w:tc>
          <w:tcPr>
            <w:tcW w:w="0" w:type="auto"/>
            <w:vMerge/>
            <w:vAlign w:val="center"/>
            <w:hideMark/>
          </w:tcPr>
          <w:p w:rsidR="00C93159" w:rsidRPr="00C93159" w:rsidRDefault="00C93159"/>
        </w:tc>
        <w:tc>
          <w:tcPr>
            <w:tcW w:w="450" w:type="pct"/>
            <w:hideMark/>
          </w:tcPr>
          <w:p w:rsidR="00C93159" w:rsidRPr="00C93159" w:rsidRDefault="00C93159">
            <w:pPr>
              <w:pStyle w:val="a3"/>
              <w:jc w:val="center"/>
            </w:pPr>
            <w:r w:rsidRPr="00C93159">
              <w:rPr>
                <w:vertAlign w:val="superscript"/>
              </w:rPr>
              <w:t>________</w:t>
            </w:r>
          </w:p>
        </w:tc>
        <w:tc>
          <w:tcPr>
            <w:tcW w:w="0" w:type="auto"/>
            <w:vMerge/>
            <w:vAlign w:val="center"/>
            <w:hideMark/>
          </w:tcPr>
          <w:p w:rsidR="00C93159" w:rsidRPr="00C93159" w:rsidRDefault="00C93159"/>
        </w:tc>
      </w:tr>
      <w:tr w:rsidR="00C93159" w:rsidRPr="00C93159" w:rsidTr="00C93159">
        <w:trPr>
          <w:tblCellSpacing w:w="22" w:type="dxa"/>
          <w:jc w:val="center"/>
        </w:trPr>
        <w:tc>
          <w:tcPr>
            <w:tcW w:w="0" w:type="auto"/>
            <w:vMerge/>
            <w:vAlign w:val="center"/>
            <w:hideMark/>
          </w:tcPr>
          <w:p w:rsidR="00C93159" w:rsidRPr="00C93159" w:rsidRDefault="00C93159"/>
        </w:tc>
        <w:tc>
          <w:tcPr>
            <w:tcW w:w="450" w:type="pct"/>
            <w:hideMark/>
          </w:tcPr>
          <w:p w:rsidR="00C93159" w:rsidRPr="00C93159" w:rsidRDefault="00C93159">
            <w:pPr>
              <w:pStyle w:val="a3"/>
              <w:jc w:val="center"/>
            </w:pPr>
            <w:r w:rsidRPr="00C93159">
              <w:t xml:space="preserve">(1 + </w:t>
            </w:r>
            <w:r w:rsidRPr="00C93159">
              <w:rPr>
                <w:i/>
                <w:iCs/>
              </w:rPr>
              <w:t>D</w:t>
            </w:r>
            <w:r w:rsidRPr="00C93159">
              <w:t>)</w:t>
            </w:r>
            <w:r w:rsidRPr="00C93159">
              <w:rPr>
                <w:i/>
                <w:iCs/>
                <w:vertAlign w:val="superscript"/>
              </w:rPr>
              <w:t xml:space="preserve"> t</w:t>
            </w:r>
          </w:p>
        </w:tc>
        <w:tc>
          <w:tcPr>
            <w:tcW w:w="0" w:type="auto"/>
            <w:vMerge/>
            <w:vAlign w:val="center"/>
            <w:hideMark/>
          </w:tcPr>
          <w:p w:rsidR="00C93159" w:rsidRPr="00C93159" w:rsidRDefault="00C93159"/>
        </w:tc>
      </w:tr>
    </w:tbl>
    <w:p w:rsidR="00C93159" w:rsidRPr="00C93159" w:rsidRDefault="00C93159" w:rsidP="00C93159">
      <w:pPr>
        <w:pStyle w:val="a3"/>
        <w:jc w:val="both"/>
        <w:rPr>
          <w:lang w:val="uk-UA"/>
        </w:rPr>
      </w:pPr>
      <w:r w:rsidRPr="00C93159">
        <w:rPr>
          <w:lang w:val="uk-UA"/>
        </w:rPr>
        <w:br w:type="textWrapping" w:clear="all"/>
      </w:r>
    </w:p>
    <w:p w:rsidR="00C93159" w:rsidRPr="00C93159" w:rsidRDefault="00C93159" w:rsidP="00C93159">
      <w:pPr>
        <w:pStyle w:val="a3"/>
        <w:jc w:val="both"/>
        <w:rPr>
          <w:lang w:val="uk-UA"/>
        </w:rPr>
      </w:pPr>
      <w:r w:rsidRPr="00C93159">
        <w:rPr>
          <w:lang w:val="uk-UA"/>
        </w:rPr>
        <w:t>де</w:t>
      </w:r>
      <w:r w:rsidRPr="00C93159">
        <w:rPr>
          <w:i/>
          <w:iCs/>
          <w:lang w:val="uk-UA"/>
        </w:rPr>
        <w:t xml:space="preserve"> </w:t>
      </w:r>
      <w:r w:rsidRPr="00C93159">
        <w:rPr>
          <w:lang w:val="uk-UA"/>
        </w:rPr>
        <w:t>D</w:t>
      </w:r>
      <w:r w:rsidRPr="00C93159">
        <w:rPr>
          <w:i/>
          <w:iCs/>
          <w:lang w:val="uk-UA"/>
        </w:rPr>
        <w:t xml:space="preserve"> -</w:t>
      </w:r>
      <w:r w:rsidRPr="00C93159">
        <w:rPr>
          <w:lang w:val="uk-UA"/>
        </w:rPr>
        <w:t xml:space="preserve"> базова ставка дисконту для грошових потоків, розрахована відповідно до цієї Методики;</w:t>
      </w:r>
    </w:p>
    <w:p w:rsidR="00C93159" w:rsidRPr="00C93159" w:rsidRDefault="00C93159" w:rsidP="00C93159">
      <w:pPr>
        <w:pStyle w:val="a3"/>
        <w:jc w:val="both"/>
        <w:rPr>
          <w:lang w:val="uk-UA"/>
        </w:rPr>
      </w:pPr>
      <w:r w:rsidRPr="00C93159">
        <w:rPr>
          <w:lang w:val="uk-UA"/>
        </w:rPr>
        <w:lastRenderedPageBreak/>
        <w:t>k - експертна оцінка ймовірності отримання коштів від погашення кредитів, що обирається відповідно до рішення виконавчої дирекції Фонду;</w:t>
      </w:r>
    </w:p>
    <w:p w:rsidR="00C93159" w:rsidRPr="00C93159" w:rsidRDefault="00C93159" w:rsidP="00C93159">
      <w:pPr>
        <w:pStyle w:val="a3"/>
        <w:jc w:val="both"/>
        <w:rPr>
          <w:lang w:val="uk-UA"/>
        </w:rPr>
      </w:pPr>
      <w:r w:rsidRPr="00C93159">
        <w:rPr>
          <w:lang w:val="uk-UA"/>
        </w:rPr>
        <w:t>Б</w:t>
      </w:r>
      <w:r w:rsidRPr="00C93159">
        <w:rPr>
          <w:vertAlign w:val="subscript"/>
          <w:lang w:val="uk-UA"/>
        </w:rPr>
        <w:t xml:space="preserve"> t</w:t>
      </w:r>
      <w:r w:rsidRPr="00C93159">
        <w:rPr>
          <w:lang w:val="uk-UA"/>
        </w:rPr>
        <w:t xml:space="preserve"> - повна заборгованість за кредитом та нарахованими відсотками</w:t>
      </w:r>
      <w:r w:rsidRPr="00C93159">
        <w:rPr>
          <w:i/>
          <w:iCs/>
          <w:lang w:val="uk-UA"/>
        </w:rPr>
        <w:t xml:space="preserve">, </w:t>
      </w:r>
      <w:r w:rsidRPr="00C93159">
        <w:rPr>
          <w:lang w:val="uk-UA"/>
        </w:rPr>
        <w:t>грн</w:t>
      </w:r>
      <w:r w:rsidRPr="00C93159">
        <w:rPr>
          <w:i/>
          <w:iCs/>
          <w:lang w:val="uk-UA"/>
        </w:rPr>
        <w:t>;</w:t>
      </w:r>
    </w:p>
    <w:p w:rsidR="00C93159" w:rsidRPr="00C93159" w:rsidRDefault="00C93159" w:rsidP="00C93159">
      <w:pPr>
        <w:pStyle w:val="a3"/>
        <w:jc w:val="both"/>
        <w:rPr>
          <w:lang w:val="uk-UA"/>
        </w:rPr>
      </w:pPr>
      <w:r w:rsidRPr="00C93159">
        <w:rPr>
          <w:i/>
          <w:iCs/>
          <w:lang w:val="uk-UA"/>
        </w:rPr>
        <w:t>t</w:t>
      </w:r>
      <w:r w:rsidRPr="00C93159">
        <w:rPr>
          <w:lang w:val="uk-UA"/>
        </w:rPr>
        <w:t xml:space="preserve"> - прогнозний строк реалізації прав, що визначається відповідно до рішення виконавчої дирекції Фонду.</w:t>
      </w:r>
    </w:p>
    <w:p w:rsidR="00C93159" w:rsidRPr="00C93159" w:rsidRDefault="00C93159" w:rsidP="00C93159">
      <w:pPr>
        <w:pStyle w:val="a3"/>
        <w:jc w:val="both"/>
        <w:rPr>
          <w:lang w:val="uk-UA"/>
        </w:rPr>
      </w:pPr>
      <w:r w:rsidRPr="00C93159">
        <w:rPr>
          <w:lang w:val="uk-UA"/>
        </w:rPr>
        <w:t>Оцінка кредитного портфеля за усіма іншими кредитами, що віднесені до непрацюючих кредитів (включених до модифікованого підпортфеля непрацюючих кредитів), проводиться на основі аналізу та оцінки забезпечення виконання зобов'язань за ними у вигляді застави та інших видів забезпечення та здійснення розрахунку теперішньої вартості майбутніх грошових потоків від продажу такого забезпечення з урахуванням строків формування ліквідаційної маси, строків ліквідації банку та продажу активів згідно з законодавством. При цьому вид забезпечення обирається згідно з положеннями цієї Методики.</w:t>
      </w:r>
    </w:p>
    <w:p w:rsidR="00C93159" w:rsidRPr="00C93159" w:rsidRDefault="00C93159" w:rsidP="00C93159">
      <w:pPr>
        <w:pStyle w:val="a3"/>
        <w:jc w:val="both"/>
        <w:rPr>
          <w:lang w:val="uk-UA"/>
        </w:rPr>
      </w:pPr>
      <w:r w:rsidRPr="00C93159">
        <w:rPr>
          <w:lang w:val="uk-UA"/>
        </w:rPr>
        <w:t>Розрахунок теперішньої вартості майбутніх грошових потоків від реалізації забезпечення за кредитами, що віднесені до непрацюючих (крім споживчих), здійснюється за формулою</w:t>
      </w:r>
    </w:p>
    <w:tbl>
      <w:tblPr>
        <w:tblW w:w="5000" w:type="pct"/>
        <w:jc w:val="center"/>
        <w:tblCellSpacing w:w="22" w:type="dxa"/>
        <w:tblCellMar>
          <w:top w:w="30" w:type="dxa"/>
          <w:left w:w="30" w:type="dxa"/>
          <w:bottom w:w="30" w:type="dxa"/>
          <w:right w:w="30" w:type="dxa"/>
        </w:tblCellMar>
        <w:tblLook w:val="04A0"/>
      </w:tblPr>
      <w:tblGrid>
        <w:gridCol w:w="5501"/>
        <w:gridCol w:w="4002"/>
      </w:tblGrid>
      <w:tr w:rsidR="00C93159" w:rsidRPr="00C93159" w:rsidTr="00C93159">
        <w:trPr>
          <w:tblCellSpacing w:w="22" w:type="dxa"/>
          <w:jc w:val="center"/>
        </w:trPr>
        <w:tc>
          <w:tcPr>
            <w:tcW w:w="2900" w:type="pct"/>
            <w:vAlign w:val="center"/>
            <w:hideMark/>
          </w:tcPr>
          <w:p w:rsidR="00C93159" w:rsidRPr="00C93159" w:rsidRDefault="00C93159">
            <w:pPr>
              <w:pStyle w:val="a3"/>
              <w:jc w:val="right"/>
            </w:pPr>
            <w:r w:rsidRPr="00C93159">
              <w:t> </w:t>
            </w:r>
            <w:r w:rsidRPr="00C93159">
              <w:rPr>
                <w:noProof/>
              </w:rPr>
              <w:drawing>
                <wp:inline distT="0" distB="0" distL="0" distR="0">
                  <wp:extent cx="1467485" cy="542290"/>
                  <wp:effectExtent l="19050" t="0" r="0" b="0"/>
                  <wp:docPr id="3" name="Рисунок 3" descr="C:\Users\Sorochenko_A\AppData\Roaming\Liga70\Client\Session\RE29934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rochenko_A\AppData\Roaming\Liga70\Client\Session\RE29934_img_002.gif"/>
                          <pic:cNvPicPr>
                            <a:picLocks noChangeAspect="1" noChangeArrowheads="1"/>
                          </pic:cNvPicPr>
                        </pic:nvPicPr>
                        <pic:blipFill>
                          <a:blip r:embed="rId5"/>
                          <a:srcRect/>
                          <a:stretch>
                            <a:fillRect/>
                          </a:stretch>
                        </pic:blipFill>
                        <pic:spPr bwMode="auto">
                          <a:xfrm>
                            <a:off x="0" y="0"/>
                            <a:ext cx="1467485" cy="542290"/>
                          </a:xfrm>
                          <a:prstGeom prst="rect">
                            <a:avLst/>
                          </a:prstGeom>
                          <a:noFill/>
                          <a:ln w="9525">
                            <a:noFill/>
                            <a:miter lim="800000"/>
                            <a:headEnd/>
                            <a:tailEnd/>
                          </a:ln>
                        </pic:spPr>
                      </pic:pic>
                    </a:graphicData>
                  </a:graphic>
                </wp:inline>
              </w:drawing>
            </w:r>
            <w:r w:rsidRPr="00C93159">
              <w:t> </w:t>
            </w:r>
          </w:p>
        </w:tc>
        <w:tc>
          <w:tcPr>
            <w:tcW w:w="2100" w:type="pct"/>
            <w:vAlign w:val="center"/>
            <w:hideMark/>
          </w:tcPr>
          <w:p w:rsidR="00C93159" w:rsidRPr="00C93159" w:rsidRDefault="00C93159">
            <w:pPr>
              <w:pStyle w:val="a3"/>
            </w:pPr>
            <w:r w:rsidRPr="00C93159">
              <w:t>,</w:t>
            </w:r>
          </w:p>
        </w:tc>
      </w:tr>
    </w:tbl>
    <w:p w:rsidR="00C93159" w:rsidRPr="00C93159" w:rsidRDefault="00C93159" w:rsidP="00C93159">
      <w:pPr>
        <w:pStyle w:val="a3"/>
        <w:jc w:val="both"/>
        <w:rPr>
          <w:lang w:val="uk-UA"/>
        </w:rPr>
      </w:pPr>
      <w:r w:rsidRPr="00C93159">
        <w:rPr>
          <w:lang w:val="uk-UA"/>
        </w:rPr>
        <w:br w:type="textWrapping" w:clear="all"/>
      </w:r>
    </w:p>
    <w:p w:rsidR="00C93159" w:rsidRPr="00C93159" w:rsidRDefault="00C93159" w:rsidP="00C93159">
      <w:pPr>
        <w:pStyle w:val="a3"/>
        <w:jc w:val="both"/>
        <w:rPr>
          <w:lang w:val="uk-UA"/>
        </w:rPr>
      </w:pPr>
      <w:r w:rsidRPr="00C93159">
        <w:rPr>
          <w:lang w:val="uk-UA"/>
        </w:rPr>
        <w:t>де D - базова ставка дисконту для грошових потоків, розрахована відповідно до цієї Методики;</w:t>
      </w:r>
    </w:p>
    <w:p w:rsidR="00C93159" w:rsidRPr="00C93159" w:rsidRDefault="00C93159" w:rsidP="00C93159">
      <w:pPr>
        <w:pStyle w:val="a3"/>
        <w:jc w:val="both"/>
        <w:rPr>
          <w:lang w:val="uk-UA"/>
        </w:rPr>
      </w:pPr>
      <w:r w:rsidRPr="00C93159">
        <w:rPr>
          <w:lang w:val="uk-UA"/>
        </w:rPr>
        <w:t>k - оцінка ймовірності отримання коштів від реалізації забезпечення (коефіцієнт, що враховує ймовірність задоволення вимог за кредитом за рахунок забезпечення, розрахований відповідно до пункту 4 розділу II цієї Методики);</w:t>
      </w:r>
    </w:p>
    <w:p w:rsidR="00C93159" w:rsidRPr="00C93159" w:rsidRDefault="00C93159" w:rsidP="00C93159">
      <w:pPr>
        <w:pStyle w:val="a3"/>
        <w:jc w:val="both"/>
        <w:rPr>
          <w:lang w:val="uk-UA"/>
        </w:rPr>
      </w:pPr>
      <w:r w:rsidRPr="00C93159">
        <w:rPr>
          <w:lang w:val="uk-UA"/>
        </w:rPr>
        <w:t>З</w:t>
      </w:r>
      <w:r w:rsidRPr="00C93159">
        <w:rPr>
          <w:vertAlign w:val="subscript"/>
          <w:lang w:val="uk-UA"/>
        </w:rPr>
        <w:t xml:space="preserve"> t</w:t>
      </w:r>
      <w:r w:rsidRPr="00C93159">
        <w:rPr>
          <w:lang w:val="uk-UA"/>
        </w:rPr>
        <w:t xml:space="preserve"> - грошовий потік, визначений відповідно до цієї Методики, що має бути отриманий від продажу забезпечення за кредитом у відповідному розрахунковому періоді (у разі якщо прогнозна вартість забезпечення менша за суму кредиту), або сума заборгованості за кредитом (у разі якщо прогнозна вартість забезпечення більша за суму кредиту), грн;</w:t>
      </w:r>
    </w:p>
    <w:p w:rsidR="00C93159" w:rsidRPr="00C93159" w:rsidRDefault="00C93159" w:rsidP="00C93159">
      <w:pPr>
        <w:pStyle w:val="a3"/>
        <w:jc w:val="both"/>
        <w:rPr>
          <w:lang w:val="uk-UA"/>
        </w:rPr>
      </w:pPr>
      <w:r w:rsidRPr="00C93159">
        <w:rPr>
          <w:lang w:val="uk-UA"/>
        </w:rPr>
        <w:t>n - кількість розрахункових періодів, років.</w:t>
      </w:r>
    </w:p>
    <w:p w:rsidR="00C93159" w:rsidRPr="00C93159" w:rsidRDefault="00C93159" w:rsidP="00C93159">
      <w:pPr>
        <w:pStyle w:val="a3"/>
        <w:jc w:val="both"/>
        <w:rPr>
          <w:lang w:val="uk-UA"/>
        </w:rPr>
      </w:pPr>
      <w:r w:rsidRPr="00C93159">
        <w:rPr>
          <w:lang w:val="uk-UA"/>
        </w:rPr>
        <w:t>У разі нестачі прогнозної вартості забезпечення для покриття заборгованості за кредитом повністю необхідно враховувати той факт, що після реалізації забезпечення залишається непогашеною частина кредиту, яка вважається незабезпеченою, проте є активом, та майнові права за якою повинні бути обчислені за цією Методикою для бланкового залишку (з максимальним простроченням).</w:t>
      </w:r>
    </w:p>
    <w:p w:rsidR="00C93159" w:rsidRPr="00C93159" w:rsidRDefault="00C93159" w:rsidP="00C93159">
      <w:pPr>
        <w:pStyle w:val="a3"/>
        <w:jc w:val="both"/>
        <w:rPr>
          <w:lang w:val="uk-UA"/>
        </w:rPr>
      </w:pPr>
      <w:r w:rsidRPr="00C93159">
        <w:rPr>
          <w:lang w:val="uk-UA"/>
        </w:rPr>
        <w:t>За розрахунковий період приймається строк, що відповідає очікуваним строкам продажу з урахуванням визначених Законом строків на ліквідацію банку та ймовірних строків для реалізації активів. Теперішня вартість грошових потоків за кредитами, що планується отримати за наступні роки, приймається рівною 0 грн.</w:t>
      </w:r>
    </w:p>
    <w:p w:rsidR="00C93159" w:rsidRPr="00C93159" w:rsidRDefault="00C93159" w:rsidP="00C93159">
      <w:pPr>
        <w:pStyle w:val="a3"/>
        <w:jc w:val="both"/>
        <w:rPr>
          <w:lang w:val="uk-UA"/>
        </w:rPr>
      </w:pPr>
      <w:r w:rsidRPr="00C93159">
        <w:rPr>
          <w:lang w:val="uk-UA"/>
        </w:rPr>
        <w:lastRenderedPageBreak/>
        <w:t>Кількість розрахункових періодів визначається з урахуванням визначених Законом строків на формування ліквідаційної маси, реєстру акцептованих кредиторських вимог тощо.</w:t>
      </w:r>
    </w:p>
    <w:p w:rsidR="00C93159" w:rsidRPr="00C93159" w:rsidRDefault="00C93159" w:rsidP="00C93159">
      <w:pPr>
        <w:pStyle w:val="a3"/>
        <w:jc w:val="both"/>
        <w:rPr>
          <w:lang w:val="uk-UA"/>
        </w:rPr>
      </w:pPr>
      <w:r w:rsidRPr="00C93159">
        <w:rPr>
          <w:lang w:val="uk-UA"/>
        </w:rPr>
        <w:t>Імовірний строк реалізації активів, що передані у заставу (іпотеку), визначається Фондом відповідно до стадії претензійно-позовної роботи.</w:t>
      </w:r>
    </w:p>
    <w:p w:rsidR="00C93159" w:rsidRPr="00C93159" w:rsidRDefault="00C93159" w:rsidP="00C93159">
      <w:pPr>
        <w:pStyle w:val="a3"/>
        <w:jc w:val="both"/>
        <w:rPr>
          <w:lang w:val="uk-UA"/>
        </w:rPr>
      </w:pPr>
      <w:r w:rsidRPr="00C93159">
        <w:rPr>
          <w:lang w:val="uk-UA"/>
        </w:rPr>
        <w:t>Імовірність отримання грошових коштів від реалізації забезпечення визначається з урахуванням інформації про склад та зміст документів кредитної справи, наявності нормативно-правових перепон для реалізації активів відповідно до таблиці, наведеної у цьому розділі. Результат визначається множенням ймовірностей за кожним із вищезазначених показників. Отриманий добуток може використовуватись як розмір юридичного ризику або ймовірність отримання коштів від реалізації забезпечення.</w:t>
      </w:r>
    </w:p>
    <w:p w:rsidR="00C93159" w:rsidRPr="00C93159" w:rsidRDefault="00C93159" w:rsidP="00C93159">
      <w:pPr>
        <w:pStyle w:val="a3"/>
        <w:jc w:val="both"/>
        <w:rPr>
          <w:lang w:val="uk-UA"/>
        </w:rPr>
      </w:pPr>
      <w:r w:rsidRPr="00C93159">
        <w:rPr>
          <w:lang w:val="uk-UA"/>
        </w:rPr>
        <w:t>При оцінці кредитів, наданих іншим банкам, які на дату оцінки віднесені до категорії неплатоспроможних або ліквідовуються, такі кредити для цілей цієї Методики оцінюються в 1 грн.</w:t>
      </w:r>
    </w:p>
    <w:p w:rsidR="00C93159" w:rsidRPr="00C93159" w:rsidRDefault="00C93159" w:rsidP="00C93159">
      <w:pPr>
        <w:pStyle w:val="a3"/>
        <w:jc w:val="both"/>
        <w:rPr>
          <w:lang w:val="uk-UA"/>
        </w:rPr>
      </w:pPr>
      <w:r w:rsidRPr="00C93159">
        <w:rPr>
          <w:lang w:val="uk-UA"/>
        </w:rPr>
        <w:t>3. Оціночна вартість нерухомого майна визначається шляхом розрахунку приведеної вартості грошових потоків від продажу такого майна за оціночною вартістю, виходячи із встановлених строків тимчасової адміністрації та ліквідації неплатоспроможного банку. Оціночна вартість нерухомого майна визначається шляхом множення показника середньої вартості пропозиції 1 кв. м на загальну площу об'єкта (порівняльний підхід).</w:t>
      </w:r>
    </w:p>
    <w:p w:rsidR="00C93159" w:rsidRPr="00C93159" w:rsidRDefault="00C93159" w:rsidP="00C93159">
      <w:pPr>
        <w:pStyle w:val="a3"/>
        <w:jc w:val="both"/>
        <w:rPr>
          <w:lang w:val="uk-UA"/>
        </w:rPr>
      </w:pPr>
      <w:r w:rsidRPr="00C93159">
        <w:rPr>
          <w:lang w:val="uk-UA"/>
        </w:rPr>
        <w:t>Показник середньої вартості пропозиції 1 кв. м визначається у грн з урахуванням:</w:t>
      </w:r>
    </w:p>
    <w:p w:rsidR="00C93159" w:rsidRPr="00C93159" w:rsidRDefault="00C93159" w:rsidP="00C93159">
      <w:pPr>
        <w:pStyle w:val="a3"/>
        <w:jc w:val="both"/>
        <w:rPr>
          <w:lang w:val="uk-UA"/>
        </w:rPr>
      </w:pPr>
      <w:r w:rsidRPr="00C93159">
        <w:rPr>
          <w:lang w:val="uk-UA"/>
        </w:rPr>
        <w:t>місця розташування об'єкта (адреси);</w:t>
      </w:r>
    </w:p>
    <w:p w:rsidR="00C93159" w:rsidRPr="00C93159" w:rsidRDefault="00C93159" w:rsidP="00C93159">
      <w:pPr>
        <w:pStyle w:val="a3"/>
        <w:jc w:val="both"/>
        <w:rPr>
          <w:lang w:val="uk-UA"/>
        </w:rPr>
      </w:pPr>
      <w:r w:rsidRPr="00C93159">
        <w:rPr>
          <w:lang w:val="uk-UA"/>
        </w:rPr>
        <w:t>типу нерухомості (земля, споруда тощо);</w:t>
      </w:r>
    </w:p>
    <w:p w:rsidR="00C93159" w:rsidRPr="00C93159" w:rsidRDefault="00C93159" w:rsidP="00C93159">
      <w:pPr>
        <w:pStyle w:val="a3"/>
        <w:jc w:val="both"/>
        <w:rPr>
          <w:lang w:val="uk-UA"/>
        </w:rPr>
      </w:pPr>
      <w:r w:rsidRPr="00C93159">
        <w:rPr>
          <w:lang w:val="uk-UA"/>
        </w:rPr>
        <w:t>цільового призначення об'єкта (житлова, комерційна нерухомість тощо);</w:t>
      </w:r>
    </w:p>
    <w:p w:rsidR="00C93159" w:rsidRPr="00C93159" w:rsidRDefault="00C93159" w:rsidP="00C93159">
      <w:pPr>
        <w:pStyle w:val="a3"/>
        <w:jc w:val="both"/>
        <w:rPr>
          <w:lang w:val="uk-UA"/>
        </w:rPr>
      </w:pPr>
      <w:r w:rsidRPr="00C93159">
        <w:rPr>
          <w:lang w:val="uk-UA"/>
        </w:rPr>
        <w:t>типової величини знижки на торг в середньому на ринку нерухомості України, що визначається на рівні 10 - 15 %;</w:t>
      </w:r>
    </w:p>
    <w:p w:rsidR="00C93159" w:rsidRPr="00C93159" w:rsidRDefault="00C93159" w:rsidP="00C93159">
      <w:pPr>
        <w:pStyle w:val="a3"/>
        <w:jc w:val="both"/>
        <w:rPr>
          <w:lang w:val="uk-UA"/>
        </w:rPr>
      </w:pPr>
      <w:r w:rsidRPr="00C93159">
        <w:rPr>
          <w:lang w:val="uk-UA"/>
        </w:rPr>
        <w:t>розміру комісійної винагороди агентств нерухомості на рівні 5 %;</w:t>
      </w:r>
    </w:p>
    <w:p w:rsidR="00C93159" w:rsidRPr="00C93159" w:rsidRDefault="00C93159" w:rsidP="00C93159">
      <w:pPr>
        <w:pStyle w:val="a3"/>
        <w:jc w:val="both"/>
        <w:rPr>
          <w:lang w:val="uk-UA"/>
        </w:rPr>
      </w:pPr>
      <w:r w:rsidRPr="00C93159">
        <w:rPr>
          <w:lang w:val="uk-UA"/>
        </w:rPr>
        <w:t>розміру накладних витрат на продаж такого майна (рекламні оголошення, комісійна винагорода біржі тощо) - не більше 5 %;</w:t>
      </w:r>
    </w:p>
    <w:p w:rsidR="00C93159" w:rsidRPr="00C93159" w:rsidRDefault="00C93159" w:rsidP="00C93159">
      <w:pPr>
        <w:pStyle w:val="a3"/>
        <w:jc w:val="both"/>
        <w:rPr>
          <w:lang w:val="uk-UA"/>
        </w:rPr>
      </w:pPr>
      <w:r w:rsidRPr="00C93159">
        <w:rPr>
          <w:lang w:val="uk-UA"/>
        </w:rPr>
        <w:t>очікуваної динаміки цін на нерухомість у відповідному регіоні (з урахуванням очікуваної дати продажу у період ліквідації неплатоспроможного банку).</w:t>
      </w:r>
    </w:p>
    <w:p w:rsidR="00C93159" w:rsidRPr="00C93159" w:rsidRDefault="00C93159" w:rsidP="00C93159">
      <w:pPr>
        <w:pStyle w:val="a3"/>
        <w:jc w:val="both"/>
        <w:rPr>
          <w:lang w:val="uk-UA"/>
        </w:rPr>
      </w:pPr>
      <w:r w:rsidRPr="00C93159">
        <w:rPr>
          <w:lang w:val="uk-UA"/>
        </w:rPr>
        <w:t>Показник середньої вартості пропозиції 1 кв. м загальної площі на ринку нерухомості визначається за даними офіційної статистики, операторів ринку (рієлтерських агенцій, суб'єктів оціночної діяльності та профільних асоціацій, Бюро технічної інвентаризації), що розміщені у друкованих засобах масової інформації та у мережі Інтернет або надані у вигляді довідки на запит Фонду, а також спеціалізованих баз даних та програмних продуктів.</w:t>
      </w:r>
    </w:p>
    <w:p w:rsidR="00C93159" w:rsidRPr="00C93159" w:rsidRDefault="00C93159" w:rsidP="00C93159">
      <w:pPr>
        <w:pStyle w:val="a3"/>
        <w:jc w:val="both"/>
        <w:rPr>
          <w:lang w:val="uk-UA"/>
        </w:rPr>
      </w:pPr>
      <w:r w:rsidRPr="00C93159">
        <w:rPr>
          <w:lang w:val="uk-UA"/>
        </w:rPr>
        <w:t xml:space="preserve">Для населених пунктів, у яких показник середньої вартості пропозиції 1 кв. м визначити неможливо за відсутності відповідної статистики операторів ринку, за розрахункове значення приймається середня вартість 1 кв. м відповідного класу нерухомості населеного </w:t>
      </w:r>
      <w:r w:rsidRPr="00C93159">
        <w:rPr>
          <w:lang w:val="uk-UA"/>
        </w:rPr>
        <w:lastRenderedPageBreak/>
        <w:t>пункту - адміністративного центру відповідної територіально-адміністративної одиниці, на якій розташовано об'єкт та в якій можливо визначити таку ціну, зменшена на 30 %, або відповідного обласного центру, зменшена на 50 %.</w:t>
      </w:r>
    </w:p>
    <w:p w:rsidR="00C93159" w:rsidRPr="00C93159" w:rsidRDefault="00C93159" w:rsidP="00C93159">
      <w:pPr>
        <w:pStyle w:val="a3"/>
        <w:jc w:val="both"/>
        <w:rPr>
          <w:lang w:val="uk-UA"/>
        </w:rPr>
      </w:pPr>
      <w:r w:rsidRPr="00C93159">
        <w:rPr>
          <w:lang w:val="uk-UA"/>
        </w:rPr>
        <w:t>Результати розрахунку приведеної вартості грошових потоків від продажу нерухомого майна за розрахованою оціночною вартістю підсумовуються.</w:t>
      </w:r>
    </w:p>
    <w:p w:rsidR="00C93159" w:rsidRPr="00C93159" w:rsidRDefault="00C93159" w:rsidP="00C93159">
      <w:pPr>
        <w:pStyle w:val="a3"/>
        <w:jc w:val="both"/>
        <w:rPr>
          <w:lang w:val="uk-UA"/>
        </w:rPr>
      </w:pPr>
      <w:r w:rsidRPr="00C93159">
        <w:rPr>
          <w:lang w:val="uk-UA"/>
        </w:rPr>
        <w:t>4. Оцінка об'єктів незавершеного будівництва проводиться за об'єктами. При цьому об'єкти, віднесені до групи умовно ліквідних (передбачають можливість реалізації протягом 12 місяців та мають перспективи добудови), оцінюються таким чином:</w:t>
      </w:r>
    </w:p>
    <w:p w:rsidR="00C93159" w:rsidRPr="00C93159" w:rsidRDefault="00C93159" w:rsidP="00C93159">
      <w:pPr>
        <w:pStyle w:val="a3"/>
        <w:jc w:val="both"/>
        <w:rPr>
          <w:lang w:val="uk-UA"/>
        </w:rPr>
      </w:pPr>
      <w:r w:rsidRPr="00C93159">
        <w:rPr>
          <w:lang w:val="uk-UA"/>
        </w:rPr>
        <w:t>визначається відсоток будівельної готовності об'єкта згідно з бухгалтерською звітністю та проектно-кошторисною документацією;</w:t>
      </w:r>
    </w:p>
    <w:p w:rsidR="00C93159" w:rsidRPr="00C93159" w:rsidRDefault="00C93159" w:rsidP="00C93159">
      <w:pPr>
        <w:pStyle w:val="a3"/>
        <w:jc w:val="both"/>
        <w:rPr>
          <w:lang w:val="uk-UA"/>
        </w:rPr>
      </w:pPr>
      <w:r w:rsidRPr="00C93159">
        <w:rPr>
          <w:lang w:val="uk-UA"/>
        </w:rPr>
        <w:t>визначається очікувана приведена вартість чистих грошових потоків від реалізації готового об'єкта нерухомості, виходячи із:</w:t>
      </w:r>
    </w:p>
    <w:p w:rsidR="00C93159" w:rsidRPr="00C93159" w:rsidRDefault="00C93159" w:rsidP="00C93159">
      <w:pPr>
        <w:pStyle w:val="a3"/>
        <w:jc w:val="both"/>
        <w:rPr>
          <w:lang w:val="uk-UA"/>
        </w:rPr>
      </w:pPr>
      <w:r w:rsidRPr="00C93159">
        <w:rPr>
          <w:lang w:val="uk-UA"/>
        </w:rPr>
        <w:t>середньої вартості пропозиції 1 кв. м загальної площі на ринку аналогічних об'єктів нерухомості, введених в експлуатацію, визначеної відповідно до цієї Методики;</w:t>
      </w:r>
    </w:p>
    <w:p w:rsidR="00C93159" w:rsidRPr="00C93159" w:rsidRDefault="00C93159" w:rsidP="00C93159">
      <w:pPr>
        <w:pStyle w:val="a3"/>
        <w:jc w:val="both"/>
        <w:rPr>
          <w:lang w:val="uk-UA"/>
        </w:rPr>
      </w:pPr>
      <w:r w:rsidRPr="00C93159">
        <w:rPr>
          <w:lang w:val="uk-UA"/>
        </w:rPr>
        <w:t>строків, необхідних для завершення будівництва та введення об'єкта в експлуатацію;</w:t>
      </w:r>
    </w:p>
    <w:p w:rsidR="00C93159" w:rsidRPr="00C93159" w:rsidRDefault="00C93159" w:rsidP="00C93159">
      <w:pPr>
        <w:pStyle w:val="a3"/>
        <w:jc w:val="both"/>
        <w:rPr>
          <w:lang w:val="uk-UA"/>
        </w:rPr>
      </w:pPr>
      <w:r w:rsidRPr="00C93159">
        <w:rPr>
          <w:lang w:val="uk-UA"/>
        </w:rPr>
        <w:t>встановлених строків тимчасової адміністрації та ліквідації банку, а також строків продажу активів спеціалізованою установою (в разі її створення) відповідно до Закону;</w:t>
      </w:r>
    </w:p>
    <w:p w:rsidR="00C93159" w:rsidRPr="00C93159" w:rsidRDefault="00C93159" w:rsidP="00C93159">
      <w:pPr>
        <w:pStyle w:val="a3"/>
        <w:jc w:val="both"/>
        <w:rPr>
          <w:lang w:val="uk-UA"/>
        </w:rPr>
      </w:pPr>
      <w:r w:rsidRPr="00C93159">
        <w:rPr>
          <w:lang w:val="uk-UA"/>
        </w:rPr>
        <w:t>величини знижки на торг в середньому на ринку нерухомості України, що визначається на рівні 10 - 15 %;</w:t>
      </w:r>
    </w:p>
    <w:p w:rsidR="00C93159" w:rsidRPr="00C93159" w:rsidRDefault="00C93159" w:rsidP="00C93159">
      <w:pPr>
        <w:pStyle w:val="a3"/>
        <w:jc w:val="both"/>
        <w:rPr>
          <w:lang w:val="uk-UA"/>
        </w:rPr>
      </w:pPr>
      <w:r w:rsidRPr="00C93159">
        <w:rPr>
          <w:lang w:val="uk-UA"/>
        </w:rPr>
        <w:t>розміру комісійної винагороди агентств нерухомості на рівні 5 %;</w:t>
      </w:r>
    </w:p>
    <w:p w:rsidR="00C93159" w:rsidRPr="00C93159" w:rsidRDefault="00C93159" w:rsidP="00C93159">
      <w:pPr>
        <w:pStyle w:val="a3"/>
        <w:jc w:val="both"/>
        <w:rPr>
          <w:lang w:val="uk-UA"/>
        </w:rPr>
      </w:pPr>
      <w:r w:rsidRPr="00C93159">
        <w:rPr>
          <w:lang w:val="uk-UA"/>
        </w:rPr>
        <w:t>розміру накладних витрат на продаж такого майна (рекламні оголошення, комісійна винагорода біржі тощо) - не більше 5 %;</w:t>
      </w:r>
    </w:p>
    <w:p w:rsidR="00C93159" w:rsidRPr="00C93159" w:rsidRDefault="00C93159" w:rsidP="00C93159">
      <w:pPr>
        <w:pStyle w:val="a3"/>
        <w:jc w:val="both"/>
        <w:rPr>
          <w:lang w:val="uk-UA"/>
        </w:rPr>
      </w:pPr>
      <w:r w:rsidRPr="00C93159">
        <w:rPr>
          <w:lang w:val="uk-UA"/>
        </w:rPr>
        <w:t>визначається імовірність завершення проекту та введення об'єкта в експлуатацію відповідно до відсотка будівельної готовності;</w:t>
      </w:r>
    </w:p>
    <w:p w:rsidR="00C93159" w:rsidRPr="00C93159" w:rsidRDefault="00C93159" w:rsidP="00C93159">
      <w:pPr>
        <w:pStyle w:val="a3"/>
        <w:jc w:val="both"/>
        <w:rPr>
          <w:lang w:val="uk-UA"/>
        </w:rPr>
      </w:pPr>
      <w:r w:rsidRPr="00C93159">
        <w:rPr>
          <w:lang w:val="uk-UA"/>
        </w:rPr>
        <w:t>визначається оціночна вартість об'єкта як результат множення відсотка будівельної готовності на розраховану чисту приведену вартість та на імовірність завершення проекту.</w:t>
      </w:r>
    </w:p>
    <w:p w:rsidR="00C93159" w:rsidRPr="00C93159" w:rsidRDefault="00C93159" w:rsidP="00C93159">
      <w:pPr>
        <w:pStyle w:val="a3"/>
        <w:jc w:val="both"/>
        <w:rPr>
          <w:lang w:val="uk-UA"/>
        </w:rPr>
      </w:pPr>
      <w:r w:rsidRPr="00C93159">
        <w:rPr>
          <w:lang w:val="uk-UA"/>
        </w:rPr>
        <w:t>Середня вартість пропозиції 1 кв. м може корегуватись відповідно до положень цієї Методики щодо оцінки об'єктів нерухомості.</w:t>
      </w:r>
    </w:p>
    <w:p w:rsidR="00C93159" w:rsidRPr="00C93159" w:rsidRDefault="00C93159" w:rsidP="00C93159">
      <w:pPr>
        <w:pStyle w:val="a3"/>
        <w:jc w:val="both"/>
        <w:rPr>
          <w:lang w:val="uk-UA"/>
        </w:rPr>
      </w:pPr>
      <w:r w:rsidRPr="00C93159">
        <w:rPr>
          <w:lang w:val="uk-UA"/>
        </w:rPr>
        <w:t>Вартість інших об'єктів незавершеного будівництва, що не віднесені до групи умовно ліквідних, для цілей цієї Методики приймається такою, що дорівнює 1 грн.</w:t>
      </w:r>
    </w:p>
    <w:p w:rsidR="00C93159" w:rsidRPr="00C93159" w:rsidRDefault="00C93159" w:rsidP="00C93159">
      <w:pPr>
        <w:pStyle w:val="a3"/>
        <w:jc w:val="both"/>
        <w:rPr>
          <w:lang w:val="uk-UA"/>
        </w:rPr>
      </w:pPr>
      <w:r w:rsidRPr="00C93159">
        <w:rPr>
          <w:lang w:val="uk-UA"/>
        </w:rPr>
        <w:t>5. Оцінка функціонуючих цілісних майнових комплексів може здійснюватись шляхом розрахунку чистої приведеної вартості грошових потоків, що генерують такі об'єкти.</w:t>
      </w:r>
    </w:p>
    <w:p w:rsidR="00C93159" w:rsidRPr="00C93159" w:rsidRDefault="00C93159" w:rsidP="00C93159">
      <w:pPr>
        <w:pStyle w:val="a3"/>
        <w:jc w:val="both"/>
        <w:rPr>
          <w:lang w:val="uk-UA"/>
        </w:rPr>
      </w:pPr>
      <w:r w:rsidRPr="00C93159">
        <w:rPr>
          <w:lang w:val="uk-UA"/>
        </w:rPr>
        <w:t>Показник грошового потоку для цілісних майнових комплексів функціонуючих підприємств визначається на підставі таких даних:</w:t>
      </w:r>
    </w:p>
    <w:p w:rsidR="00C93159" w:rsidRPr="00C93159" w:rsidRDefault="00C93159" w:rsidP="00C93159">
      <w:pPr>
        <w:pStyle w:val="a3"/>
        <w:jc w:val="both"/>
        <w:rPr>
          <w:lang w:val="uk-UA"/>
        </w:rPr>
      </w:pPr>
      <w:r w:rsidRPr="00C93159">
        <w:rPr>
          <w:lang w:val="uk-UA"/>
        </w:rPr>
        <w:lastRenderedPageBreak/>
        <w:t>для підприємств, що перейшли на міжнародні стандарти фінансової звітності та опублікували звітність, підтверджену аудитом, використовується показник чистого доходу до виплати процентів, оподаткування та амортизації (EBITDA) за останній фінансовий рік;</w:t>
      </w:r>
    </w:p>
    <w:p w:rsidR="00C93159" w:rsidRPr="00C93159" w:rsidRDefault="00C93159" w:rsidP="00C93159">
      <w:pPr>
        <w:pStyle w:val="a3"/>
        <w:jc w:val="both"/>
        <w:rPr>
          <w:lang w:val="uk-UA"/>
        </w:rPr>
      </w:pPr>
      <w:r w:rsidRPr="00C93159">
        <w:rPr>
          <w:lang w:val="uk-UA"/>
        </w:rPr>
        <w:t>для підприємств, які не ведуть бухгалтерський облік за міжнародними стандартами фінансової звітності та опублікували звітність, використовується сума показників фінансових результатів від звичайної діяльності до оподаткування, суми амортизації та фінансових витрат за даними звіту про фінансові результати за останній фінансовий рік.</w:t>
      </w:r>
    </w:p>
    <w:p w:rsidR="00C93159" w:rsidRPr="00C93159" w:rsidRDefault="00C93159" w:rsidP="00C93159">
      <w:pPr>
        <w:pStyle w:val="a3"/>
        <w:jc w:val="both"/>
        <w:rPr>
          <w:lang w:val="uk-UA"/>
        </w:rPr>
      </w:pPr>
      <w:r w:rsidRPr="00C93159">
        <w:rPr>
          <w:lang w:val="uk-UA"/>
        </w:rPr>
        <w:t>Відповідальний працівник Фонду при прогнозуванні оптимістичного сценарію роботи комплексу повинен враховувати потенційне зростання доходів.</w:t>
      </w:r>
    </w:p>
    <w:p w:rsidR="00C93159" w:rsidRPr="00C93159" w:rsidRDefault="00C93159" w:rsidP="00C93159">
      <w:pPr>
        <w:pStyle w:val="a3"/>
        <w:jc w:val="both"/>
        <w:rPr>
          <w:lang w:val="uk-UA"/>
        </w:rPr>
      </w:pPr>
      <w:r w:rsidRPr="00C93159">
        <w:rPr>
          <w:lang w:val="uk-UA"/>
        </w:rPr>
        <w:t>У разі відсутності інформації, низького значення показника чистого грошового потоку або збитковості звичайної діяльності функціонуючих підприємств оцінка таких цілісних майнових комплексів здійснюється шляхом оцінки рухомого та нерухомого майна, що входять до складу цілісного майнового комплексу, відповідно до положень цієї Методики.</w:t>
      </w:r>
    </w:p>
    <w:p w:rsidR="00C93159" w:rsidRPr="00C93159" w:rsidRDefault="00C93159" w:rsidP="00C93159">
      <w:pPr>
        <w:pStyle w:val="a3"/>
        <w:jc w:val="both"/>
        <w:rPr>
          <w:lang w:val="uk-UA"/>
        </w:rPr>
      </w:pPr>
      <w:r w:rsidRPr="00C93159">
        <w:rPr>
          <w:lang w:val="uk-UA"/>
        </w:rPr>
        <w:t>Оцінка цілісних майнових комплексів, не введених в експлуатацію, проводиться за об'єктами шляхом оцінки об'єктів незавершеного будівництва, нерухомого та рухомого майна, що входить до їх складу. Вартість майна розраховується відповідно до цієї Методики.</w:t>
      </w:r>
    </w:p>
    <w:p w:rsidR="00C93159" w:rsidRPr="00C93159" w:rsidRDefault="00C93159" w:rsidP="00C93159">
      <w:pPr>
        <w:pStyle w:val="a3"/>
        <w:jc w:val="both"/>
        <w:rPr>
          <w:lang w:val="uk-UA"/>
        </w:rPr>
      </w:pPr>
      <w:r w:rsidRPr="00C93159">
        <w:rPr>
          <w:lang w:val="uk-UA"/>
        </w:rPr>
        <w:t>6. Оцінка державних цінних паперів вважається рівною справедливій вартості, оприлюдненій на офіційній сторінці Інтернет-представництва НБУ у розділі "Справедлива вартість ОВДП та коригуючі коефіцієнти" (http://www.bank.gov.ua/control/uk/publish/category?cat_id=7768105).</w:t>
      </w:r>
    </w:p>
    <w:p w:rsidR="00C93159" w:rsidRPr="00C93159" w:rsidRDefault="00C93159" w:rsidP="00C93159">
      <w:pPr>
        <w:pStyle w:val="a3"/>
        <w:jc w:val="both"/>
        <w:rPr>
          <w:lang w:val="uk-UA"/>
        </w:rPr>
      </w:pPr>
      <w:r w:rsidRPr="00C93159">
        <w:rPr>
          <w:lang w:val="uk-UA"/>
        </w:rPr>
        <w:t>6.1. Вартість цінних паперів визначається як середнє арифметичне за найменшими біржовими курсами за останні 3 місяці, визначеними та оприлюдненими на сайті кожного з організаторів торгівлі, на якому обертаються відповідні цінні папери, на дату оцінки.</w:t>
      </w:r>
    </w:p>
    <w:p w:rsidR="00C93159" w:rsidRPr="00C93159" w:rsidRDefault="00C93159" w:rsidP="00C93159">
      <w:pPr>
        <w:pStyle w:val="a3"/>
        <w:jc w:val="both"/>
        <w:rPr>
          <w:lang w:val="uk-UA"/>
        </w:rPr>
      </w:pPr>
      <w:r w:rsidRPr="00C93159">
        <w:rPr>
          <w:lang w:val="uk-UA"/>
        </w:rPr>
        <w:t>У разі якщо за попередні 3 місяці від дати, за яку здійснюється оцінка активів, біржові курси цінних паперів не визначено, оцінка таких цінних паперів здійснюється за останньою балансовою вартістю або заставною вартістю.</w:t>
      </w:r>
    </w:p>
    <w:p w:rsidR="00C93159" w:rsidRPr="00C93159" w:rsidRDefault="00C93159" w:rsidP="00C93159">
      <w:pPr>
        <w:pStyle w:val="a3"/>
        <w:jc w:val="both"/>
        <w:rPr>
          <w:lang w:val="uk-UA"/>
        </w:rPr>
      </w:pPr>
      <w:r w:rsidRPr="00C93159">
        <w:rPr>
          <w:lang w:val="uk-UA"/>
        </w:rPr>
        <w:t>Вартість цінних паперів емітентів, реєстрація випуску яких скасована Національною комісією з цінних паперів та фондового ринку України або за рішенням суду, дорівнює нулю.</w:t>
      </w:r>
    </w:p>
    <w:p w:rsidR="00C93159" w:rsidRPr="00C93159" w:rsidRDefault="00C93159" w:rsidP="00C93159">
      <w:pPr>
        <w:pStyle w:val="a3"/>
        <w:jc w:val="both"/>
        <w:rPr>
          <w:lang w:val="uk-UA"/>
        </w:rPr>
      </w:pPr>
      <w:r w:rsidRPr="00C93159">
        <w:rPr>
          <w:lang w:val="uk-UA"/>
        </w:rPr>
        <w:t>6.2. Акції українських емітентів, обіг яких зупинено (крім випадків реорганізації емітента), протягом 12 місяців з дати зупинення обігу відображаються за останньою балансовою або заставною вартістю.</w:t>
      </w:r>
    </w:p>
    <w:p w:rsidR="00C93159" w:rsidRPr="00C93159" w:rsidRDefault="00C93159" w:rsidP="00C93159">
      <w:pPr>
        <w:pStyle w:val="a3"/>
        <w:jc w:val="both"/>
        <w:rPr>
          <w:lang w:val="uk-UA"/>
        </w:rPr>
      </w:pPr>
      <w:r w:rsidRPr="00C93159">
        <w:rPr>
          <w:lang w:val="uk-UA"/>
        </w:rPr>
        <w:t>Акції, обіг яких зупинено більше ніж 12 місяців, оцінюються з використанням знижувального коефіцієнта (ЗК), що застосовується до балансової вартості таких акцій, що склалася на першу звітну дату, з якої оцінка акцій за ринковою вартістю стає неможливою. Розмір такого коефіцієнта встановлюється Фондом залежно від строку, на який зупинено обіг акцій.</w:t>
      </w:r>
    </w:p>
    <w:p w:rsidR="00C93159" w:rsidRPr="00C93159" w:rsidRDefault="00C93159" w:rsidP="00C93159">
      <w:pPr>
        <w:pStyle w:val="a3"/>
        <w:jc w:val="both"/>
        <w:rPr>
          <w:lang w:val="uk-UA"/>
        </w:rPr>
      </w:pPr>
      <w:r w:rsidRPr="00C93159">
        <w:rPr>
          <w:lang w:val="uk-UA"/>
        </w:rPr>
        <w:t>Акції, обіг яких зупинено у зв'язку з реорганізацією емітента, оцінюються за останньою балансовою або заставною вартістю.</w:t>
      </w:r>
    </w:p>
    <w:p w:rsidR="00C93159" w:rsidRPr="00C93159" w:rsidRDefault="00C93159" w:rsidP="00C93159">
      <w:pPr>
        <w:pStyle w:val="a3"/>
        <w:jc w:val="both"/>
        <w:rPr>
          <w:lang w:val="uk-UA"/>
        </w:rPr>
      </w:pPr>
      <w:r w:rsidRPr="00C93159">
        <w:rPr>
          <w:lang w:val="uk-UA"/>
        </w:rPr>
        <w:lastRenderedPageBreak/>
        <w:t>6.3. Акції емітентів, що за результатами своєї фінансово-господарської діяльності за попередній рік є прибутковими, оцінюються за балансовою або заставною вартістю.</w:t>
      </w:r>
    </w:p>
    <w:p w:rsidR="00C93159" w:rsidRPr="00C93159" w:rsidRDefault="00C93159" w:rsidP="00C93159">
      <w:pPr>
        <w:pStyle w:val="a3"/>
        <w:jc w:val="both"/>
        <w:rPr>
          <w:lang w:val="uk-UA"/>
        </w:rPr>
      </w:pPr>
      <w:r w:rsidRPr="00C93159">
        <w:rPr>
          <w:lang w:val="uk-UA"/>
        </w:rPr>
        <w:t>Акції емітентів, що за результатами своєї фінансово-господарської діяльності за попередні два роки є збитковими, оцінюються з використанням ЗК, що застосовується до балансової або заставної вартості таких акцій. Розмір такого коефіцієнта встановлюється Фондом залежно від строку збитковості емітента.</w:t>
      </w:r>
    </w:p>
    <w:p w:rsidR="00C93159" w:rsidRPr="00C93159" w:rsidRDefault="00C93159" w:rsidP="00C93159">
      <w:pPr>
        <w:pStyle w:val="a3"/>
        <w:jc w:val="both"/>
        <w:rPr>
          <w:lang w:val="uk-UA"/>
        </w:rPr>
      </w:pPr>
      <w:r w:rsidRPr="00C93159">
        <w:rPr>
          <w:lang w:val="uk-UA"/>
        </w:rPr>
        <w:t>6.4. Оцінка боргових цінних паперів здійснюється на підставі останньої ринкової вартості (в тому числі базуючись на котируваннях, визначених на сайті НБУ), а у разі її відсутності - за балансовою або заставною вартістю з урахуванням дохідності до погашення (або до викупу), з урахуванням ЗК.</w:t>
      </w:r>
    </w:p>
    <w:p w:rsidR="00C93159" w:rsidRPr="00C93159" w:rsidRDefault="00C93159" w:rsidP="00C93159">
      <w:pPr>
        <w:pStyle w:val="a3"/>
        <w:jc w:val="both"/>
        <w:rPr>
          <w:lang w:val="uk-UA"/>
        </w:rPr>
      </w:pPr>
      <w:r w:rsidRPr="00C93159">
        <w:rPr>
          <w:lang w:val="uk-UA"/>
        </w:rPr>
        <w:t>У разі дефолту оцінка облігацій здійснюється з урахуванням таких ЗК:</w:t>
      </w:r>
    </w:p>
    <w:p w:rsidR="00C93159" w:rsidRPr="00C93159" w:rsidRDefault="00C93159" w:rsidP="00C93159">
      <w:pPr>
        <w:pStyle w:val="a3"/>
        <w:jc w:val="both"/>
        <w:rPr>
          <w:lang w:val="uk-UA"/>
        </w:rPr>
      </w:pPr>
      <w:r w:rsidRPr="00C93159">
        <w:rPr>
          <w:lang w:val="uk-UA"/>
        </w:rPr>
        <w:t>становить 0,5 - через один місяць з моменту дефолту;</w:t>
      </w:r>
    </w:p>
    <w:p w:rsidR="00C93159" w:rsidRPr="00C93159" w:rsidRDefault="00C93159" w:rsidP="00C93159">
      <w:pPr>
        <w:pStyle w:val="a3"/>
        <w:jc w:val="both"/>
        <w:rPr>
          <w:lang w:val="uk-UA"/>
        </w:rPr>
      </w:pPr>
      <w:r w:rsidRPr="00C93159">
        <w:rPr>
          <w:lang w:val="uk-UA"/>
        </w:rPr>
        <w:t>становить 0 - через три місяці з моменту дефолту.</w:t>
      </w:r>
    </w:p>
    <w:p w:rsidR="00C93159" w:rsidRPr="00C93159" w:rsidRDefault="00C93159" w:rsidP="00C93159">
      <w:pPr>
        <w:pStyle w:val="a3"/>
        <w:jc w:val="both"/>
        <w:rPr>
          <w:lang w:val="uk-UA"/>
        </w:rPr>
      </w:pPr>
      <w:r w:rsidRPr="00C93159">
        <w:rPr>
          <w:lang w:val="uk-UA"/>
        </w:rPr>
        <w:t>З дати порушення справи про банкрутство емітента облігації такого емітента оцінюються з урахуванням ЗК.</w:t>
      </w:r>
    </w:p>
    <w:p w:rsidR="00C93159" w:rsidRPr="00C93159" w:rsidRDefault="00C93159" w:rsidP="00C93159">
      <w:pPr>
        <w:pStyle w:val="a3"/>
        <w:jc w:val="both"/>
        <w:rPr>
          <w:lang w:val="uk-UA"/>
        </w:rPr>
      </w:pPr>
      <w:r w:rsidRPr="00C93159">
        <w:rPr>
          <w:lang w:val="uk-UA"/>
        </w:rPr>
        <w:t>Облігації оцінюються за нульовою вартістю у таких випадках:</w:t>
      </w:r>
    </w:p>
    <w:p w:rsidR="00C93159" w:rsidRPr="00C93159" w:rsidRDefault="00C93159" w:rsidP="00C93159">
      <w:pPr>
        <w:pStyle w:val="a3"/>
        <w:jc w:val="both"/>
        <w:rPr>
          <w:lang w:val="uk-UA"/>
        </w:rPr>
      </w:pPr>
      <w:r w:rsidRPr="00C93159">
        <w:rPr>
          <w:lang w:val="uk-UA"/>
        </w:rPr>
        <w:t>з дати, наступної за датою закінчення строку обігу облігацій, визначеного проспектом емісії;</w:t>
      </w:r>
    </w:p>
    <w:p w:rsidR="00C93159" w:rsidRPr="00C93159" w:rsidRDefault="00C93159" w:rsidP="00C93159">
      <w:pPr>
        <w:pStyle w:val="a3"/>
        <w:jc w:val="both"/>
        <w:rPr>
          <w:lang w:val="uk-UA"/>
        </w:rPr>
      </w:pPr>
      <w:r w:rsidRPr="00C93159">
        <w:rPr>
          <w:lang w:val="uk-UA"/>
        </w:rPr>
        <w:t>з дати, наступної за датою визнання емітента облігацій банкрутом;</w:t>
      </w:r>
    </w:p>
    <w:p w:rsidR="00C93159" w:rsidRPr="00C93159" w:rsidRDefault="00C93159" w:rsidP="00C93159">
      <w:pPr>
        <w:pStyle w:val="a3"/>
        <w:jc w:val="both"/>
        <w:rPr>
          <w:lang w:val="uk-UA"/>
        </w:rPr>
      </w:pPr>
      <w:r w:rsidRPr="00C93159">
        <w:rPr>
          <w:lang w:val="uk-UA"/>
        </w:rPr>
        <w:t>відбулось розірвання договору щодо реструктуризації заборгованості внаслідок невиконання його умов (з дати, наступної за датою розірвання договору).</w:t>
      </w:r>
    </w:p>
    <w:p w:rsidR="00C93159" w:rsidRPr="00C93159" w:rsidRDefault="00C93159" w:rsidP="00C93159">
      <w:pPr>
        <w:pStyle w:val="a3"/>
        <w:jc w:val="both"/>
        <w:rPr>
          <w:lang w:val="uk-UA"/>
        </w:rPr>
      </w:pPr>
      <w:r w:rsidRPr="00C93159">
        <w:rPr>
          <w:lang w:val="uk-UA"/>
        </w:rPr>
        <w:t>6.5. У разі якщо емітент цінних паперів відповідає параметрам умовної технічності, вартість таких цінних паперів приймається за 1 грн.</w:t>
      </w:r>
    </w:p>
    <w:p w:rsidR="00C93159" w:rsidRPr="00C93159" w:rsidRDefault="00C93159" w:rsidP="00C93159">
      <w:pPr>
        <w:pStyle w:val="a3"/>
        <w:jc w:val="both"/>
        <w:rPr>
          <w:lang w:val="uk-UA"/>
        </w:rPr>
      </w:pPr>
      <w:r w:rsidRPr="00C93159">
        <w:rPr>
          <w:lang w:val="uk-UA"/>
        </w:rPr>
        <w:t>7. Вартість майнових прав на виручку та майнових прав на товари, що мають бути поставлені, для цілей цієї Методики приймається такою, що дорівнює 1 грн.</w:t>
      </w:r>
    </w:p>
    <w:p w:rsidR="00C93159" w:rsidRPr="00C93159" w:rsidRDefault="00C93159" w:rsidP="00C93159">
      <w:pPr>
        <w:pStyle w:val="a3"/>
        <w:jc w:val="both"/>
        <w:rPr>
          <w:lang w:val="uk-UA"/>
        </w:rPr>
      </w:pPr>
      <w:r w:rsidRPr="00C93159">
        <w:rPr>
          <w:lang w:val="uk-UA"/>
        </w:rPr>
        <w:t>Вартість майнових прав на депозит (грошові кошти) у банках, які на дату оцінки віднесені до категорії неплатоспроможних або ліквідовуються, за умови якщо депозит не належить позичальнику, для цілей цієї Методики оцінюється в 1 грн.</w:t>
      </w:r>
    </w:p>
    <w:p w:rsidR="00C93159" w:rsidRPr="00C93159" w:rsidRDefault="00C93159" w:rsidP="00C93159">
      <w:pPr>
        <w:pStyle w:val="a3"/>
        <w:jc w:val="both"/>
        <w:rPr>
          <w:lang w:val="uk-UA"/>
        </w:rPr>
      </w:pPr>
      <w:r w:rsidRPr="00C93159">
        <w:rPr>
          <w:lang w:val="uk-UA"/>
        </w:rPr>
        <w:t>Вартість товарів в обороті, якщо не доведена їх відсутність, для цілей цієї Методики приймається такою, що дорівнює балансовій вартості згідно з останньою наявною переоцінкою.</w:t>
      </w:r>
    </w:p>
    <w:p w:rsidR="00C93159" w:rsidRPr="00C93159" w:rsidRDefault="00C93159" w:rsidP="00C93159">
      <w:pPr>
        <w:pStyle w:val="a3"/>
        <w:jc w:val="both"/>
        <w:rPr>
          <w:lang w:val="uk-UA"/>
        </w:rPr>
      </w:pPr>
      <w:r w:rsidRPr="00C93159">
        <w:rPr>
          <w:lang w:val="uk-UA"/>
        </w:rPr>
        <w:t>8.</w:t>
      </w:r>
      <w:r w:rsidRPr="00C93159">
        <w:rPr>
          <w:b/>
          <w:bCs/>
          <w:lang w:val="uk-UA"/>
        </w:rPr>
        <w:t xml:space="preserve"> </w:t>
      </w:r>
      <w:r w:rsidRPr="00C93159">
        <w:rPr>
          <w:lang w:val="uk-UA"/>
        </w:rPr>
        <w:t>Вартість грошових коштів та їх еквівалентів, коштів обов'язкових резервів банку в НБУ та коштів в інших банках (крім операцій "своп", інших зустрічних міжбанківських операцій, грошових коштів, обтяжених зобов'язаннями) визначається рівною балансовій вартості.</w:t>
      </w:r>
    </w:p>
    <w:p w:rsidR="00C93159" w:rsidRPr="00C93159" w:rsidRDefault="00C93159" w:rsidP="00C93159">
      <w:pPr>
        <w:pStyle w:val="a3"/>
        <w:jc w:val="both"/>
        <w:rPr>
          <w:lang w:val="uk-UA"/>
        </w:rPr>
      </w:pPr>
      <w:r w:rsidRPr="00C93159">
        <w:rPr>
          <w:lang w:val="uk-UA"/>
        </w:rPr>
        <w:lastRenderedPageBreak/>
        <w:t>Грошові кошти на кореспондентських рахунках в інших банках, які на дату оцінки віднесені до категорії неплатоспроможних або ліквідовуються, для цілей цієї Методики оцінюються в 1 грн.</w:t>
      </w:r>
    </w:p>
    <w:p w:rsidR="00C93159" w:rsidRPr="00C93159" w:rsidRDefault="00C93159" w:rsidP="00C93159">
      <w:pPr>
        <w:pStyle w:val="a3"/>
        <w:jc w:val="both"/>
        <w:rPr>
          <w:lang w:val="uk-UA"/>
        </w:rPr>
      </w:pPr>
      <w:r w:rsidRPr="00C93159">
        <w:rPr>
          <w:lang w:val="uk-UA"/>
        </w:rPr>
        <w:t>Грошові кошти на nostro-рахунках за операціями "своп", передані у забезпечення, оцінюються за балансовою вартістю відповідного зобов'язання за loro-рахунком (виходячи із припущення про взаємне задоволення вимог за рахунок заставлених грошових коштів).</w:t>
      </w:r>
    </w:p>
    <w:p w:rsidR="00C93159" w:rsidRPr="00C93159" w:rsidRDefault="00C93159" w:rsidP="00C93159">
      <w:pPr>
        <w:pStyle w:val="a3"/>
        <w:jc w:val="both"/>
        <w:rPr>
          <w:lang w:val="uk-UA"/>
        </w:rPr>
      </w:pPr>
      <w:r w:rsidRPr="00C93159">
        <w:rPr>
          <w:lang w:val="uk-UA"/>
        </w:rPr>
        <w:t>Грошові кошти на рахунках банку в інших банках, обтяжені зобов'язаннями банку або третіх осіб, для цілей цієї Методики оцінюються з урахуванням імовірності задоволення вимог кредитора за рахунок таких грошових коштів.</w:t>
      </w:r>
    </w:p>
    <w:p w:rsidR="00C93159" w:rsidRPr="00C93159" w:rsidRDefault="00C93159" w:rsidP="00C93159">
      <w:pPr>
        <w:pStyle w:val="a3"/>
        <w:jc w:val="both"/>
        <w:rPr>
          <w:lang w:val="uk-UA"/>
        </w:rPr>
      </w:pPr>
      <w:r w:rsidRPr="00C93159">
        <w:rPr>
          <w:lang w:val="uk-UA"/>
        </w:rPr>
        <w:t>У разі розміщення коштів в MEINL BANK AG (Австрія), BANK FRICK &amp; Co AG (Ліхтенштейн), East-West United Bank S.A. (Люксембург), Bank Winter &amp; Co. AG (Австрія) ймовірність задоволення вимог таких кредиторів за рахунок таких грошових коштів та списання коштів в рахунок обтяження приймається рівною 99 % до моменту зміни юридичної ситуації з даними типами заборгованості у системі Фонду в цілому.</w:t>
      </w:r>
    </w:p>
    <w:p w:rsidR="00C93159" w:rsidRPr="00C93159" w:rsidRDefault="00C93159" w:rsidP="00C93159">
      <w:pPr>
        <w:pStyle w:val="a3"/>
        <w:jc w:val="both"/>
        <w:rPr>
          <w:lang w:val="uk-UA"/>
        </w:rPr>
      </w:pPr>
      <w:r w:rsidRPr="00C93159">
        <w:rPr>
          <w:lang w:val="uk-UA"/>
        </w:rPr>
        <w:t>У разі фактичного або високовірогідного списання грошових коштів в інших банках як забезпечення за зобов'язаннями третіх осіб оцінюються права вимоги до третіх осіб, які виникають після списання грошових коштів, відповідно до положень цієї Методики.</w:t>
      </w:r>
    </w:p>
    <w:p w:rsidR="00C93159" w:rsidRPr="00C93159" w:rsidRDefault="00C93159" w:rsidP="00C93159">
      <w:pPr>
        <w:pStyle w:val="a3"/>
        <w:jc w:val="both"/>
        <w:rPr>
          <w:lang w:val="uk-UA"/>
        </w:rPr>
      </w:pPr>
      <w:r w:rsidRPr="00C93159">
        <w:rPr>
          <w:lang w:val="uk-UA"/>
        </w:rPr>
        <w:t>9. За наявності експертної оцінки суб'єктом оціночної діяльності рухомого майна (складеної не пізніше 6 місяців до дати оцінки, якщо строк чинності не вказано) може використовуватись ринкова вартість рухомого майна за результатами такої експертної оцінки суб'єктом оціночної діяльності.</w:t>
      </w:r>
    </w:p>
    <w:p w:rsidR="00C93159" w:rsidRPr="00C93159" w:rsidRDefault="00C93159" w:rsidP="00C93159">
      <w:pPr>
        <w:pStyle w:val="a3"/>
        <w:jc w:val="both"/>
        <w:rPr>
          <w:lang w:val="uk-UA"/>
        </w:rPr>
      </w:pPr>
      <w:r w:rsidRPr="00C93159">
        <w:rPr>
          <w:lang w:val="uk-UA"/>
        </w:rPr>
        <w:t>За відсутності актуальної оцінки суб'єктом оціночної діяльності (крім тієї, якість якої перевіряється) або за наявності сумнівів щодо об'єктивності висновків оцінка рухомого майна здійснюється таким чином:</w:t>
      </w:r>
    </w:p>
    <w:p w:rsidR="00C93159" w:rsidRPr="00C93159" w:rsidRDefault="00C93159" w:rsidP="00C93159">
      <w:pPr>
        <w:pStyle w:val="a3"/>
        <w:jc w:val="both"/>
        <w:rPr>
          <w:lang w:val="uk-UA"/>
        </w:rPr>
      </w:pPr>
      <w:r w:rsidRPr="00C93159">
        <w:rPr>
          <w:lang w:val="uk-UA"/>
        </w:rPr>
        <w:t>1) оцінка автотранспортних засобів здійснюється шляхом розрахунку приведеної вартості грошових потоків від продажу об'єктів за оціночною вартістю, визначеною за даними оголошень у спеціалізованих виданнях та мережі Інтернет, з урахуванням фактичних цін продажу їх Фондом (за даними уповноваженого підрозділу Фонду), а також з урахуванням:</w:t>
      </w:r>
    </w:p>
    <w:p w:rsidR="00C93159" w:rsidRPr="00C93159" w:rsidRDefault="00C93159" w:rsidP="00C93159">
      <w:pPr>
        <w:pStyle w:val="a3"/>
        <w:jc w:val="both"/>
        <w:rPr>
          <w:lang w:val="uk-UA"/>
        </w:rPr>
      </w:pPr>
      <w:r w:rsidRPr="00C93159">
        <w:rPr>
          <w:lang w:val="uk-UA"/>
        </w:rPr>
        <w:t>встановлених строків тимчасової адміністрації та ліквідації банку, строків продажу активів спеціалізованою установою (в разі її створення);</w:t>
      </w:r>
    </w:p>
    <w:p w:rsidR="00C93159" w:rsidRPr="00C93159" w:rsidRDefault="00C93159" w:rsidP="00C93159">
      <w:pPr>
        <w:pStyle w:val="a3"/>
        <w:jc w:val="both"/>
        <w:rPr>
          <w:lang w:val="uk-UA"/>
        </w:rPr>
      </w:pPr>
      <w:r w:rsidRPr="00C93159">
        <w:rPr>
          <w:lang w:val="uk-UA"/>
        </w:rPr>
        <w:t>марки та моделі;</w:t>
      </w:r>
    </w:p>
    <w:p w:rsidR="00C93159" w:rsidRPr="00C93159" w:rsidRDefault="00C93159" w:rsidP="00C93159">
      <w:pPr>
        <w:pStyle w:val="a3"/>
        <w:jc w:val="both"/>
        <w:rPr>
          <w:lang w:val="uk-UA"/>
        </w:rPr>
      </w:pPr>
      <w:r w:rsidRPr="00C93159">
        <w:rPr>
          <w:lang w:val="uk-UA"/>
        </w:rPr>
        <w:t>року випуску;</w:t>
      </w:r>
    </w:p>
    <w:p w:rsidR="00C93159" w:rsidRPr="00C93159" w:rsidRDefault="00C93159" w:rsidP="00C93159">
      <w:pPr>
        <w:pStyle w:val="a3"/>
        <w:jc w:val="both"/>
        <w:rPr>
          <w:lang w:val="uk-UA"/>
        </w:rPr>
      </w:pPr>
      <w:r w:rsidRPr="00C93159">
        <w:rPr>
          <w:lang w:val="uk-UA"/>
        </w:rPr>
        <w:t>пробігу;</w:t>
      </w:r>
    </w:p>
    <w:p w:rsidR="00C93159" w:rsidRPr="00C93159" w:rsidRDefault="00C93159" w:rsidP="00C93159">
      <w:pPr>
        <w:pStyle w:val="a3"/>
        <w:jc w:val="both"/>
        <w:rPr>
          <w:lang w:val="uk-UA"/>
        </w:rPr>
      </w:pPr>
      <w:r w:rsidRPr="00C93159">
        <w:rPr>
          <w:lang w:val="uk-UA"/>
        </w:rPr>
        <w:t>фізичного стану та наявності пошкоджень;</w:t>
      </w:r>
    </w:p>
    <w:p w:rsidR="00C93159" w:rsidRPr="00C93159" w:rsidRDefault="00C93159" w:rsidP="00C93159">
      <w:pPr>
        <w:pStyle w:val="a3"/>
        <w:jc w:val="both"/>
        <w:rPr>
          <w:lang w:val="uk-UA"/>
        </w:rPr>
      </w:pPr>
      <w:r w:rsidRPr="00C93159">
        <w:rPr>
          <w:lang w:val="uk-UA"/>
        </w:rPr>
        <w:t>інших характеристик.</w:t>
      </w:r>
    </w:p>
    <w:p w:rsidR="00C93159" w:rsidRPr="00C93159" w:rsidRDefault="00C93159" w:rsidP="00C93159">
      <w:pPr>
        <w:pStyle w:val="a3"/>
        <w:jc w:val="both"/>
        <w:rPr>
          <w:lang w:val="uk-UA"/>
        </w:rPr>
      </w:pPr>
      <w:r w:rsidRPr="00C93159">
        <w:rPr>
          <w:lang w:val="uk-UA"/>
        </w:rPr>
        <w:t>Оціночна вартість визначається як середнє значення цін пропозиції за останні три місяці на аналогічні транспортні засоби з урахуванням таких корегувань:</w:t>
      </w:r>
    </w:p>
    <w:p w:rsidR="00C93159" w:rsidRPr="00C93159" w:rsidRDefault="00C93159" w:rsidP="00C93159">
      <w:pPr>
        <w:pStyle w:val="a3"/>
        <w:jc w:val="both"/>
        <w:rPr>
          <w:lang w:val="uk-UA"/>
        </w:rPr>
      </w:pPr>
      <w:r w:rsidRPr="00C93159">
        <w:rPr>
          <w:lang w:val="uk-UA"/>
        </w:rPr>
        <w:lastRenderedPageBreak/>
        <w:t>розміру комісійної винагороди автосалону на рівні 5 %;</w:t>
      </w:r>
    </w:p>
    <w:p w:rsidR="00C93159" w:rsidRPr="00C93159" w:rsidRDefault="00C93159" w:rsidP="00C93159">
      <w:pPr>
        <w:pStyle w:val="a3"/>
        <w:jc w:val="both"/>
        <w:rPr>
          <w:lang w:val="uk-UA"/>
        </w:rPr>
      </w:pPr>
      <w:r w:rsidRPr="00C93159">
        <w:rPr>
          <w:lang w:val="uk-UA"/>
        </w:rPr>
        <w:t>розміру накладних витрат на продаж такого майна (рекламні оголошення, комісійна винагорода біржі, податки тощо) - не більше 5 %;</w:t>
      </w:r>
    </w:p>
    <w:p w:rsidR="00C93159" w:rsidRPr="00C93159" w:rsidRDefault="00C93159" w:rsidP="00C93159">
      <w:pPr>
        <w:pStyle w:val="a3"/>
        <w:jc w:val="both"/>
        <w:rPr>
          <w:lang w:val="uk-UA"/>
        </w:rPr>
      </w:pPr>
      <w:r w:rsidRPr="00C93159">
        <w:rPr>
          <w:lang w:val="uk-UA"/>
        </w:rPr>
        <w:t>очікуваної динаміки цін на автотранспорт (з урахуванням очікуваної дати продажу через 6 - 12 місяців після дати прийняття рішення про ліквідацію банку);</w:t>
      </w:r>
    </w:p>
    <w:p w:rsidR="00C93159" w:rsidRPr="00C93159" w:rsidRDefault="00C93159" w:rsidP="00C93159">
      <w:pPr>
        <w:pStyle w:val="a3"/>
        <w:jc w:val="both"/>
        <w:rPr>
          <w:lang w:val="uk-UA"/>
        </w:rPr>
      </w:pPr>
      <w:r w:rsidRPr="00C93159">
        <w:rPr>
          <w:lang w:val="uk-UA"/>
        </w:rPr>
        <w:t>2) оцінка технологічного обладнання здійснюється шляхом розрахунку приведеної вартості грошових потоків від продажу аналогічних об'єктів за оціночною вартістю, визначеною за даними оголошень у спеціалізованих виданнях та мережі Інтернет, а також фактичних цін продажу його Фондом (за даними уповноваженого підрозділу Фонду), з урахуванням:</w:t>
      </w:r>
    </w:p>
    <w:p w:rsidR="00C93159" w:rsidRPr="00C93159" w:rsidRDefault="00C93159" w:rsidP="00C93159">
      <w:pPr>
        <w:pStyle w:val="a3"/>
        <w:jc w:val="both"/>
        <w:rPr>
          <w:lang w:val="uk-UA"/>
        </w:rPr>
      </w:pPr>
      <w:r w:rsidRPr="00C93159">
        <w:rPr>
          <w:lang w:val="uk-UA"/>
        </w:rPr>
        <w:t>встановлених строків тимчасової адміністрації та ліквідації банку, строків продажу активів спеціалізованою установою (в разі її створення);</w:t>
      </w:r>
    </w:p>
    <w:p w:rsidR="00C93159" w:rsidRPr="00C93159" w:rsidRDefault="00C93159" w:rsidP="00C93159">
      <w:pPr>
        <w:pStyle w:val="a3"/>
        <w:jc w:val="both"/>
        <w:rPr>
          <w:lang w:val="uk-UA"/>
        </w:rPr>
      </w:pPr>
      <w:r w:rsidRPr="00C93159">
        <w:rPr>
          <w:lang w:val="uk-UA"/>
        </w:rPr>
        <w:t>функціонального призначення обладнання (його ліквідності);</w:t>
      </w:r>
    </w:p>
    <w:p w:rsidR="00C93159" w:rsidRPr="00C93159" w:rsidRDefault="00C93159" w:rsidP="00C93159">
      <w:pPr>
        <w:pStyle w:val="a3"/>
        <w:jc w:val="both"/>
        <w:rPr>
          <w:lang w:val="uk-UA"/>
        </w:rPr>
      </w:pPr>
      <w:r w:rsidRPr="00C93159">
        <w:rPr>
          <w:lang w:val="uk-UA"/>
        </w:rPr>
        <w:t>продуктивності за готовою продукцією;</w:t>
      </w:r>
    </w:p>
    <w:p w:rsidR="00C93159" w:rsidRPr="00C93159" w:rsidRDefault="00C93159" w:rsidP="00C93159">
      <w:pPr>
        <w:pStyle w:val="a3"/>
        <w:jc w:val="both"/>
        <w:rPr>
          <w:lang w:val="uk-UA"/>
        </w:rPr>
      </w:pPr>
      <w:r w:rsidRPr="00C93159">
        <w:rPr>
          <w:lang w:val="uk-UA"/>
        </w:rPr>
        <w:t>дати введення в експлуатацію;</w:t>
      </w:r>
    </w:p>
    <w:p w:rsidR="00C93159" w:rsidRPr="00C93159" w:rsidRDefault="00C93159" w:rsidP="00C93159">
      <w:pPr>
        <w:pStyle w:val="a3"/>
        <w:jc w:val="both"/>
        <w:rPr>
          <w:lang w:val="uk-UA"/>
        </w:rPr>
      </w:pPr>
      <w:r w:rsidRPr="00C93159">
        <w:rPr>
          <w:lang w:val="uk-UA"/>
        </w:rPr>
        <w:t>комплектації;</w:t>
      </w:r>
    </w:p>
    <w:p w:rsidR="00C93159" w:rsidRPr="00C93159" w:rsidRDefault="00C93159" w:rsidP="00C93159">
      <w:pPr>
        <w:pStyle w:val="a3"/>
        <w:jc w:val="both"/>
        <w:rPr>
          <w:lang w:val="uk-UA"/>
        </w:rPr>
      </w:pPr>
      <w:r w:rsidRPr="00C93159">
        <w:rPr>
          <w:lang w:val="uk-UA"/>
        </w:rPr>
        <w:t>фізичного стану;</w:t>
      </w:r>
    </w:p>
    <w:p w:rsidR="00C93159" w:rsidRPr="00C93159" w:rsidRDefault="00C93159" w:rsidP="00C93159">
      <w:pPr>
        <w:pStyle w:val="a3"/>
        <w:jc w:val="both"/>
        <w:rPr>
          <w:lang w:val="uk-UA"/>
        </w:rPr>
      </w:pPr>
      <w:r w:rsidRPr="00C93159">
        <w:rPr>
          <w:lang w:val="uk-UA"/>
        </w:rPr>
        <w:t>величини знижки на торг в середньому на ринку промислового обладнання України, що визначається на рівні 10 - 15 %;</w:t>
      </w:r>
    </w:p>
    <w:p w:rsidR="00C93159" w:rsidRPr="00C93159" w:rsidRDefault="00C93159" w:rsidP="00C93159">
      <w:pPr>
        <w:pStyle w:val="a3"/>
        <w:jc w:val="both"/>
        <w:rPr>
          <w:lang w:val="uk-UA"/>
        </w:rPr>
      </w:pPr>
      <w:r w:rsidRPr="00C93159">
        <w:rPr>
          <w:lang w:val="uk-UA"/>
        </w:rPr>
        <w:t>очікуваних витрат на логістику - 5 %;</w:t>
      </w:r>
    </w:p>
    <w:p w:rsidR="00C93159" w:rsidRPr="00C93159" w:rsidRDefault="00C93159" w:rsidP="00C93159">
      <w:pPr>
        <w:pStyle w:val="a3"/>
        <w:jc w:val="both"/>
        <w:rPr>
          <w:lang w:val="uk-UA"/>
        </w:rPr>
      </w:pPr>
      <w:r w:rsidRPr="00C93159">
        <w:rPr>
          <w:lang w:val="uk-UA"/>
        </w:rPr>
        <w:t>розміру накладних витрат на продаж такого майна (рекламні оголошення, комісійна винагорода біржі тощо) - не більше 5 %;</w:t>
      </w:r>
    </w:p>
    <w:p w:rsidR="00C93159" w:rsidRPr="00C93159" w:rsidRDefault="00C93159" w:rsidP="00C93159">
      <w:pPr>
        <w:pStyle w:val="a3"/>
        <w:jc w:val="both"/>
        <w:rPr>
          <w:lang w:val="uk-UA"/>
        </w:rPr>
      </w:pPr>
      <w:r w:rsidRPr="00C93159">
        <w:rPr>
          <w:lang w:val="uk-UA"/>
        </w:rPr>
        <w:t>інших факторів.</w:t>
      </w:r>
    </w:p>
    <w:p w:rsidR="00C93159" w:rsidRPr="00C93159" w:rsidRDefault="00C93159" w:rsidP="00C93159">
      <w:pPr>
        <w:pStyle w:val="a3"/>
        <w:jc w:val="both"/>
        <w:rPr>
          <w:lang w:val="uk-UA"/>
        </w:rPr>
      </w:pPr>
      <w:r w:rsidRPr="00C93159">
        <w:rPr>
          <w:lang w:val="uk-UA"/>
        </w:rPr>
        <w:t>За наявності висновку суб'єкта оціночної діяльності, що застарів, вартість технологічного обладнання визначається шляхом множення визначеної таким суб'єктом оціночної діяльності вартості на коефіцієнт, що враховує зміну офіційного курсу гривні до іноземної валюти, встановленого НБУ, з дати проведення оцінки суб'єктом оціночної діяльності, а також на добуток коефіцієнтів, що враховують знос та моральне старіння технологічного обладнання за кожен рік після проведення оцінки суб'єктом оціночної діяльності (у тому числі неповний), за такою формулою:</w:t>
      </w:r>
    </w:p>
    <w:tbl>
      <w:tblPr>
        <w:tblW w:w="5000" w:type="pct"/>
        <w:tblCellSpacing w:w="22" w:type="dxa"/>
        <w:tblCellMar>
          <w:top w:w="30" w:type="dxa"/>
          <w:left w:w="30" w:type="dxa"/>
          <w:bottom w:w="30" w:type="dxa"/>
          <w:right w:w="30" w:type="dxa"/>
        </w:tblCellMar>
        <w:tblLook w:val="04A0"/>
      </w:tblPr>
      <w:tblGrid>
        <w:gridCol w:w="5501"/>
        <w:gridCol w:w="4002"/>
      </w:tblGrid>
      <w:tr w:rsidR="00C93159" w:rsidRPr="00C93159" w:rsidTr="00C93159">
        <w:trPr>
          <w:tblCellSpacing w:w="22" w:type="dxa"/>
        </w:trPr>
        <w:tc>
          <w:tcPr>
            <w:tcW w:w="2900" w:type="pct"/>
            <w:vAlign w:val="center"/>
            <w:hideMark/>
          </w:tcPr>
          <w:p w:rsidR="00C93159" w:rsidRPr="00C93159" w:rsidRDefault="00C93159">
            <w:pPr>
              <w:pStyle w:val="a3"/>
              <w:jc w:val="right"/>
            </w:pPr>
            <w:r w:rsidRPr="00C93159">
              <w:t> </w:t>
            </w:r>
            <w:r w:rsidRPr="00C93159">
              <w:rPr>
                <w:noProof/>
              </w:rPr>
              <w:drawing>
                <wp:inline distT="0" distB="0" distL="0" distR="0">
                  <wp:extent cx="2434590" cy="520700"/>
                  <wp:effectExtent l="19050" t="0" r="3810" b="0"/>
                  <wp:docPr id="4" name="Рисунок 4" descr="C:\Users\Sorochenko_A\AppData\Roaming\Liga70\Client\Session\RE29934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orochenko_A\AppData\Roaming\Liga70\Client\Session\RE29934_img_003.gif"/>
                          <pic:cNvPicPr>
                            <a:picLocks noChangeAspect="1" noChangeArrowheads="1"/>
                          </pic:cNvPicPr>
                        </pic:nvPicPr>
                        <pic:blipFill>
                          <a:blip r:embed="rId6"/>
                          <a:srcRect/>
                          <a:stretch>
                            <a:fillRect/>
                          </a:stretch>
                        </pic:blipFill>
                        <pic:spPr bwMode="auto">
                          <a:xfrm>
                            <a:off x="0" y="0"/>
                            <a:ext cx="2434590" cy="520700"/>
                          </a:xfrm>
                          <a:prstGeom prst="rect">
                            <a:avLst/>
                          </a:prstGeom>
                          <a:noFill/>
                          <a:ln w="9525">
                            <a:noFill/>
                            <a:miter lim="800000"/>
                            <a:headEnd/>
                            <a:tailEnd/>
                          </a:ln>
                        </pic:spPr>
                      </pic:pic>
                    </a:graphicData>
                  </a:graphic>
                </wp:inline>
              </w:drawing>
            </w:r>
            <w:r w:rsidRPr="00C93159">
              <w:t> </w:t>
            </w:r>
          </w:p>
        </w:tc>
        <w:tc>
          <w:tcPr>
            <w:tcW w:w="2100" w:type="pct"/>
            <w:vAlign w:val="center"/>
            <w:hideMark/>
          </w:tcPr>
          <w:p w:rsidR="00C93159" w:rsidRPr="00C93159" w:rsidRDefault="00C93159">
            <w:pPr>
              <w:pStyle w:val="a3"/>
            </w:pPr>
            <w:r w:rsidRPr="00C93159">
              <w:t>,</w:t>
            </w:r>
          </w:p>
        </w:tc>
      </w:tr>
    </w:tbl>
    <w:p w:rsidR="00C93159" w:rsidRPr="00C93159" w:rsidRDefault="00C93159" w:rsidP="00C93159">
      <w:pPr>
        <w:pStyle w:val="a3"/>
        <w:jc w:val="both"/>
        <w:rPr>
          <w:lang w:val="uk-UA"/>
        </w:rPr>
      </w:pPr>
      <w:r w:rsidRPr="00C93159">
        <w:rPr>
          <w:lang w:val="uk-UA"/>
        </w:rPr>
        <w:br w:type="textWrapping" w:clear="all"/>
      </w:r>
    </w:p>
    <w:p w:rsidR="00C93159" w:rsidRPr="00C93159" w:rsidRDefault="00C93159" w:rsidP="00C93159">
      <w:pPr>
        <w:pStyle w:val="a3"/>
        <w:jc w:val="both"/>
        <w:rPr>
          <w:lang w:val="uk-UA"/>
        </w:rPr>
      </w:pPr>
      <w:r w:rsidRPr="00C93159">
        <w:rPr>
          <w:lang w:val="uk-UA"/>
        </w:rPr>
        <w:lastRenderedPageBreak/>
        <w:t>де ВТО - вартість технологічного обладнання;</w:t>
      </w:r>
    </w:p>
    <w:p w:rsidR="00C93159" w:rsidRPr="00C93159" w:rsidRDefault="00C93159" w:rsidP="00C93159">
      <w:pPr>
        <w:pStyle w:val="a3"/>
        <w:jc w:val="both"/>
        <w:rPr>
          <w:lang w:val="uk-UA"/>
        </w:rPr>
      </w:pPr>
      <w:r w:rsidRPr="00C93159">
        <w:rPr>
          <w:lang w:val="uk-UA"/>
        </w:rPr>
        <w:t>НВ - вартість, визначена суб'єктом оціночної діяльності;</w:t>
      </w:r>
    </w:p>
    <w:p w:rsidR="00C93159" w:rsidRPr="00C93159" w:rsidRDefault="00C93159" w:rsidP="00C93159">
      <w:pPr>
        <w:pStyle w:val="a3"/>
        <w:jc w:val="both"/>
        <w:rPr>
          <w:lang w:val="uk-UA"/>
        </w:rPr>
      </w:pPr>
      <w:r w:rsidRPr="00C93159">
        <w:rPr>
          <w:lang w:val="uk-UA"/>
        </w:rPr>
        <w:t>ФС - коефіцієнт, що враховує фізичний стан технологічного обладнання та придатність його для використання;</w:t>
      </w:r>
    </w:p>
    <w:p w:rsidR="00C93159" w:rsidRPr="00C93159" w:rsidRDefault="00C93159" w:rsidP="00C93159">
      <w:pPr>
        <w:pStyle w:val="a3"/>
        <w:jc w:val="both"/>
        <w:rPr>
          <w:lang w:val="uk-UA"/>
        </w:rPr>
      </w:pPr>
      <w:r w:rsidRPr="00C93159">
        <w:rPr>
          <w:lang w:val="uk-UA"/>
        </w:rPr>
        <w:t>К1 - курс гривні до іноземної валюти на дату оцінки за цією Методикою;</w:t>
      </w:r>
    </w:p>
    <w:p w:rsidR="00C93159" w:rsidRPr="00C93159" w:rsidRDefault="00C93159" w:rsidP="00C93159">
      <w:pPr>
        <w:pStyle w:val="a3"/>
        <w:jc w:val="both"/>
        <w:rPr>
          <w:lang w:val="uk-UA"/>
        </w:rPr>
      </w:pPr>
      <w:r w:rsidRPr="00C93159">
        <w:rPr>
          <w:lang w:val="uk-UA"/>
        </w:rPr>
        <w:t>К2 - курс гривні до іноземної валюти на дату оцінки суб'єктом оціночної діяльності;</w:t>
      </w:r>
    </w:p>
    <w:p w:rsidR="00C93159" w:rsidRPr="00C93159" w:rsidRDefault="00C93159" w:rsidP="00C93159">
      <w:pPr>
        <w:pStyle w:val="a3"/>
        <w:jc w:val="both"/>
        <w:rPr>
          <w:lang w:val="uk-UA"/>
        </w:rPr>
      </w:pPr>
      <w:r w:rsidRPr="00C93159">
        <w:rPr>
          <w:lang w:val="uk-UA"/>
        </w:rPr>
        <w:t>k</w:t>
      </w:r>
      <w:r w:rsidRPr="00C93159">
        <w:rPr>
          <w:vertAlign w:val="subscript"/>
          <w:lang w:val="uk-UA"/>
        </w:rPr>
        <w:t xml:space="preserve"> t</w:t>
      </w:r>
      <w:r w:rsidRPr="00C93159">
        <w:rPr>
          <w:lang w:val="uk-UA"/>
        </w:rPr>
        <w:t xml:space="preserve"> - коефіцієнт зносу, що дорівнює 0,8 за кожен рік після оцінки суб'єктом оціночної діяльності;</w:t>
      </w:r>
    </w:p>
    <w:p w:rsidR="00C93159" w:rsidRPr="00C93159" w:rsidRDefault="00C93159" w:rsidP="00C93159">
      <w:pPr>
        <w:pStyle w:val="a3"/>
        <w:jc w:val="both"/>
        <w:rPr>
          <w:lang w:val="uk-UA"/>
        </w:rPr>
      </w:pPr>
      <w:r w:rsidRPr="00C93159">
        <w:rPr>
          <w:lang w:val="uk-UA"/>
        </w:rPr>
        <w:t>3) оцінка інших основних засобів (крім автотранспортних засобів та технологічного обладнання, на яке звернуто стягнення) здійснюється шляхом розрахунку приведеної вартості грошових потоків від продажу об'єктів за ціною, визначеною за даними бухгалтерського обліку, виходячи із встановлених строків тимчасової адміністрації та ліквідації банку, а також строків продажу активів спеціалізованою установою (в разі її створення). Оціночна вартість активів, що належать до рухомого майна (крім автотранспортних засобів) та обліковуються на балансі банку, проводиться за формулою</w:t>
      </w:r>
    </w:p>
    <w:tbl>
      <w:tblPr>
        <w:tblW w:w="5000" w:type="pct"/>
        <w:tblCellSpacing w:w="22" w:type="dxa"/>
        <w:tblCellMar>
          <w:top w:w="30" w:type="dxa"/>
          <w:left w:w="30" w:type="dxa"/>
          <w:bottom w:w="30" w:type="dxa"/>
          <w:right w:w="30" w:type="dxa"/>
        </w:tblCellMar>
        <w:tblLook w:val="04A0"/>
      </w:tblPr>
      <w:tblGrid>
        <w:gridCol w:w="4379"/>
        <w:gridCol w:w="464"/>
        <w:gridCol w:w="4660"/>
      </w:tblGrid>
      <w:tr w:rsidR="00C93159" w:rsidRPr="00C93159" w:rsidTr="00C93159">
        <w:trPr>
          <w:tblCellSpacing w:w="22" w:type="dxa"/>
        </w:trPr>
        <w:tc>
          <w:tcPr>
            <w:tcW w:w="2350" w:type="pct"/>
            <w:vAlign w:val="center"/>
            <w:hideMark/>
          </w:tcPr>
          <w:p w:rsidR="00C93159" w:rsidRPr="00C93159" w:rsidRDefault="00C93159">
            <w:pPr>
              <w:pStyle w:val="a3"/>
              <w:jc w:val="right"/>
            </w:pPr>
            <w:r w:rsidRPr="00C93159">
              <w:rPr>
                <w:i/>
                <w:iCs/>
              </w:rPr>
              <w:t>S</w:t>
            </w:r>
            <w:r w:rsidRPr="00C93159">
              <w:rPr>
                <w:i/>
                <w:iCs/>
                <w:vertAlign w:val="subscript"/>
              </w:rPr>
              <w:t xml:space="preserve"> i</w:t>
            </w:r>
            <w:r w:rsidRPr="00C93159">
              <w:t xml:space="preserve"> = </w:t>
            </w:r>
            <w:r w:rsidRPr="00C93159">
              <w:rPr>
                <w:i/>
                <w:iCs/>
              </w:rPr>
              <w:t>БВ</w:t>
            </w:r>
            <w:r w:rsidRPr="00C93159">
              <w:rPr>
                <w:i/>
                <w:iCs/>
                <w:vertAlign w:val="subscript"/>
              </w:rPr>
              <w:t xml:space="preserve"> i</w:t>
            </w:r>
            <w:r w:rsidRPr="00C93159">
              <w:t xml:space="preserve"> </w:t>
            </w:r>
            <w:r w:rsidRPr="00C93159">
              <w:rPr>
                <w:rFonts w:ascii="Symbol" w:hAnsi="Symbol"/>
              </w:rPr>
              <w:t></w:t>
            </w:r>
            <w:r w:rsidRPr="00C93159">
              <w:t xml:space="preserve"> (1 -</w:t>
            </w:r>
          </w:p>
        </w:tc>
        <w:tc>
          <w:tcPr>
            <w:tcW w:w="150" w:type="pct"/>
            <w:vAlign w:val="center"/>
            <w:hideMark/>
          </w:tcPr>
          <w:p w:rsidR="00C93159" w:rsidRPr="00C93159" w:rsidRDefault="00C93159">
            <w:pPr>
              <w:pStyle w:val="a3"/>
            </w:pPr>
            <w:r w:rsidRPr="00C93159">
              <w:t>_</w:t>
            </w:r>
            <w:r w:rsidRPr="00C93159">
              <w:rPr>
                <w:i/>
                <w:iCs/>
                <w:u w:val="single"/>
              </w:rPr>
              <w:t>n</w:t>
            </w:r>
            <w:r w:rsidRPr="00C93159">
              <w:t>_</w:t>
            </w:r>
            <w:r w:rsidRPr="00C93159">
              <w:br/>
            </w:r>
            <w:r w:rsidRPr="00C93159">
              <w:rPr>
                <w:i/>
                <w:iCs/>
              </w:rPr>
              <w:t>СВ</w:t>
            </w:r>
            <w:r w:rsidRPr="00C93159">
              <w:rPr>
                <w:i/>
                <w:iCs/>
                <w:vertAlign w:val="subscript"/>
              </w:rPr>
              <w:t xml:space="preserve"> i</w:t>
            </w:r>
          </w:p>
        </w:tc>
        <w:tc>
          <w:tcPr>
            <w:tcW w:w="2500" w:type="pct"/>
            <w:vAlign w:val="center"/>
            <w:hideMark/>
          </w:tcPr>
          <w:p w:rsidR="00C93159" w:rsidRPr="00C93159" w:rsidRDefault="00C93159">
            <w:pPr>
              <w:pStyle w:val="a3"/>
            </w:pPr>
            <w:r w:rsidRPr="00C93159">
              <w:t>),</w:t>
            </w:r>
          </w:p>
        </w:tc>
      </w:tr>
    </w:tbl>
    <w:p w:rsidR="00C93159" w:rsidRPr="00C93159" w:rsidRDefault="00C93159" w:rsidP="00C93159">
      <w:pPr>
        <w:pStyle w:val="a3"/>
        <w:jc w:val="both"/>
        <w:rPr>
          <w:lang w:val="uk-UA"/>
        </w:rPr>
      </w:pPr>
      <w:r w:rsidRPr="00C93159">
        <w:rPr>
          <w:lang w:val="uk-UA"/>
        </w:rPr>
        <w:br w:type="textWrapping" w:clear="all"/>
      </w:r>
    </w:p>
    <w:p w:rsidR="00C93159" w:rsidRPr="00C93159" w:rsidRDefault="00C93159" w:rsidP="00C93159">
      <w:pPr>
        <w:pStyle w:val="a3"/>
        <w:jc w:val="both"/>
        <w:rPr>
          <w:lang w:val="uk-UA"/>
        </w:rPr>
      </w:pPr>
      <w:r w:rsidRPr="00C93159">
        <w:rPr>
          <w:lang w:val="uk-UA"/>
        </w:rPr>
        <w:t xml:space="preserve">де </w:t>
      </w:r>
      <w:r w:rsidRPr="00C93159">
        <w:rPr>
          <w:i/>
          <w:iCs/>
          <w:lang w:val="uk-UA"/>
        </w:rPr>
        <w:t>S</w:t>
      </w:r>
      <w:r w:rsidRPr="00C93159">
        <w:rPr>
          <w:i/>
          <w:iCs/>
          <w:vertAlign w:val="subscript"/>
          <w:lang w:val="uk-UA"/>
        </w:rPr>
        <w:t xml:space="preserve"> i</w:t>
      </w:r>
      <w:r w:rsidRPr="00C93159">
        <w:rPr>
          <w:vertAlign w:val="subscript"/>
          <w:lang w:val="uk-UA"/>
        </w:rPr>
        <w:t xml:space="preserve">  </w:t>
      </w:r>
      <w:r w:rsidRPr="00C93159">
        <w:rPr>
          <w:lang w:val="uk-UA"/>
        </w:rPr>
        <w:t>- оціночна вартість активів, що належать до рухомого майна;</w:t>
      </w:r>
    </w:p>
    <w:p w:rsidR="00C93159" w:rsidRPr="00C93159" w:rsidRDefault="00C93159" w:rsidP="00C93159">
      <w:pPr>
        <w:pStyle w:val="a3"/>
        <w:jc w:val="both"/>
        <w:rPr>
          <w:lang w:val="uk-UA"/>
        </w:rPr>
      </w:pPr>
      <w:r w:rsidRPr="00C93159">
        <w:rPr>
          <w:i/>
          <w:iCs/>
          <w:lang w:val="uk-UA"/>
        </w:rPr>
        <w:t>БВ</w:t>
      </w:r>
      <w:r w:rsidRPr="00C93159">
        <w:rPr>
          <w:i/>
          <w:iCs/>
          <w:vertAlign w:val="subscript"/>
          <w:lang w:val="uk-UA"/>
        </w:rPr>
        <w:t xml:space="preserve"> i </w:t>
      </w:r>
      <w:r w:rsidRPr="00C93159">
        <w:rPr>
          <w:lang w:val="uk-UA"/>
        </w:rPr>
        <w:t>- первісна балансова вартість об'єкта, приведена до дати оцінки, грн;</w:t>
      </w:r>
    </w:p>
    <w:p w:rsidR="00C93159" w:rsidRPr="00C93159" w:rsidRDefault="00C93159" w:rsidP="00C93159">
      <w:pPr>
        <w:pStyle w:val="a3"/>
        <w:jc w:val="both"/>
        <w:rPr>
          <w:lang w:val="uk-UA"/>
        </w:rPr>
      </w:pPr>
      <w:r w:rsidRPr="00C93159">
        <w:rPr>
          <w:lang w:val="uk-UA"/>
        </w:rPr>
        <w:t>n - кількість повних років від дати введення в експлуатацію до дати оцінки об'єкта;</w:t>
      </w:r>
    </w:p>
    <w:p w:rsidR="00C93159" w:rsidRPr="00C93159" w:rsidRDefault="00C93159" w:rsidP="00C93159">
      <w:pPr>
        <w:pStyle w:val="a3"/>
        <w:jc w:val="both"/>
        <w:rPr>
          <w:lang w:val="uk-UA"/>
        </w:rPr>
      </w:pPr>
      <w:r w:rsidRPr="00C93159">
        <w:rPr>
          <w:i/>
          <w:iCs/>
          <w:lang w:val="uk-UA"/>
        </w:rPr>
        <w:t>СВ</w:t>
      </w:r>
      <w:r w:rsidRPr="00C93159">
        <w:rPr>
          <w:i/>
          <w:iCs/>
          <w:vertAlign w:val="subscript"/>
          <w:lang w:val="uk-UA"/>
        </w:rPr>
        <w:t xml:space="preserve"> i</w:t>
      </w:r>
      <w:r w:rsidRPr="00C93159">
        <w:rPr>
          <w:lang w:val="uk-UA"/>
        </w:rPr>
        <w:t xml:space="preserve"> - очікуваний строк корисного використання об'єкта, що встановлюється на рівні 5 років.</w:t>
      </w:r>
    </w:p>
    <w:p w:rsidR="00C93159" w:rsidRPr="00C93159" w:rsidRDefault="00C93159" w:rsidP="00C93159">
      <w:pPr>
        <w:pStyle w:val="a3"/>
        <w:jc w:val="both"/>
        <w:rPr>
          <w:lang w:val="uk-UA"/>
        </w:rPr>
      </w:pPr>
      <w:r w:rsidRPr="00C93159">
        <w:rPr>
          <w:lang w:val="uk-UA"/>
        </w:rPr>
        <w:t>Якщо для об'єкта проміжок часу від дати його введення в експлуатацію складає менше ніж рік, то показник кількості років (n) приймається на рівні 0,5. Якщо для об'єкта показник кількості років (n) перевищує 5 років, його вартість приймається на рівні 1 гривні</w:t>
      </w:r>
      <w:r w:rsidRPr="00C93159">
        <w:rPr>
          <w:i/>
          <w:iCs/>
          <w:lang w:val="uk-UA"/>
        </w:rPr>
        <w:t xml:space="preserve">. </w:t>
      </w:r>
      <w:r w:rsidRPr="00C93159">
        <w:rPr>
          <w:lang w:val="uk-UA"/>
        </w:rPr>
        <w:t>Якщо дата введення в експлуатацію об'єкта невідома, показник кількості років (n) визначається на рівні 2,5.</w:t>
      </w:r>
    </w:p>
    <w:p w:rsidR="00C93159" w:rsidRPr="00C93159" w:rsidRDefault="00C93159" w:rsidP="00C93159">
      <w:pPr>
        <w:pStyle w:val="a3"/>
        <w:jc w:val="both"/>
        <w:rPr>
          <w:lang w:val="uk-UA"/>
        </w:rPr>
      </w:pPr>
      <w:r w:rsidRPr="00C93159">
        <w:rPr>
          <w:lang w:val="uk-UA"/>
        </w:rPr>
        <w:t>За наявності експертної оцінки об'єкта суб'єктом оціночної діяльності для розрахунку оціночної вартості може використовуватись ринкова вартість рухомого майна за результатами його останньої експертної оцінки суб'єктом оціночної діяльності (на заміну загальної балансової вартості основних засобів).</w:t>
      </w:r>
    </w:p>
    <w:p w:rsidR="00C93159" w:rsidRPr="00C93159" w:rsidRDefault="00C93159" w:rsidP="00C93159">
      <w:pPr>
        <w:pStyle w:val="a3"/>
        <w:jc w:val="both"/>
        <w:rPr>
          <w:lang w:val="uk-UA"/>
        </w:rPr>
      </w:pPr>
      <w:r w:rsidRPr="00C93159">
        <w:rPr>
          <w:lang w:val="uk-UA"/>
        </w:rPr>
        <w:t>Оцінка іншого рухомого майна, що не є основними засобами або нерухомістю, визначається рівною балансовій вартості.</w:t>
      </w:r>
    </w:p>
    <w:p w:rsidR="00C93159" w:rsidRPr="00C93159" w:rsidRDefault="00C93159" w:rsidP="00C93159">
      <w:pPr>
        <w:pStyle w:val="a3"/>
        <w:jc w:val="both"/>
        <w:rPr>
          <w:lang w:val="uk-UA"/>
        </w:rPr>
      </w:pPr>
      <w:r w:rsidRPr="00C93159">
        <w:rPr>
          <w:lang w:val="uk-UA"/>
        </w:rPr>
        <w:lastRenderedPageBreak/>
        <w:t>10. Оцінка нематеріальних активів, що обраховуються на балансі банку, проводиться шляхом визначення приведеної вартості грошових потоків від продажу нематеріальних активів за оціночною ціною.</w:t>
      </w:r>
    </w:p>
    <w:p w:rsidR="00C93159" w:rsidRPr="00C93159" w:rsidRDefault="00C93159" w:rsidP="00C93159">
      <w:pPr>
        <w:pStyle w:val="a3"/>
        <w:jc w:val="both"/>
        <w:rPr>
          <w:lang w:val="uk-UA"/>
        </w:rPr>
      </w:pPr>
      <w:r w:rsidRPr="00C93159">
        <w:rPr>
          <w:lang w:val="uk-UA"/>
        </w:rPr>
        <w:t>У разі якщо банк володіє лише ліцензіями на використання відповідних програм та баз даних, їх оціночна вартість може оцінюватись в 1 грн.</w:t>
      </w:r>
    </w:p>
    <w:p w:rsidR="00C93159" w:rsidRPr="00C93159" w:rsidRDefault="00C93159" w:rsidP="00C93159">
      <w:pPr>
        <w:pStyle w:val="a3"/>
        <w:jc w:val="both"/>
        <w:rPr>
          <w:lang w:val="uk-UA"/>
        </w:rPr>
      </w:pPr>
      <w:r w:rsidRPr="00C93159">
        <w:rPr>
          <w:lang w:val="uk-UA"/>
        </w:rPr>
        <w:t>За умови володіння банком авторськими правами, оціночна вартість таких нематеріальних активів розраховується за такою формулою:</w:t>
      </w:r>
    </w:p>
    <w:tbl>
      <w:tblPr>
        <w:tblW w:w="10500" w:type="dxa"/>
        <w:jc w:val="center"/>
        <w:tblCellSpacing w:w="22" w:type="dxa"/>
        <w:tblCellMar>
          <w:top w:w="30" w:type="dxa"/>
          <w:left w:w="30" w:type="dxa"/>
          <w:bottom w:w="30" w:type="dxa"/>
          <w:right w:w="30" w:type="dxa"/>
        </w:tblCellMar>
        <w:tblLook w:val="04A0"/>
      </w:tblPr>
      <w:tblGrid>
        <w:gridCol w:w="4863"/>
        <w:gridCol w:w="464"/>
        <w:gridCol w:w="5173"/>
      </w:tblGrid>
      <w:tr w:rsidR="00C93159" w:rsidRPr="00C93159" w:rsidTr="00C93159">
        <w:trPr>
          <w:tblCellSpacing w:w="22" w:type="dxa"/>
          <w:jc w:val="center"/>
        </w:trPr>
        <w:tc>
          <w:tcPr>
            <w:tcW w:w="2350" w:type="pct"/>
            <w:vAlign w:val="center"/>
            <w:hideMark/>
          </w:tcPr>
          <w:p w:rsidR="00C93159" w:rsidRPr="00C93159" w:rsidRDefault="00C93159">
            <w:pPr>
              <w:pStyle w:val="a3"/>
              <w:jc w:val="right"/>
            </w:pPr>
            <w:r w:rsidRPr="00C93159">
              <w:rPr>
                <w:i/>
                <w:iCs/>
              </w:rPr>
              <w:t>S</w:t>
            </w:r>
            <w:r w:rsidRPr="00C93159">
              <w:t xml:space="preserve"> = </w:t>
            </w:r>
            <w:r w:rsidRPr="00C93159">
              <w:rPr>
                <w:i/>
                <w:iCs/>
              </w:rPr>
              <w:t xml:space="preserve">БВ </w:t>
            </w:r>
            <w:r w:rsidRPr="00C93159">
              <w:t>·</w:t>
            </w:r>
            <w:r w:rsidRPr="00C93159">
              <w:rPr>
                <w:i/>
                <w:iCs/>
              </w:rPr>
              <w:t xml:space="preserve"> </w:t>
            </w:r>
            <w:r w:rsidRPr="00C93159">
              <w:t>(1 -</w:t>
            </w:r>
          </w:p>
        </w:tc>
        <w:tc>
          <w:tcPr>
            <w:tcW w:w="150" w:type="pct"/>
            <w:vAlign w:val="center"/>
            <w:hideMark/>
          </w:tcPr>
          <w:p w:rsidR="00C93159" w:rsidRPr="00C93159" w:rsidRDefault="00C93159">
            <w:pPr>
              <w:pStyle w:val="a3"/>
              <w:jc w:val="center"/>
            </w:pPr>
            <w:r w:rsidRPr="00C93159">
              <w:t>_</w:t>
            </w:r>
            <w:r w:rsidRPr="00C93159">
              <w:rPr>
                <w:i/>
                <w:iCs/>
                <w:u w:val="single"/>
              </w:rPr>
              <w:t>n</w:t>
            </w:r>
            <w:r w:rsidRPr="00C93159">
              <w:t>_</w:t>
            </w:r>
            <w:r w:rsidRPr="00C93159">
              <w:br/>
              <w:t>СВ</w:t>
            </w:r>
          </w:p>
        </w:tc>
        <w:tc>
          <w:tcPr>
            <w:tcW w:w="2500" w:type="pct"/>
            <w:vAlign w:val="center"/>
            <w:hideMark/>
          </w:tcPr>
          <w:p w:rsidR="00C93159" w:rsidRPr="00C93159" w:rsidRDefault="00C93159">
            <w:pPr>
              <w:pStyle w:val="a3"/>
            </w:pPr>
            <w:r w:rsidRPr="00C93159">
              <w:t>),</w:t>
            </w:r>
          </w:p>
        </w:tc>
      </w:tr>
    </w:tbl>
    <w:p w:rsidR="00C93159" w:rsidRPr="00C93159" w:rsidRDefault="00C93159" w:rsidP="00C93159">
      <w:pPr>
        <w:pStyle w:val="a3"/>
        <w:jc w:val="both"/>
        <w:rPr>
          <w:lang w:val="uk-UA"/>
        </w:rPr>
      </w:pPr>
      <w:r w:rsidRPr="00C93159">
        <w:rPr>
          <w:lang w:val="uk-UA"/>
        </w:rPr>
        <w:br w:type="textWrapping" w:clear="all"/>
      </w:r>
    </w:p>
    <w:p w:rsidR="00C93159" w:rsidRPr="00C93159" w:rsidRDefault="00C93159" w:rsidP="00C93159">
      <w:pPr>
        <w:pStyle w:val="a3"/>
        <w:jc w:val="both"/>
        <w:rPr>
          <w:lang w:val="uk-UA"/>
        </w:rPr>
      </w:pPr>
      <w:r w:rsidRPr="00C93159">
        <w:rPr>
          <w:lang w:val="uk-UA"/>
        </w:rPr>
        <w:t>де S - оціночна вартість нематеріальних активів;</w:t>
      </w:r>
    </w:p>
    <w:p w:rsidR="00C93159" w:rsidRPr="00C93159" w:rsidRDefault="00C93159" w:rsidP="00C93159">
      <w:pPr>
        <w:pStyle w:val="a3"/>
        <w:jc w:val="both"/>
        <w:rPr>
          <w:lang w:val="uk-UA"/>
        </w:rPr>
      </w:pPr>
      <w:r w:rsidRPr="00C93159">
        <w:rPr>
          <w:lang w:val="uk-UA"/>
        </w:rPr>
        <w:t>БВ</w:t>
      </w:r>
      <w:r w:rsidRPr="00C93159">
        <w:rPr>
          <w:i/>
          <w:iCs/>
          <w:lang w:val="uk-UA"/>
        </w:rPr>
        <w:t xml:space="preserve"> - </w:t>
      </w:r>
      <w:r w:rsidRPr="00C93159">
        <w:rPr>
          <w:lang w:val="uk-UA"/>
        </w:rPr>
        <w:t>первісна балансова вартість нематеріальних активів, грн;</w:t>
      </w:r>
    </w:p>
    <w:p w:rsidR="00C93159" w:rsidRPr="00C93159" w:rsidRDefault="00C93159" w:rsidP="00C93159">
      <w:pPr>
        <w:pStyle w:val="a3"/>
        <w:jc w:val="both"/>
        <w:rPr>
          <w:lang w:val="uk-UA"/>
        </w:rPr>
      </w:pPr>
      <w:r w:rsidRPr="00C93159">
        <w:rPr>
          <w:lang w:val="uk-UA"/>
        </w:rPr>
        <w:t>n</w:t>
      </w:r>
      <w:r w:rsidRPr="00C93159">
        <w:rPr>
          <w:i/>
          <w:iCs/>
          <w:lang w:val="uk-UA"/>
        </w:rPr>
        <w:t xml:space="preserve"> -</w:t>
      </w:r>
      <w:r w:rsidRPr="00C93159">
        <w:rPr>
          <w:lang w:val="uk-UA"/>
        </w:rPr>
        <w:t xml:space="preserve"> кількість повних років від дати введення нематеріальних активів в експлуатацію до дати їх оцінки;</w:t>
      </w:r>
    </w:p>
    <w:p w:rsidR="00C93159" w:rsidRPr="00C93159" w:rsidRDefault="00C93159" w:rsidP="00C93159">
      <w:pPr>
        <w:pStyle w:val="a3"/>
        <w:jc w:val="both"/>
        <w:rPr>
          <w:lang w:val="uk-UA"/>
        </w:rPr>
      </w:pPr>
      <w:r w:rsidRPr="00C93159">
        <w:rPr>
          <w:lang w:val="uk-UA"/>
        </w:rPr>
        <w:t>СВ - мінімально допустимий строк корисного використання групи 5 нематеріальних активів, який дорівнює 2 рокам.</w:t>
      </w:r>
    </w:p>
    <w:p w:rsidR="00C93159" w:rsidRPr="00C93159" w:rsidRDefault="00C93159" w:rsidP="00C93159">
      <w:pPr>
        <w:pStyle w:val="a3"/>
        <w:jc w:val="both"/>
        <w:rPr>
          <w:lang w:val="uk-UA"/>
        </w:rPr>
      </w:pPr>
      <w:r w:rsidRPr="00C93159">
        <w:rPr>
          <w:lang w:val="uk-UA"/>
        </w:rPr>
        <w:t>Якщо для нематеріального активу показник кількості років (n) перевищує 2 роки, оціночна вартість приймається на рівні 1 грн.</w:t>
      </w:r>
    </w:p>
    <w:p w:rsidR="00C93159" w:rsidRPr="00C93159" w:rsidRDefault="00C93159" w:rsidP="00C93159">
      <w:pPr>
        <w:pStyle w:val="a3"/>
        <w:jc w:val="both"/>
        <w:rPr>
          <w:lang w:val="uk-UA"/>
        </w:rPr>
      </w:pPr>
      <w:r w:rsidRPr="00C93159">
        <w:rPr>
          <w:lang w:val="uk-UA"/>
        </w:rPr>
        <w:t>Вартість усіх інших нематеріальних активів, що обраховуються на балансі банку для цілей цієї Методики, приймається такою, що дорівнює 1 грн.</w:t>
      </w:r>
    </w:p>
    <w:p w:rsidR="00C93159" w:rsidRPr="00C93159" w:rsidRDefault="00C93159" w:rsidP="00C93159">
      <w:pPr>
        <w:pStyle w:val="a3"/>
        <w:jc w:val="both"/>
        <w:rPr>
          <w:lang w:val="uk-UA"/>
        </w:rPr>
      </w:pPr>
      <w:r w:rsidRPr="00C93159">
        <w:rPr>
          <w:lang w:val="uk-UA"/>
        </w:rPr>
        <w:t>Оцінка нематеріальних активів, що виступають у якості застави та обліковуються на позабалансових рахунках банку, при цьому віднесені до групи умовно ліквідних (передбачають можливість реалізації протягом 12 місяців), за наявності актуальної експертної оцінки суб'єкта оціночної діяльності проводиться за формулою, визначеною у цьому пункті, з урахуванням того, що для розрахунку оціночної вартості може використовуватись ринкова вартість нематеріальних активів відповідної групи за результатами останньої експертної оцінки суб'єктом оціночної діяльності (на заміну загальної балансової вартості групи основних засобів на дату останньої переоцінки нематеріального активу).</w:t>
      </w:r>
    </w:p>
    <w:p w:rsidR="00C93159" w:rsidRPr="00C93159" w:rsidRDefault="00C93159" w:rsidP="00C93159">
      <w:pPr>
        <w:pStyle w:val="a3"/>
        <w:jc w:val="both"/>
        <w:rPr>
          <w:lang w:val="uk-UA"/>
        </w:rPr>
      </w:pPr>
      <w:r w:rsidRPr="00C93159">
        <w:rPr>
          <w:lang w:val="uk-UA"/>
        </w:rPr>
        <w:t>Вартість усіх інших нематеріальних активів, що виступають у якості застави та не віднесені до групи умовно ліквідних, для цілей цієї Методики приймається такою, що дорівнює 1 грн.</w:t>
      </w:r>
    </w:p>
    <w:p w:rsidR="00C93159" w:rsidRPr="00C93159" w:rsidRDefault="00C93159" w:rsidP="00C93159">
      <w:pPr>
        <w:pStyle w:val="a3"/>
        <w:jc w:val="both"/>
        <w:rPr>
          <w:lang w:val="uk-UA"/>
        </w:rPr>
      </w:pPr>
      <w:r w:rsidRPr="00C93159">
        <w:rPr>
          <w:lang w:val="uk-UA"/>
        </w:rPr>
        <w:t>11. У процесі оцінки портфеля дебіторської заборгованості проводиться розподіл заборгованості на фінансову та господарську дебіторські заборгованості.</w:t>
      </w:r>
    </w:p>
    <w:p w:rsidR="00C93159" w:rsidRPr="00C93159" w:rsidRDefault="00C93159" w:rsidP="00C93159">
      <w:pPr>
        <w:pStyle w:val="a3"/>
        <w:jc w:val="both"/>
        <w:rPr>
          <w:lang w:val="uk-UA"/>
        </w:rPr>
      </w:pPr>
      <w:r w:rsidRPr="00C93159">
        <w:rPr>
          <w:lang w:val="uk-UA"/>
        </w:rPr>
        <w:t>Розподіл проводиться відповідно до суті операції та обліку операції в банку.</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570"/>
        <w:gridCol w:w="7963"/>
      </w:tblGrid>
      <w:tr w:rsidR="00C93159" w:rsidRPr="00C93159" w:rsidTr="00C93159">
        <w:trPr>
          <w:tblCellSpacing w:w="22" w:type="dxa"/>
        </w:trPr>
        <w:tc>
          <w:tcPr>
            <w:tcW w:w="5000" w:type="pct"/>
            <w:gridSpan w:val="2"/>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center"/>
            </w:pPr>
            <w:r w:rsidRPr="00C93159">
              <w:lastRenderedPageBreak/>
              <w:t>Розподіл дебіторської заборгованості:</w:t>
            </w:r>
          </w:p>
        </w:tc>
      </w:tr>
      <w:tr w:rsidR="00C93159" w:rsidRPr="00C93159" w:rsidTr="00C93159">
        <w:trPr>
          <w:tblCellSpacing w:w="22" w:type="dxa"/>
        </w:trPr>
        <w:tc>
          <w:tcPr>
            <w:tcW w:w="80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pPr>
            <w:r w:rsidRPr="00C93159">
              <w:t>фінансова</w:t>
            </w:r>
          </w:p>
        </w:tc>
        <w:tc>
          <w:tcPr>
            <w:tcW w:w="420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pPr>
            <w:r w:rsidRPr="00C93159">
              <w:t>1811, 1812, 1819, 2800, 2801, 2802, 2809, 3540, 3541, 3548, 3570, 3578, 3579, 3710</w:t>
            </w:r>
          </w:p>
        </w:tc>
      </w:tr>
      <w:tr w:rsidR="00C93159" w:rsidRPr="00C93159" w:rsidTr="00C93159">
        <w:trPr>
          <w:tblCellSpacing w:w="22" w:type="dxa"/>
        </w:trPr>
        <w:tc>
          <w:tcPr>
            <w:tcW w:w="80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pPr>
            <w:r w:rsidRPr="00C93159">
              <w:t>господарська</w:t>
            </w:r>
          </w:p>
        </w:tc>
        <w:tc>
          <w:tcPr>
            <w:tcW w:w="420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pPr>
            <w:r w:rsidRPr="00C93159">
              <w:t>3510, 3519, 3550, 3551, 3552, 3559</w:t>
            </w:r>
          </w:p>
        </w:tc>
      </w:tr>
    </w:tbl>
    <w:p w:rsidR="00C93159" w:rsidRPr="00C93159" w:rsidRDefault="00C93159" w:rsidP="00C93159">
      <w:pPr>
        <w:pStyle w:val="a3"/>
        <w:jc w:val="both"/>
        <w:rPr>
          <w:lang w:val="uk-UA"/>
        </w:rPr>
      </w:pPr>
      <w:r w:rsidRPr="00C93159">
        <w:rPr>
          <w:lang w:val="uk-UA"/>
        </w:rPr>
        <w:br w:type="textWrapping" w:clear="all"/>
      </w:r>
    </w:p>
    <w:p w:rsidR="00C93159" w:rsidRPr="00C93159" w:rsidRDefault="00C93159" w:rsidP="00C93159">
      <w:pPr>
        <w:pStyle w:val="a3"/>
        <w:jc w:val="both"/>
        <w:rPr>
          <w:lang w:val="uk-UA"/>
        </w:rPr>
      </w:pPr>
      <w:r w:rsidRPr="00C93159">
        <w:rPr>
          <w:lang w:val="uk-UA"/>
        </w:rPr>
        <w:t>Оцінка фінансової дебіторської заборгованості проводиться таким чином:</w:t>
      </w:r>
    </w:p>
    <w:p w:rsidR="00C93159" w:rsidRPr="00C93159" w:rsidRDefault="00C93159" w:rsidP="00C93159">
      <w:pPr>
        <w:pStyle w:val="a3"/>
        <w:jc w:val="both"/>
        <w:rPr>
          <w:lang w:val="uk-UA"/>
        </w:rPr>
      </w:pPr>
      <w:r w:rsidRPr="00C93159">
        <w:rPr>
          <w:lang w:val="uk-UA"/>
        </w:rPr>
        <w:t>розподіл заборгованості за строками прострочення оплати боргу в діапазонах:</w:t>
      </w:r>
    </w:p>
    <w:p w:rsidR="00C93159" w:rsidRPr="00C93159" w:rsidRDefault="00C93159" w:rsidP="00C93159">
      <w:pPr>
        <w:pStyle w:val="a3"/>
        <w:jc w:val="both"/>
        <w:rPr>
          <w:lang w:val="uk-UA"/>
        </w:rPr>
      </w:pPr>
      <w:r w:rsidRPr="00C93159">
        <w:rPr>
          <w:lang w:val="uk-UA"/>
        </w:rPr>
        <w:t>до 1-го року;</w:t>
      </w:r>
    </w:p>
    <w:p w:rsidR="00C93159" w:rsidRPr="00C93159" w:rsidRDefault="00C93159" w:rsidP="00C93159">
      <w:pPr>
        <w:pStyle w:val="a3"/>
        <w:jc w:val="both"/>
        <w:rPr>
          <w:lang w:val="uk-UA"/>
        </w:rPr>
      </w:pPr>
      <w:r w:rsidRPr="00C93159">
        <w:rPr>
          <w:lang w:val="uk-UA"/>
        </w:rPr>
        <w:t>від 1-го до 3-го років;</w:t>
      </w:r>
    </w:p>
    <w:p w:rsidR="00C93159" w:rsidRPr="00C93159" w:rsidRDefault="00C93159" w:rsidP="00C93159">
      <w:pPr>
        <w:pStyle w:val="a3"/>
        <w:jc w:val="both"/>
        <w:rPr>
          <w:lang w:val="uk-UA"/>
        </w:rPr>
      </w:pPr>
      <w:r w:rsidRPr="00C93159">
        <w:rPr>
          <w:lang w:val="uk-UA"/>
        </w:rPr>
        <w:t>більше трьох років;</w:t>
      </w:r>
    </w:p>
    <w:p w:rsidR="00C93159" w:rsidRPr="00C93159" w:rsidRDefault="00C93159" w:rsidP="00C93159">
      <w:pPr>
        <w:pStyle w:val="a3"/>
        <w:jc w:val="both"/>
        <w:rPr>
          <w:lang w:val="uk-UA"/>
        </w:rPr>
      </w:pPr>
      <w:r w:rsidRPr="00C93159">
        <w:rPr>
          <w:lang w:val="uk-UA"/>
        </w:rPr>
        <w:t>виділення в кожному діапазоні групи активів, що складають 20 % від загальної заборгованості діапазону шляхом сортування заборгованості у порядку зростання та прийняття у якості вибірки заборгованості від найбільшої до меншої до досягнення наповнення вибірки;</w:t>
      </w:r>
    </w:p>
    <w:p w:rsidR="00C93159" w:rsidRPr="00C93159" w:rsidRDefault="00C93159" w:rsidP="00C93159">
      <w:pPr>
        <w:pStyle w:val="a3"/>
        <w:jc w:val="both"/>
        <w:rPr>
          <w:lang w:val="uk-UA"/>
        </w:rPr>
      </w:pPr>
      <w:r w:rsidRPr="00C93159">
        <w:rPr>
          <w:lang w:val="uk-UA"/>
        </w:rPr>
        <w:t>визначення способу розрахунку початкової вартості продажу активів:</w:t>
      </w:r>
    </w:p>
    <w:p w:rsidR="00C93159" w:rsidRPr="00C93159" w:rsidRDefault="00C93159" w:rsidP="00C93159">
      <w:pPr>
        <w:pStyle w:val="a3"/>
        <w:jc w:val="both"/>
        <w:rPr>
          <w:lang w:val="uk-UA"/>
        </w:rPr>
      </w:pPr>
      <w:r w:rsidRPr="00C93159">
        <w:rPr>
          <w:lang w:val="uk-UA"/>
        </w:rPr>
        <w:t>оцінка кожного з активів в групі активів на індивідуальній основі відповідно до розділу II цієї Методики та факторів, що дають можливість розглядати актив на індивідуальній основі;</w:t>
      </w:r>
    </w:p>
    <w:p w:rsidR="00C93159" w:rsidRPr="00C93159" w:rsidRDefault="00C93159" w:rsidP="00C93159">
      <w:pPr>
        <w:pStyle w:val="a3"/>
        <w:jc w:val="both"/>
        <w:rPr>
          <w:lang w:val="uk-UA"/>
        </w:rPr>
      </w:pPr>
      <w:r w:rsidRPr="00C93159">
        <w:rPr>
          <w:lang w:val="uk-UA"/>
        </w:rPr>
        <w:t>оцінка фінансової дебіторської заборгованості на портфельній основі шляхом множення балансової вартості неоцінених активів на розрахований коефіцієнт співвідношення, що розраховується як середнє значення коефіцієнта співвідношення між результатами розрахунку та боргом дебітора по кожному із діапазонів.</w:t>
      </w:r>
    </w:p>
    <w:p w:rsidR="00C93159" w:rsidRPr="00C93159" w:rsidRDefault="00C93159" w:rsidP="00C93159">
      <w:pPr>
        <w:pStyle w:val="a3"/>
        <w:jc w:val="both"/>
        <w:rPr>
          <w:lang w:val="uk-UA"/>
        </w:rPr>
      </w:pPr>
      <w:r w:rsidRPr="00C93159">
        <w:rPr>
          <w:lang w:val="uk-UA"/>
        </w:rPr>
        <w:t>Оцінка господарської дебіторської заборгованості проводиться за балансовою вартістю з корегуванням на строк та ймовірність її отримання за відповідними групами за такою формулою:</w:t>
      </w:r>
    </w:p>
    <w:p w:rsidR="00C93159" w:rsidRPr="00C93159" w:rsidRDefault="00C93159" w:rsidP="00C93159">
      <w:pPr>
        <w:pStyle w:val="a3"/>
        <w:jc w:val="center"/>
        <w:rPr>
          <w:lang w:val="uk-UA"/>
        </w:rPr>
      </w:pPr>
      <w:r w:rsidRPr="00C93159">
        <w:rPr>
          <w:lang w:val="uk-UA"/>
        </w:rPr>
        <w:t>S</w:t>
      </w:r>
      <w:r w:rsidRPr="00C93159">
        <w:rPr>
          <w:vertAlign w:val="subscript"/>
          <w:lang w:val="uk-UA"/>
        </w:rPr>
        <w:t xml:space="preserve"> i</w:t>
      </w:r>
      <w:r w:rsidRPr="00C93159">
        <w:rPr>
          <w:lang w:val="uk-UA"/>
        </w:rPr>
        <w:t xml:space="preserve"> = БВ</w:t>
      </w:r>
      <w:r w:rsidRPr="00C93159">
        <w:rPr>
          <w:vertAlign w:val="subscript"/>
          <w:lang w:val="uk-UA"/>
        </w:rPr>
        <w:t xml:space="preserve"> i</w:t>
      </w:r>
      <w:r w:rsidRPr="00C93159">
        <w:rPr>
          <w:lang w:val="uk-UA"/>
        </w:rPr>
        <w:t xml:space="preserve"> · К</w:t>
      </w:r>
      <w:r w:rsidRPr="00C93159">
        <w:rPr>
          <w:vertAlign w:val="subscript"/>
          <w:lang w:val="uk-UA"/>
        </w:rPr>
        <w:t xml:space="preserve"> i</w:t>
      </w:r>
      <w:r w:rsidRPr="00C93159">
        <w:rPr>
          <w:lang w:val="uk-UA"/>
        </w:rPr>
        <w:t>,</w:t>
      </w:r>
    </w:p>
    <w:p w:rsidR="00C93159" w:rsidRPr="00C93159" w:rsidRDefault="00C93159" w:rsidP="00C93159">
      <w:pPr>
        <w:pStyle w:val="a3"/>
        <w:jc w:val="both"/>
        <w:rPr>
          <w:lang w:val="uk-UA"/>
        </w:rPr>
      </w:pPr>
      <w:r w:rsidRPr="00C93159">
        <w:rPr>
          <w:lang w:val="uk-UA"/>
        </w:rPr>
        <w:t>де БВ</w:t>
      </w:r>
      <w:r w:rsidRPr="00C93159">
        <w:rPr>
          <w:vertAlign w:val="subscript"/>
          <w:lang w:val="uk-UA"/>
        </w:rPr>
        <w:t xml:space="preserve"> i</w:t>
      </w:r>
      <w:r w:rsidRPr="00C93159">
        <w:rPr>
          <w:i/>
          <w:iCs/>
          <w:lang w:val="uk-UA"/>
        </w:rPr>
        <w:t xml:space="preserve"> -</w:t>
      </w:r>
      <w:r w:rsidRPr="00C93159">
        <w:rPr>
          <w:lang w:val="uk-UA"/>
        </w:rPr>
        <w:t xml:space="preserve"> балансова вартість відповідної групи дебіторської заборгованості, грн;</w:t>
      </w:r>
    </w:p>
    <w:p w:rsidR="00C93159" w:rsidRPr="00C93159" w:rsidRDefault="00C93159" w:rsidP="00C93159">
      <w:pPr>
        <w:pStyle w:val="a3"/>
        <w:jc w:val="both"/>
        <w:rPr>
          <w:lang w:val="uk-UA"/>
        </w:rPr>
      </w:pPr>
      <w:r w:rsidRPr="00C93159">
        <w:rPr>
          <w:lang w:val="uk-UA"/>
        </w:rPr>
        <w:t>К</w:t>
      </w:r>
      <w:r w:rsidRPr="00C93159">
        <w:rPr>
          <w:vertAlign w:val="subscript"/>
          <w:lang w:val="uk-UA"/>
        </w:rPr>
        <w:t xml:space="preserve"> i</w:t>
      </w:r>
      <w:r w:rsidRPr="00C93159">
        <w:rPr>
          <w:lang w:val="uk-UA"/>
        </w:rPr>
        <w:t xml:space="preserve"> - коефіцієнт корегування на строк та ймовірність погашення відповідної групи дебіторської заборгованості.</w:t>
      </w:r>
    </w:p>
    <w:p w:rsidR="00C93159" w:rsidRPr="00C93159" w:rsidRDefault="00C93159" w:rsidP="00C93159">
      <w:pPr>
        <w:pStyle w:val="a3"/>
        <w:jc w:val="both"/>
        <w:rPr>
          <w:lang w:val="uk-UA"/>
        </w:rPr>
      </w:pPr>
      <w:r w:rsidRPr="00C93159">
        <w:rPr>
          <w:lang w:val="uk-UA"/>
        </w:rPr>
        <w:t>Імовірність погашення відповідної групи дебіторської заборгованості К</w:t>
      </w:r>
      <w:r w:rsidRPr="00C93159">
        <w:rPr>
          <w:i/>
          <w:iCs/>
          <w:vertAlign w:val="subscript"/>
          <w:lang w:val="uk-UA"/>
        </w:rPr>
        <w:t xml:space="preserve"> i</w:t>
      </w:r>
      <w:r w:rsidRPr="00C93159">
        <w:rPr>
          <w:vertAlign w:val="subscript"/>
          <w:lang w:val="uk-UA"/>
        </w:rPr>
        <w:t xml:space="preserve">  </w:t>
      </w:r>
      <w:r w:rsidRPr="00C93159">
        <w:rPr>
          <w:lang w:val="uk-UA"/>
        </w:rPr>
        <w:t>визначається відповідно до таблиці, наведеної нижче:</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390"/>
        <w:gridCol w:w="5143"/>
      </w:tblGrid>
      <w:tr w:rsidR="00C93159" w:rsidRPr="00C93159" w:rsidTr="00C93159">
        <w:trPr>
          <w:tblCellSpacing w:w="22" w:type="dxa"/>
        </w:trPr>
        <w:tc>
          <w:tcPr>
            <w:tcW w:w="23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t>Строк оплати дебіторської заборгованості</w:t>
            </w:r>
          </w:p>
        </w:tc>
        <w:tc>
          <w:tcPr>
            <w:tcW w:w="27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t>Термін погашення</w:t>
            </w:r>
          </w:p>
        </w:tc>
      </w:tr>
      <w:tr w:rsidR="00C93159" w:rsidRPr="00C93159" w:rsidTr="00C93159">
        <w:trPr>
          <w:tblCellSpacing w:w="22" w:type="dxa"/>
        </w:trPr>
        <w:tc>
          <w:tcPr>
            <w:tcW w:w="23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lastRenderedPageBreak/>
              <w:t>не настав</w:t>
            </w:r>
          </w:p>
        </w:tc>
        <w:tc>
          <w:tcPr>
            <w:tcW w:w="27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до 3 місяців</w:t>
            </w:r>
          </w:p>
        </w:tc>
      </w:tr>
      <w:tr w:rsidR="00C93159" w:rsidRPr="00C93159" w:rsidTr="00C93159">
        <w:trPr>
          <w:tblCellSpacing w:w="22" w:type="dxa"/>
        </w:trPr>
        <w:tc>
          <w:tcPr>
            <w:tcW w:w="23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не настав</w:t>
            </w:r>
          </w:p>
        </w:tc>
        <w:tc>
          <w:tcPr>
            <w:tcW w:w="27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від 3 до 6 місяців</w:t>
            </w:r>
          </w:p>
        </w:tc>
      </w:tr>
      <w:tr w:rsidR="00C93159" w:rsidRPr="00C93159" w:rsidTr="00C93159">
        <w:trPr>
          <w:tblCellSpacing w:w="22" w:type="dxa"/>
        </w:trPr>
        <w:tc>
          <w:tcPr>
            <w:tcW w:w="23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не настав</w:t>
            </w:r>
          </w:p>
        </w:tc>
        <w:tc>
          <w:tcPr>
            <w:tcW w:w="27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від 6 до 12 місяців</w:t>
            </w:r>
          </w:p>
        </w:tc>
      </w:tr>
      <w:tr w:rsidR="00C93159" w:rsidRPr="00C93159" w:rsidTr="00C93159">
        <w:trPr>
          <w:tblCellSpacing w:w="22" w:type="dxa"/>
        </w:trPr>
        <w:tc>
          <w:tcPr>
            <w:tcW w:w="23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не настав</w:t>
            </w:r>
          </w:p>
        </w:tc>
        <w:tc>
          <w:tcPr>
            <w:tcW w:w="27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від 12 до 24 місяців</w:t>
            </w:r>
          </w:p>
        </w:tc>
      </w:tr>
      <w:tr w:rsidR="00C93159" w:rsidRPr="00C93159" w:rsidTr="00C93159">
        <w:trPr>
          <w:tblCellSpacing w:w="22" w:type="dxa"/>
        </w:trPr>
        <w:tc>
          <w:tcPr>
            <w:tcW w:w="23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не настав</w:t>
            </w:r>
          </w:p>
        </w:tc>
        <w:tc>
          <w:tcPr>
            <w:tcW w:w="27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понад 24 місяці</w:t>
            </w:r>
          </w:p>
        </w:tc>
      </w:tr>
      <w:tr w:rsidR="00C93159" w:rsidRPr="00C93159" w:rsidTr="00C93159">
        <w:trPr>
          <w:tblCellSpacing w:w="22" w:type="dxa"/>
        </w:trPr>
        <w:tc>
          <w:tcPr>
            <w:tcW w:w="23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прострочена</w:t>
            </w:r>
          </w:p>
        </w:tc>
        <w:tc>
          <w:tcPr>
            <w:tcW w:w="27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до 1 місяця</w:t>
            </w:r>
          </w:p>
        </w:tc>
      </w:tr>
      <w:tr w:rsidR="00C93159" w:rsidRPr="00C93159" w:rsidTr="00C93159">
        <w:trPr>
          <w:tblCellSpacing w:w="22" w:type="dxa"/>
        </w:trPr>
        <w:tc>
          <w:tcPr>
            <w:tcW w:w="23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прострочена</w:t>
            </w:r>
          </w:p>
        </w:tc>
        <w:tc>
          <w:tcPr>
            <w:tcW w:w="27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від 1 до 3 місяців</w:t>
            </w:r>
          </w:p>
        </w:tc>
      </w:tr>
      <w:tr w:rsidR="00C93159" w:rsidRPr="00C93159" w:rsidTr="00C93159">
        <w:trPr>
          <w:tblCellSpacing w:w="22" w:type="dxa"/>
        </w:trPr>
        <w:tc>
          <w:tcPr>
            <w:tcW w:w="23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прострочена</w:t>
            </w:r>
          </w:p>
        </w:tc>
        <w:tc>
          <w:tcPr>
            <w:tcW w:w="27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від 3 до 6 місяців</w:t>
            </w:r>
          </w:p>
        </w:tc>
      </w:tr>
      <w:tr w:rsidR="00C93159" w:rsidRPr="00C93159" w:rsidTr="00C93159">
        <w:trPr>
          <w:tblCellSpacing w:w="22" w:type="dxa"/>
        </w:trPr>
        <w:tc>
          <w:tcPr>
            <w:tcW w:w="23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прострочена</w:t>
            </w:r>
          </w:p>
        </w:tc>
        <w:tc>
          <w:tcPr>
            <w:tcW w:w="27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від 6 до 12 місяців</w:t>
            </w:r>
          </w:p>
        </w:tc>
      </w:tr>
      <w:tr w:rsidR="00C93159" w:rsidRPr="00C93159" w:rsidTr="00C93159">
        <w:trPr>
          <w:tblCellSpacing w:w="22" w:type="dxa"/>
        </w:trPr>
        <w:tc>
          <w:tcPr>
            <w:tcW w:w="23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прострочена</w:t>
            </w:r>
          </w:p>
        </w:tc>
        <w:tc>
          <w:tcPr>
            <w:tcW w:w="27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both"/>
            </w:pPr>
            <w:r w:rsidRPr="00C93159">
              <w:t>понад 12 місяців</w:t>
            </w:r>
          </w:p>
        </w:tc>
      </w:tr>
    </w:tbl>
    <w:p w:rsidR="00C93159" w:rsidRPr="00C93159" w:rsidRDefault="00C93159" w:rsidP="00C93159">
      <w:pPr>
        <w:pStyle w:val="a3"/>
        <w:jc w:val="both"/>
        <w:rPr>
          <w:lang w:val="uk-UA"/>
        </w:rPr>
      </w:pPr>
      <w:r w:rsidRPr="00C93159">
        <w:rPr>
          <w:lang w:val="uk-UA"/>
        </w:rPr>
        <w:br w:type="textWrapping" w:clear="all"/>
      </w:r>
    </w:p>
    <w:p w:rsidR="00C93159" w:rsidRPr="00C93159" w:rsidRDefault="00C93159" w:rsidP="00C93159">
      <w:pPr>
        <w:pStyle w:val="a3"/>
        <w:jc w:val="both"/>
        <w:rPr>
          <w:lang w:val="uk-UA"/>
        </w:rPr>
      </w:pPr>
      <w:r w:rsidRPr="00C93159">
        <w:rPr>
          <w:lang w:val="uk-UA"/>
        </w:rPr>
        <w:t>Для дебіторської заборгованості третіх осіб, яка виникла в результаті списання коштів з кореспондентських або інших рахунків банку в MEINL BANK AG (Австрія), BANK FRICK &amp; Co. AG (Ліхтенштейн), East-West United Bank S.A. (Люксембург), Bank Winter &amp; Co. AG (Австрія), коефіцієнт коригування (</w:t>
      </w:r>
      <w:r w:rsidRPr="00C93159">
        <w:rPr>
          <w:i/>
          <w:iCs/>
          <w:lang w:val="uk-UA"/>
        </w:rPr>
        <w:t>К</w:t>
      </w:r>
      <w:r w:rsidRPr="00C93159">
        <w:rPr>
          <w:i/>
          <w:iCs/>
          <w:vertAlign w:val="subscript"/>
          <w:lang w:val="uk-UA"/>
        </w:rPr>
        <w:t xml:space="preserve"> і</w:t>
      </w:r>
      <w:r w:rsidRPr="00C93159">
        <w:rPr>
          <w:lang w:val="uk-UA"/>
        </w:rPr>
        <w:t>) дорівнює 0,01 до моменту зміни юридичної ситуації із такими типами заборгованості у системі Фонду в цілому.</w:t>
      </w:r>
    </w:p>
    <w:p w:rsidR="00C93159" w:rsidRPr="00C93159" w:rsidRDefault="00C93159" w:rsidP="00C93159">
      <w:pPr>
        <w:pStyle w:val="a3"/>
        <w:jc w:val="both"/>
        <w:rPr>
          <w:lang w:val="uk-UA"/>
        </w:rPr>
      </w:pPr>
      <w:r w:rsidRPr="00C93159">
        <w:rPr>
          <w:lang w:val="uk-UA"/>
        </w:rPr>
        <w:t>12. Оцінка інвестицій в асоційовані та дочірні компанії проводиться аналогічно оцінці цілісних майнових комплексів. Для функціонуючих підприємств оцінка проводиться з корегуванням на частку участі банку у статутному капіталі дочірньої компанії.</w:t>
      </w:r>
    </w:p>
    <w:p w:rsidR="00C93159" w:rsidRPr="00C93159" w:rsidRDefault="00C93159" w:rsidP="00C93159">
      <w:pPr>
        <w:pStyle w:val="a3"/>
        <w:jc w:val="both"/>
        <w:rPr>
          <w:lang w:val="uk-UA"/>
        </w:rPr>
      </w:pPr>
      <w:r w:rsidRPr="00C93159">
        <w:rPr>
          <w:lang w:val="uk-UA"/>
        </w:rPr>
        <w:t>Оцінка інвестицій в асоційовані та дочірні компанії, які є нефункціонуючими та стабільно збитковими, проводиться за об'єктами шляхом оцінки нерухомого та рухомого майна, що входить до їх складу, згідно з положеннями цієї Методики (майновий підхід).</w:t>
      </w:r>
    </w:p>
    <w:p w:rsidR="00C93159" w:rsidRPr="00C93159" w:rsidRDefault="00C93159" w:rsidP="00C93159">
      <w:pPr>
        <w:pStyle w:val="a3"/>
        <w:jc w:val="both"/>
        <w:rPr>
          <w:lang w:val="uk-UA"/>
        </w:rPr>
      </w:pPr>
      <w:r w:rsidRPr="00C93159">
        <w:rPr>
          <w:lang w:val="uk-UA"/>
        </w:rPr>
        <w:t>13. Вартість інших активів банку - відстрочених податкових активів, суми гудвілу, ліцензії для цілей цієї Методики приймається такою, що дорівнює 1 грн.</w:t>
      </w:r>
    </w:p>
    <w:p w:rsidR="00C93159" w:rsidRPr="00C93159" w:rsidRDefault="00C93159" w:rsidP="00C93159">
      <w:pPr>
        <w:pStyle w:val="a3"/>
        <w:jc w:val="both"/>
        <w:rPr>
          <w:lang w:val="uk-UA"/>
        </w:rPr>
      </w:pPr>
      <w:r w:rsidRPr="00C93159">
        <w:rPr>
          <w:lang w:val="uk-UA"/>
        </w:rPr>
        <w:t>Оцінка дорогоцінних металів здійснюється шляхом розрахунку приведеної вартості грошових потоків від продажу за офіційним курсом покупки НБУ з урахуванням строків ліквідації та діяльності спеціалізованої установи Фонду (у разі її створення).</w:t>
      </w:r>
    </w:p>
    <w:p w:rsidR="00C93159" w:rsidRPr="00C93159" w:rsidRDefault="00C93159" w:rsidP="00C93159">
      <w:pPr>
        <w:pStyle w:val="a3"/>
        <w:jc w:val="both"/>
        <w:rPr>
          <w:lang w:val="uk-UA"/>
        </w:rPr>
      </w:pPr>
      <w:r w:rsidRPr="00C93159">
        <w:rPr>
          <w:lang w:val="uk-UA"/>
        </w:rPr>
        <w:t>Оцінка інших активів, що віднесені до групи умовно ліквідних (передбачають можливість продажу протягом 12 місяців), проводиться за об'єктами шляхом оцінки нерухомого та рухомого майна згідно з відповідними положеннями цієї Методики щодо оцінки іншого рухомого майна.</w:t>
      </w:r>
    </w:p>
    <w:p w:rsidR="00C93159" w:rsidRPr="00C93159" w:rsidRDefault="00C93159" w:rsidP="00C93159">
      <w:pPr>
        <w:pStyle w:val="a3"/>
        <w:jc w:val="both"/>
        <w:rPr>
          <w:lang w:val="uk-UA"/>
        </w:rPr>
      </w:pPr>
      <w:r w:rsidRPr="00C93159">
        <w:rPr>
          <w:lang w:val="uk-UA"/>
        </w:rPr>
        <w:t>Вартість усіх інших активів для цілей цієї Методики приймається такою, що дорівнює 1 грн.</w:t>
      </w:r>
    </w:p>
    <w:p w:rsidR="00C93159" w:rsidRPr="00C93159" w:rsidRDefault="00C93159" w:rsidP="00C93159">
      <w:pPr>
        <w:pStyle w:val="a3"/>
        <w:jc w:val="both"/>
        <w:rPr>
          <w:lang w:val="uk-UA"/>
        </w:rPr>
      </w:pPr>
      <w:r w:rsidRPr="00C93159">
        <w:rPr>
          <w:lang w:val="uk-UA"/>
        </w:rPr>
        <w:t>14. Відповідальна особа Фонду підсумовує всі суми оцінки активів, отримані за відповідними групами активів.</w:t>
      </w:r>
    </w:p>
    <w:p w:rsidR="00C93159" w:rsidRPr="00C93159" w:rsidRDefault="00C93159" w:rsidP="00C93159">
      <w:pPr>
        <w:pStyle w:val="a3"/>
        <w:jc w:val="both"/>
        <w:rPr>
          <w:lang w:val="uk-UA"/>
        </w:rPr>
      </w:pPr>
      <w:r w:rsidRPr="00C93159">
        <w:rPr>
          <w:lang w:val="uk-UA"/>
        </w:rPr>
        <w:lastRenderedPageBreak/>
        <w:t>15. За потреби можливе визначення вартості фізичних активів в умовах обмеженого строку експозиції для прийняття рішень в рамках цієї Методики.</w:t>
      </w:r>
    </w:p>
    <w:p w:rsidR="00C93159" w:rsidRPr="00C93159" w:rsidRDefault="00C93159" w:rsidP="00C93159">
      <w:pPr>
        <w:pStyle w:val="a3"/>
        <w:jc w:val="both"/>
        <w:rPr>
          <w:lang w:val="uk-UA"/>
        </w:rPr>
      </w:pPr>
      <w:r w:rsidRPr="00C93159">
        <w:rPr>
          <w:lang w:val="uk-UA"/>
        </w:rPr>
        <w:t>Вартість в умовах обмеженого строку експозиції може бути визначена за такою формулою:</w:t>
      </w:r>
    </w:p>
    <w:p w:rsidR="00C93159" w:rsidRPr="00C93159" w:rsidRDefault="00C93159" w:rsidP="00C93159">
      <w:pPr>
        <w:pStyle w:val="a3"/>
        <w:jc w:val="center"/>
        <w:rPr>
          <w:lang w:val="uk-UA"/>
        </w:rPr>
      </w:pPr>
      <w:r w:rsidRPr="00C93159">
        <w:rPr>
          <w:lang w:val="uk-UA"/>
        </w:rPr>
        <w:t>Со = Ср х Кт,</w:t>
      </w:r>
    </w:p>
    <w:p w:rsidR="00C93159" w:rsidRPr="00C93159" w:rsidRDefault="00C93159" w:rsidP="00C93159">
      <w:pPr>
        <w:pStyle w:val="a3"/>
        <w:jc w:val="both"/>
        <w:rPr>
          <w:lang w:val="uk-UA"/>
        </w:rPr>
      </w:pPr>
      <w:r w:rsidRPr="00C93159">
        <w:rPr>
          <w:lang w:val="uk-UA"/>
        </w:rPr>
        <w:t>де Со - вартість об'єкта оцінки в умовах обмеженого строку реалізації;</w:t>
      </w:r>
    </w:p>
    <w:p w:rsidR="00C93159" w:rsidRPr="00C93159" w:rsidRDefault="00C93159" w:rsidP="00C93159">
      <w:pPr>
        <w:pStyle w:val="a3"/>
        <w:jc w:val="both"/>
        <w:rPr>
          <w:lang w:val="uk-UA"/>
        </w:rPr>
      </w:pPr>
      <w:r w:rsidRPr="00C93159">
        <w:rPr>
          <w:lang w:val="uk-UA"/>
        </w:rPr>
        <w:t>Ср - ринкова вартість об'єкта оцінки;</w:t>
      </w:r>
    </w:p>
    <w:p w:rsidR="00C93159" w:rsidRPr="00C93159" w:rsidRDefault="00C93159" w:rsidP="00C93159">
      <w:pPr>
        <w:pStyle w:val="a3"/>
        <w:jc w:val="both"/>
        <w:rPr>
          <w:lang w:val="uk-UA"/>
        </w:rPr>
      </w:pPr>
      <w:r w:rsidRPr="00C93159">
        <w:rPr>
          <w:lang w:val="uk-UA"/>
        </w:rPr>
        <w:t>Кт - коефіцієнт коригування на прискорені умови продажу.</w:t>
      </w:r>
    </w:p>
    <w:p w:rsidR="00C93159" w:rsidRPr="00C93159" w:rsidRDefault="00C93159" w:rsidP="00C93159">
      <w:pPr>
        <w:pStyle w:val="a3"/>
        <w:jc w:val="both"/>
        <w:rPr>
          <w:lang w:val="uk-UA"/>
        </w:rPr>
      </w:pPr>
      <w:r w:rsidRPr="00C93159">
        <w:rPr>
          <w:lang w:val="uk-UA"/>
        </w:rPr>
        <w:t>Коефіцієнт корегування на прискорені умови продажу обчислюється за такою формулою:</w:t>
      </w:r>
    </w:p>
    <w:tbl>
      <w:tblPr>
        <w:tblW w:w="10500" w:type="dxa"/>
        <w:jc w:val="center"/>
        <w:tblCellSpacing w:w="22" w:type="dxa"/>
        <w:tblCellMar>
          <w:top w:w="30" w:type="dxa"/>
          <w:left w:w="30" w:type="dxa"/>
          <w:bottom w:w="30" w:type="dxa"/>
          <w:right w:w="30" w:type="dxa"/>
        </w:tblCellMar>
        <w:tblLook w:val="04A0"/>
      </w:tblPr>
      <w:tblGrid>
        <w:gridCol w:w="4608"/>
        <w:gridCol w:w="2006"/>
        <w:gridCol w:w="3886"/>
      </w:tblGrid>
      <w:tr w:rsidR="00C93159" w:rsidRPr="00C93159" w:rsidTr="00C93159">
        <w:trPr>
          <w:tblCellSpacing w:w="22" w:type="dxa"/>
          <w:jc w:val="center"/>
        </w:trPr>
        <w:tc>
          <w:tcPr>
            <w:tcW w:w="2200" w:type="pct"/>
            <w:vMerge w:val="restart"/>
            <w:vAlign w:val="center"/>
            <w:hideMark/>
          </w:tcPr>
          <w:p w:rsidR="00C93159" w:rsidRPr="00C93159" w:rsidRDefault="00C93159">
            <w:pPr>
              <w:pStyle w:val="a3"/>
              <w:jc w:val="right"/>
            </w:pPr>
            <w:r w:rsidRPr="00C93159">
              <w:t>Кт =</w:t>
            </w:r>
          </w:p>
        </w:tc>
        <w:tc>
          <w:tcPr>
            <w:tcW w:w="950" w:type="pct"/>
            <w:vAlign w:val="bottom"/>
            <w:hideMark/>
          </w:tcPr>
          <w:p w:rsidR="00C93159" w:rsidRPr="00C93159" w:rsidRDefault="00C93159">
            <w:pPr>
              <w:pStyle w:val="a3"/>
              <w:jc w:val="center"/>
            </w:pPr>
            <w:r w:rsidRPr="00C93159">
              <w:t>1</w:t>
            </w:r>
          </w:p>
        </w:tc>
        <w:tc>
          <w:tcPr>
            <w:tcW w:w="1850" w:type="pct"/>
            <w:vMerge w:val="restart"/>
            <w:vAlign w:val="center"/>
            <w:hideMark/>
          </w:tcPr>
          <w:p w:rsidR="00C93159" w:rsidRPr="00C93159" w:rsidRDefault="00C93159">
            <w:pPr>
              <w:pStyle w:val="a3"/>
              <w:jc w:val="both"/>
            </w:pPr>
            <w:r w:rsidRPr="00C93159">
              <w:t>,</w:t>
            </w:r>
          </w:p>
        </w:tc>
      </w:tr>
      <w:tr w:rsidR="00C93159" w:rsidRPr="00C93159" w:rsidTr="00C93159">
        <w:trPr>
          <w:tblCellSpacing w:w="22" w:type="dxa"/>
          <w:jc w:val="center"/>
        </w:trPr>
        <w:tc>
          <w:tcPr>
            <w:tcW w:w="0" w:type="auto"/>
            <w:vMerge/>
            <w:vAlign w:val="center"/>
            <w:hideMark/>
          </w:tcPr>
          <w:p w:rsidR="00C93159" w:rsidRPr="00C93159" w:rsidRDefault="00C93159"/>
        </w:tc>
        <w:tc>
          <w:tcPr>
            <w:tcW w:w="950" w:type="pct"/>
            <w:hideMark/>
          </w:tcPr>
          <w:p w:rsidR="00C93159" w:rsidRPr="00C93159" w:rsidRDefault="00C93159">
            <w:pPr>
              <w:pStyle w:val="a3"/>
              <w:jc w:val="center"/>
            </w:pPr>
            <w:r w:rsidRPr="00C93159">
              <w:rPr>
                <w:vertAlign w:val="superscript"/>
              </w:rPr>
              <w:t>____________________</w:t>
            </w:r>
          </w:p>
        </w:tc>
        <w:tc>
          <w:tcPr>
            <w:tcW w:w="0" w:type="auto"/>
            <w:vMerge/>
            <w:vAlign w:val="center"/>
            <w:hideMark/>
          </w:tcPr>
          <w:p w:rsidR="00C93159" w:rsidRPr="00C93159" w:rsidRDefault="00C93159"/>
        </w:tc>
      </w:tr>
      <w:tr w:rsidR="00C93159" w:rsidRPr="00C93159" w:rsidTr="00C93159">
        <w:trPr>
          <w:tblCellSpacing w:w="22" w:type="dxa"/>
          <w:jc w:val="center"/>
        </w:trPr>
        <w:tc>
          <w:tcPr>
            <w:tcW w:w="0" w:type="auto"/>
            <w:vMerge/>
            <w:vAlign w:val="center"/>
            <w:hideMark/>
          </w:tcPr>
          <w:p w:rsidR="00C93159" w:rsidRPr="00C93159" w:rsidRDefault="00C93159"/>
        </w:tc>
        <w:tc>
          <w:tcPr>
            <w:tcW w:w="950" w:type="pct"/>
            <w:vAlign w:val="center"/>
            <w:hideMark/>
          </w:tcPr>
          <w:p w:rsidR="00C93159" w:rsidRPr="00C93159" w:rsidRDefault="00C93159">
            <w:pPr>
              <w:pStyle w:val="a3"/>
              <w:jc w:val="center"/>
            </w:pPr>
            <w:r w:rsidRPr="00C93159">
              <w:t xml:space="preserve">(1 + i) </w:t>
            </w:r>
            <w:r w:rsidRPr="00C93159">
              <w:rPr>
                <w:vertAlign w:val="superscript"/>
              </w:rPr>
              <w:t>Те</w:t>
            </w:r>
            <w:r w:rsidRPr="00C93159">
              <w:t>/</w:t>
            </w:r>
            <w:r w:rsidRPr="00C93159">
              <w:rPr>
                <w:vertAlign w:val="subscript"/>
              </w:rPr>
              <w:t xml:space="preserve"> 12</w:t>
            </w:r>
            <w:r w:rsidRPr="00C93159">
              <w:t xml:space="preserve"> - </w:t>
            </w:r>
            <w:r w:rsidRPr="00C93159">
              <w:rPr>
                <w:vertAlign w:val="superscript"/>
              </w:rPr>
              <w:t>Тп</w:t>
            </w:r>
            <w:r w:rsidRPr="00C93159">
              <w:t>/</w:t>
            </w:r>
            <w:r w:rsidRPr="00C93159">
              <w:rPr>
                <w:vertAlign w:val="subscript"/>
              </w:rPr>
              <w:t xml:space="preserve"> 12</w:t>
            </w:r>
          </w:p>
        </w:tc>
        <w:tc>
          <w:tcPr>
            <w:tcW w:w="0" w:type="auto"/>
            <w:vMerge/>
            <w:vAlign w:val="center"/>
            <w:hideMark/>
          </w:tcPr>
          <w:p w:rsidR="00C93159" w:rsidRPr="00C93159" w:rsidRDefault="00C93159"/>
        </w:tc>
      </w:tr>
    </w:tbl>
    <w:p w:rsidR="00C93159" w:rsidRPr="00C93159" w:rsidRDefault="00C93159" w:rsidP="00C93159">
      <w:pPr>
        <w:pStyle w:val="a3"/>
        <w:jc w:val="both"/>
        <w:rPr>
          <w:lang w:val="uk-UA"/>
        </w:rPr>
      </w:pPr>
      <w:r w:rsidRPr="00C93159">
        <w:rPr>
          <w:lang w:val="uk-UA"/>
        </w:rPr>
        <w:br w:type="textWrapping" w:clear="all"/>
      </w:r>
    </w:p>
    <w:p w:rsidR="00C93159" w:rsidRPr="00C93159" w:rsidRDefault="00C93159" w:rsidP="00C93159">
      <w:pPr>
        <w:pStyle w:val="a3"/>
        <w:jc w:val="both"/>
        <w:rPr>
          <w:lang w:val="uk-UA"/>
        </w:rPr>
      </w:pPr>
      <w:r w:rsidRPr="00C93159">
        <w:rPr>
          <w:lang w:val="uk-UA"/>
        </w:rPr>
        <w:t>де Те - розумно довгий строк експозиції майна на ринку, протягом якого воно може бути продане за ціною, яка дорівнює ринковій вартості, міс.;</w:t>
      </w:r>
    </w:p>
    <w:p w:rsidR="00C93159" w:rsidRPr="00C93159" w:rsidRDefault="00C93159" w:rsidP="00C93159">
      <w:pPr>
        <w:pStyle w:val="a3"/>
        <w:jc w:val="both"/>
        <w:rPr>
          <w:lang w:val="uk-UA"/>
        </w:rPr>
      </w:pPr>
      <w:r w:rsidRPr="00C93159">
        <w:rPr>
          <w:lang w:val="uk-UA"/>
        </w:rPr>
        <w:t>Тп - строк експозиції майна на ринку у разі прискореного продажу, міс.;</w:t>
      </w:r>
    </w:p>
    <w:p w:rsidR="00C93159" w:rsidRPr="00C93159" w:rsidRDefault="00C93159" w:rsidP="00C93159">
      <w:pPr>
        <w:pStyle w:val="a3"/>
        <w:jc w:val="both"/>
        <w:rPr>
          <w:lang w:val="uk-UA"/>
        </w:rPr>
      </w:pPr>
      <w:r w:rsidRPr="00C93159">
        <w:rPr>
          <w:lang w:val="uk-UA"/>
        </w:rPr>
        <w:t>i - компенсація ризику, річна, %.</w:t>
      </w:r>
    </w:p>
    <w:p w:rsidR="00C93159" w:rsidRPr="00C93159" w:rsidRDefault="00C93159" w:rsidP="00C93159">
      <w:pPr>
        <w:pStyle w:val="a3"/>
        <w:jc w:val="both"/>
        <w:rPr>
          <w:lang w:val="uk-UA"/>
        </w:rPr>
      </w:pPr>
      <w:r w:rsidRPr="00C93159">
        <w:rPr>
          <w:lang w:val="uk-UA"/>
        </w:rPr>
        <w:t>Компенсація ризику розраховується за такою формулою:</w:t>
      </w:r>
    </w:p>
    <w:p w:rsidR="00C93159" w:rsidRPr="00C93159" w:rsidRDefault="00C93159" w:rsidP="00C93159">
      <w:pPr>
        <w:pStyle w:val="a3"/>
        <w:jc w:val="center"/>
        <w:rPr>
          <w:lang w:val="uk-UA"/>
        </w:rPr>
      </w:pPr>
      <w:r w:rsidRPr="00C93159">
        <w:rPr>
          <w:lang w:val="uk-UA"/>
        </w:rPr>
        <w:t>i = Ібр + Іл,</w:t>
      </w:r>
    </w:p>
    <w:p w:rsidR="00C93159" w:rsidRPr="00C93159" w:rsidRDefault="00C93159" w:rsidP="00C93159">
      <w:pPr>
        <w:pStyle w:val="a3"/>
        <w:jc w:val="both"/>
        <w:rPr>
          <w:lang w:val="uk-UA"/>
        </w:rPr>
      </w:pPr>
      <w:r w:rsidRPr="00C93159">
        <w:rPr>
          <w:lang w:val="uk-UA"/>
        </w:rPr>
        <w:t>де Ібр - безризикова складова;</w:t>
      </w:r>
    </w:p>
    <w:p w:rsidR="00C93159" w:rsidRPr="00C93159" w:rsidRDefault="00C93159" w:rsidP="00C93159">
      <w:pPr>
        <w:pStyle w:val="a3"/>
        <w:jc w:val="both"/>
        <w:rPr>
          <w:lang w:val="uk-UA"/>
        </w:rPr>
      </w:pPr>
      <w:r w:rsidRPr="00C93159">
        <w:rPr>
          <w:lang w:val="uk-UA"/>
        </w:rPr>
        <w:t>Іл - додатковий ризик, обумовлений категорією ліквідності майна.</w:t>
      </w:r>
    </w:p>
    <w:p w:rsidR="00C93159" w:rsidRPr="00C93159" w:rsidRDefault="00C93159" w:rsidP="00C93159">
      <w:pPr>
        <w:pStyle w:val="a3"/>
        <w:jc w:val="both"/>
        <w:rPr>
          <w:lang w:val="uk-UA"/>
        </w:rPr>
      </w:pPr>
      <w:r w:rsidRPr="00C93159">
        <w:rPr>
          <w:lang w:val="uk-UA"/>
        </w:rPr>
        <w:t>Як базова безризикова ставка приймається облікова ставка НБУ на дату проведення оцінки.</w:t>
      </w:r>
    </w:p>
    <w:p w:rsidR="00C93159" w:rsidRPr="00C93159" w:rsidRDefault="00C93159" w:rsidP="00C93159">
      <w:pPr>
        <w:pStyle w:val="3"/>
        <w:jc w:val="center"/>
        <w:rPr>
          <w:lang w:val="uk-UA"/>
        </w:rPr>
      </w:pPr>
      <w:r w:rsidRPr="00C93159">
        <w:rPr>
          <w:lang w:val="uk-UA"/>
        </w:rPr>
        <w:t>V. Оформлення результатів оцінки активів та їх використання Фондом</w:t>
      </w:r>
    </w:p>
    <w:p w:rsidR="00C93159" w:rsidRPr="00C93159" w:rsidRDefault="00C93159" w:rsidP="00C93159">
      <w:pPr>
        <w:pStyle w:val="a3"/>
        <w:jc w:val="both"/>
        <w:rPr>
          <w:lang w:val="uk-UA"/>
        </w:rPr>
      </w:pPr>
      <w:r w:rsidRPr="00C93159">
        <w:rPr>
          <w:lang w:val="uk-UA"/>
        </w:rPr>
        <w:t>1. Відповідальна особа Фонду звітує за результатами здійснення оцінки активів перед виконавчою дирекцією Фонду.</w:t>
      </w:r>
    </w:p>
    <w:p w:rsidR="00C93159" w:rsidRPr="00C93159" w:rsidRDefault="00C93159" w:rsidP="00C93159">
      <w:pPr>
        <w:pStyle w:val="a3"/>
        <w:jc w:val="both"/>
        <w:rPr>
          <w:lang w:val="uk-UA"/>
        </w:rPr>
      </w:pPr>
      <w:r w:rsidRPr="00C93159">
        <w:rPr>
          <w:lang w:val="uk-UA"/>
        </w:rPr>
        <w:t>2. Звіт, зокрема, має містити:</w:t>
      </w:r>
    </w:p>
    <w:p w:rsidR="00C93159" w:rsidRPr="00C93159" w:rsidRDefault="00C93159" w:rsidP="00C93159">
      <w:pPr>
        <w:pStyle w:val="a3"/>
        <w:jc w:val="both"/>
        <w:rPr>
          <w:lang w:val="uk-UA"/>
        </w:rPr>
      </w:pPr>
      <w:r w:rsidRPr="00C93159">
        <w:rPr>
          <w:lang w:val="uk-UA"/>
        </w:rPr>
        <w:t>1) опис об'єкта оцінки, який дає змогу його ідентифікувати (наприклад, найменування банку, види активів тощо);</w:t>
      </w:r>
    </w:p>
    <w:p w:rsidR="00C93159" w:rsidRPr="00C93159" w:rsidRDefault="00C93159" w:rsidP="00C93159">
      <w:pPr>
        <w:pStyle w:val="a3"/>
        <w:jc w:val="both"/>
        <w:rPr>
          <w:lang w:val="uk-UA"/>
        </w:rPr>
      </w:pPr>
      <w:r w:rsidRPr="00C93159">
        <w:rPr>
          <w:lang w:val="uk-UA"/>
        </w:rPr>
        <w:lastRenderedPageBreak/>
        <w:t>2) дату, на яку здійснено оцінку, та дату складання звіту;</w:t>
      </w:r>
    </w:p>
    <w:p w:rsidR="00C93159" w:rsidRPr="00C93159" w:rsidRDefault="00C93159" w:rsidP="00C93159">
      <w:pPr>
        <w:pStyle w:val="a3"/>
        <w:jc w:val="both"/>
        <w:rPr>
          <w:lang w:val="uk-UA"/>
        </w:rPr>
      </w:pPr>
      <w:r w:rsidRPr="00C93159">
        <w:rPr>
          <w:lang w:val="uk-UA"/>
        </w:rPr>
        <w:t>3) строк дії звіту та висновку про вартість майна, розраховану відповідно до цієї Методики;</w:t>
      </w:r>
    </w:p>
    <w:p w:rsidR="00C93159" w:rsidRPr="00C93159" w:rsidRDefault="00C93159" w:rsidP="00C93159">
      <w:pPr>
        <w:pStyle w:val="a3"/>
        <w:jc w:val="both"/>
        <w:rPr>
          <w:lang w:val="uk-UA"/>
        </w:rPr>
      </w:pPr>
      <w:r w:rsidRPr="00C93159">
        <w:rPr>
          <w:lang w:val="uk-UA"/>
        </w:rPr>
        <w:t>4) мету проведення оцінки та посилання на цю Методику;</w:t>
      </w:r>
    </w:p>
    <w:p w:rsidR="00C93159" w:rsidRPr="00C93159" w:rsidRDefault="00C93159" w:rsidP="00C93159">
      <w:pPr>
        <w:pStyle w:val="a3"/>
        <w:jc w:val="both"/>
        <w:rPr>
          <w:lang w:val="uk-UA"/>
        </w:rPr>
      </w:pPr>
      <w:r w:rsidRPr="00C93159">
        <w:rPr>
          <w:lang w:val="uk-UA"/>
        </w:rPr>
        <w:t>5) перелік обмежень щодо застосування результатів оцінки;</w:t>
      </w:r>
    </w:p>
    <w:p w:rsidR="00C93159" w:rsidRPr="00C93159" w:rsidRDefault="00C93159" w:rsidP="00C93159">
      <w:pPr>
        <w:pStyle w:val="a3"/>
        <w:jc w:val="both"/>
        <w:rPr>
          <w:lang w:val="uk-UA"/>
        </w:rPr>
      </w:pPr>
      <w:r w:rsidRPr="00C93159">
        <w:rPr>
          <w:lang w:val="uk-UA"/>
        </w:rPr>
        <w:t>6) викладку усіх припущень, у межах яких проводилася оцінка;</w:t>
      </w:r>
    </w:p>
    <w:p w:rsidR="00C93159" w:rsidRPr="00C93159" w:rsidRDefault="00C93159" w:rsidP="00C93159">
      <w:pPr>
        <w:pStyle w:val="a3"/>
        <w:jc w:val="both"/>
        <w:rPr>
          <w:lang w:val="uk-UA"/>
        </w:rPr>
      </w:pPr>
      <w:r w:rsidRPr="00C93159">
        <w:rPr>
          <w:lang w:val="uk-UA"/>
        </w:rPr>
        <w:t>7) частки від вартості відповідних груп активів, щодо яких здійснено "due diligence";</w:t>
      </w:r>
    </w:p>
    <w:p w:rsidR="00C93159" w:rsidRPr="00C93159" w:rsidRDefault="00C93159" w:rsidP="00C93159">
      <w:pPr>
        <w:pStyle w:val="a3"/>
        <w:jc w:val="both"/>
        <w:rPr>
          <w:lang w:val="uk-UA"/>
        </w:rPr>
      </w:pPr>
      <w:r w:rsidRPr="00C93159">
        <w:rPr>
          <w:lang w:val="uk-UA"/>
        </w:rPr>
        <w:t>8) інформацію відповідальної особи Фонду щодо якості використаних вихідних даних та іншої інформації;</w:t>
      </w:r>
    </w:p>
    <w:p w:rsidR="00C93159" w:rsidRPr="00C93159" w:rsidRDefault="00C93159" w:rsidP="00C93159">
      <w:pPr>
        <w:pStyle w:val="a3"/>
        <w:jc w:val="both"/>
        <w:rPr>
          <w:lang w:val="uk-UA"/>
        </w:rPr>
      </w:pPr>
      <w:r w:rsidRPr="00C93159">
        <w:rPr>
          <w:lang w:val="uk-UA"/>
        </w:rPr>
        <w:t>9) інформацію про особистий огляд активів або забезпечення за кредитами (у разі нездійснення особистого огляду - відповідні пояснення та обґрунтування застережень і припущень щодо використання результатів оцінки);</w:t>
      </w:r>
    </w:p>
    <w:p w:rsidR="00C93159" w:rsidRPr="00C93159" w:rsidRDefault="00C93159" w:rsidP="00C93159">
      <w:pPr>
        <w:pStyle w:val="a3"/>
        <w:jc w:val="both"/>
        <w:rPr>
          <w:lang w:val="uk-UA"/>
        </w:rPr>
      </w:pPr>
      <w:r w:rsidRPr="00C93159">
        <w:rPr>
          <w:lang w:val="uk-UA"/>
        </w:rPr>
        <w:t>10) іншу інформацію, що є важливою для підтвердження об'єктивності оцінки майна і висновку про його вартість;</w:t>
      </w:r>
    </w:p>
    <w:p w:rsidR="00C93159" w:rsidRPr="00C93159" w:rsidRDefault="00C93159" w:rsidP="00C93159">
      <w:pPr>
        <w:pStyle w:val="a3"/>
        <w:jc w:val="both"/>
        <w:rPr>
          <w:lang w:val="uk-UA"/>
        </w:rPr>
      </w:pPr>
      <w:r w:rsidRPr="00C93159">
        <w:rPr>
          <w:lang w:val="uk-UA"/>
        </w:rPr>
        <w:t>11) посилання на вихідні дані та іншу враховану інформацію під час проведення оцінки;</w:t>
      </w:r>
    </w:p>
    <w:p w:rsidR="00C93159" w:rsidRPr="00C93159" w:rsidRDefault="00C93159" w:rsidP="00C93159">
      <w:pPr>
        <w:pStyle w:val="a3"/>
        <w:jc w:val="both"/>
        <w:rPr>
          <w:lang w:val="uk-UA"/>
        </w:rPr>
      </w:pPr>
      <w:r w:rsidRPr="00C93159">
        <w:rPr>
          <w:lang w:val="uk-UA"/>
        </w:rPr>
        <w:t>12) розрахункові дані щодо визначення вартості об'єктів оцінки (результати оцінки);</w:t>
      </w:r>
    </w:p>
    <w:p w:rsidR="00C93159" w:rsidRPr="00C93159" w:rsidRDefault="00C93159" w:rsidP="00C93159">
      <w:pPr>
        <w:pStyle w:val="a3"/>
        <w:jc w:val="both"/>
        <w:rPr>
          <w:lang w:val="uk-UA"/>
        </w:rPr>
      </w:pPr>
      <w:r w:rsidRPr="00C93159">
        <w:rPr>
          <w:lang w:val="uk-UA"/>
        </w:rPr>
        <w:t>13) висновок про загальну вартість об'єкта оцінки;</w:t>
      </w:r>
    </w:p>
    <w:p w:rsidR="00C93159" w:rsidRPr="00C93159" w:rsidRDefault="00C93159" w:rsidP="00C93159">
      <w:pPr>
        <w:pStyle w:val="a3"/>
        <w:jc w:val="both"/>
        <w:rPr>
          <w:lang w:val="uk-UA"/>
        </w:rPr>
      </w:pPr>
      <w:r w:rsidRPr="00C93159">
        <w:rPr>
          <w:lang w:val="uk-UA"/>
        </w:rPr>
        <w:t>14) додатки з копіями всіх вихідних даних, а також у разі потреби - інші інформаційні джерела, які роз'яснюють і підтверджують припущення та розрахунки.</w:t>
      </w:r>
    </w:p>
    <w:p w:rsidR="00C93159" w:rsidRPr="00C93159" w:rsidRDefault="00C93159" w:rsidP="00C93159">
      <w:pPr>
        <w:pStyle w:val="a3"/>
        <w:jc w:val="both"/>
        <w:rPr>
          <w:lang w:val="uk-UA"/>
        </w:rPr>
      </w:pPr>
      <w:r w:rsidRPr="00C93159">
        <w:rPr>
          <w:lang w:val="uk-UA"/>
        </w:rPr>
        <w:t>3. Звіт про результати здійснення оцінки активів складається в електронному вигляді та має бути захищений від перегляду та зміни паролем. Роздрукований звіт має бути прошнурований, пронумерований та підписаний відповідальною особою Фонду.</w:t>
      </w:r>
    </w:p>
    <w:p w:rsidR="00C93159" w:rsidRPr="00C93159" w:rsidRDefault="00C93159" w:rsidP="00C93159">
      <w:pPr>
        <w:pStyle w:val="a3"/>
        <w:jc w:val="both"/>
        <w:rPr>
          <w:lang w:val="uk-UA"/>
        </w:rPr>
      </w:pPr>
      <w:r w:rsidRPr="00C93159">
        <w:rPr>
          <w:lang w:val="uk-UA"/>
        </w:rPr>
        <w:t>4. Звіт про результати здійснення оцінки активів має бути складений до дня визначення найменш витратного способу виведення неплатоспроможного банку з ринку (крім випадків виведення банків з ринку за участю держави) та не пізніше 14 днів з дня затвердження ліквідаційної маси (20 днів - для системно важливих банків).</w:t>
      </w:r>
    </w:p>
    <w:p w:rsidR="00C93159" w:rsidRPr="00C93159" w:rsidRDefault="00C93159" w:rsidP="00C93159">
      <w:pPr>
        <w:pStyle w:val="a3"/>
        <w:jc w:val="both"/>
        <w:rPr>
          <w:lang w:val="uk-UA"/>
        </w:rPr>
      </w:pPr>
      <w:r w:rsidRPr="00C93159">
        <w:rPr>
          <w:lang w:val="uk-UA"/>
        </w:rPr>
        <w:t>5. Перед погодженням/затвердженням рішень, що стосуються визначення найменш витратного способу виведення банку з ринку (крім випадків виведення банку з ринку за участю держави), порядку та умов продажу активів банку тощо, виконавча дирекція Фонду порівнює оцінку активів, здійснену відповідальною особою Фонду, та оцінку активів, здійснену суб'єктами оціночної діяльності.</w:t>
      </w:r>
    </w:p>
    <w:p w:rsidR="00C93159" w:rsidRPr="00C93159" w:rsidRDefault="00C93159" w:rsidP="00C93159">
      <w:pPr>
        <w:pStyle w:val="a3"/>
        <w:jc w:val="both"/>
        <w:rPr>
          <w:lang w:val="uk-UA"/>
        </w:rPr>
      </w:pPr>
      <w:r w:rsidRPr="00C93159">
        <w:rPr>
          <w:lang w:val="uk-UA"/>
        </w:rPr>
        <w:t>6. Строки дії звіту про результати здійснення оцінки активів та висновку про вартість майна становлять не більше трьох місяців з дати, на яку здійснено оцінку активів. Звіт, строк дії якого сплинув, може бути оновлений за спрощеною процедурою шляхом оновлення вихідної інформації щодо активів та прийнятих припущень та здійснення повторного розрахунку.</w:t>
      </w:r>
    </w:p>
    <w:p w:rsidR="00C93159" w:rsidRPr="00C93159" w:rsidRDefault="00C93159" w:rsidP="00C93159">
      <w:pPr>
        <w:pStyle w:val="a3"/>
        <w:jc w:val="both"/>
        <w:rPr>
          <w:lang w:val="uk-UA"/>
        </w:rPr>
      </w:pPr>
      <w:r w:rsidRPr="00C93159">
        <w:rPr>
          <w:lang w:val="uk-UA"/>
        </w:rPr>
        <w:lastRenderedPageBreak/>
        <w:t>7. Звіт про результати оцінки є документом з обмеженим доступом. Звіт про результати оцінки активів банку та висновок про вартість майна такого банку є документами, що містять банківську таємницю.</w:t>
      </w:r>
    </w:p>
    <w:p w:rsidR="00C93159" w:rsidRPr="00C93159" w:rsidRDefault="00C93159" w:rsidP="00C93159">
      <w:pPr>
        <w:pStyle w:val="a3"/>
        <w:jc w:val="both"/>
        <w:rPr>
          <w:lang w:val="uk-UA"/>
        </w:rPr>
      </w:pPr>
      <w:r w:rsidRPr="00C93159">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C93159" w:rsidRPr="00C93159" w:rsidTr="00C93159">
        <w:trPr>
          <w:tblCellSpacing w:w="22" w:type="dxa"/>
        </w:trPr>
        <w:tc>
          <w:tcPr>
            <w:tcW w:w="2500" w:type="pct"/>
            <w:hideMark/>
          </w:tcPr>
          <w:p w:rsidR="00C93159" w:rsidRPr="00C93159" w:rsidRDefault="00C93159">
            <w:pPr>
              <w:pStyle w:val="a3"/>
              <w:jc w:val="center"/>
            </w:pPr>
            <w:r w:rsidRPr="00C93159">
              <w:rPr>
                <w:b/>
                <w:bCs/>
              </w:rPr>
              <w:t xml:space="preserve">Начальник відділу стратегії та </w:t>
            </w:r>
            <w:r w:rsidRPr="00C93159">
              <w:br/>
            </w:r>
            <w:r w:rsidRPr="00C93159">
              <w:rPr>
                <w:b/>
                <w:bCs/>
              </w:rPr>
              <w:t>нормативно-методологічного забезпечення</w:t>
            </w:r>
          </w:p>
        </w:tc>
        <w:tc>
          <w:tcPr>
            <w:tcW w:w="2500" w:type="pct"/>
            <w:vAlign w:val="bottom"/>
            <w:hideMark/>
          </w:tcPr>
          <w:p w:rsidR="00C93159" w:rsidRPr="00C93159" w:rsidRDefault="00C93159">
            <w:pPr>
              <w:pStyle w:val="a3"/>
              <w:jc w:val="center"/>
            </w:pPr>
            <w:r w:rsidRPr="00C93159">
              <w:rPr>
                <w:b/>
                <w:bCs/>
              </w:rPr>
              <w:t>Н. О. Лапаєва</w:t>
            </w:r>
          </w:p>
        </w:tc>
      </w:tr>
    </w:tbl>
    <w:p w:rsidR="00C93159" w:rsidRPr="00C93159" w:rsidRDefault="00C93159" w:rsidP="00C93159">
      <w:pPr>
        <w:pStyle w:val="a3"/>
        <w:jc w:val="both"/>
        <w:rPr>
          <w:lang w:val="uk-UA"/>
        </w:rPr>
      </w:pPr>
      <w:r w:rsidRPr="00C93159">
        <w:rPr>
          <w:lang w:val="uk-UA"/>
        </w:rPr>
        <w:br w:type="textWrapping" w:clear="all"/>
      </w:r>
    </w:p>
    <w:p w:rsidR="00C93159" w:rsidRPr="00C93159" w:rsidRDefault="00C93159" w:rsidP="00C93159">
      <w:pPr>
        <w:pStyle w:val="a3"/>
        <w:jc w:val="both"/>
        <w:rPr>
          <w:lang w:val="uk-UA"/>
        </w:rPr>
      </w:pPr>
      <w:r w:rsidRPr="00C93159">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C93159" w:rsidRPr="00C93159" w:rsidTr="00C93159">
        <w:trPr>
          <w:tblCellSpacing w:w="22" w:type="dxa"/>
        </w:trPr>
        <w:tc>
          <w:tcPr>
            <w:tcW w:w="5000" w:type="pct"/>
            <w:hideMark/>
          </w:tcPr>
          <w:p w:rsidR="00C93159" w:rsidRPr="00C93159" w:rsidRDefault="00C93159">
            <w:pPr>
              <w:pStyle w:val="a3"/>
            </w:pPr>
            <w:r w:rsidRPr="00C93159">
              <w:t>Додаток 1</w:t>
            </w:r>
            <w:r w:rsidRPr="00C93159">
              <w:br/>
              <w:t>до Методики оцінки активів банку, віднесеного до категорії проблемних або неплатоспроможних</w:t>
            </w:r>
            <w:r w:rsidRPr="00C93159">
              <w:br/>
              <w:t>(пункт 3 розділу II)</w:t>
            </w:r>
          </w:p>
        </w:tc>
      </w:tr>
    </w:tbl>
    <w:p w:rsidR="00C93159" w:rsidRPr="00C93159" w:rsidRDefault="00C93159" w:rsidP="00C93159">
      <w:pPr>
        <w:pStyle w:val="a3"/>
        <w:jc w:val="both"/>
        <w:rPr>
          <w:lang w:val="uk-UA"/>
        </w:rPr>
      </w:pPr>
      <w:r w:rsidRPr="00C93159">
        <w:rPr>
          <w:lang w:val="uk-UA"/>
        </w:rPr>
        <w:br w:type="textWrapping" w:clear="all"/>
      </w:r>
    </w:p>
    <w:p w:rsidR="00C93159" w:rsidRPr="00C93159" w:rsidRDefault="00C93159" w:rsidP="00C93159">
      <w:pPr>
        <w:pStyle w:val="3"/>
        <w:jc w:val="center"/>
        <w:rPr>
          <w:lang w:val="uk-UA"/>
        </w:rPr>
      </w:pPr>
      <w:r w:rsidRPr="00C93159">
        <w:rPr>
          <w:lang w:val="uk-UA"/>
        </w:rPr>
        <w:t>Таблиця 1. Суттєві характеристики високоліквідних активів</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33"/>
        <w:gridCol w:w="843"/>
        <w:gridCol w:w="854"/>
        <w:gridCol w:w="1052"/>
        <w:gridCol w:w="1022"/>
        <w:gridCol w:w="1011"/>
        <w:gridCol w:w="757"/>
        <w:gridCol w:w="960"/>
        <w:gridCol w:w="855"/>
        <w:gridCol w:w="986"/>
        <w:gridCol w:w="860"/>
      </w:tblGrid>
      <w:tr w:rsidR="00C93159" w:rsidRPr="00C93159" w:rsidTr="00C93159">
        <w:trPr>
          <w:tblCellSpacing w:w="22" w:type="dxa"/>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N з/п</w:t>
            </w:r>
          </w:p>
        </w:tc>
        <w:tc>
          <w:tcPr>
            <w:tcW w:w="4800" w:type="pct"/>
            <w:gridSpan w:val="10"/>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ОПИС ОБ'ЄКТА</w:t>
            </w:r>
          </w:p>
        </w:tc>
      </w:tr>
      <w:tr w:rsidR="00C93159" w:rsidRPr="00C93159" w:rsidTr="00C93159">
        <w:trPr>
          <w:trHeight w:val="285"/>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5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балансова вартість (грн еквівалент)</w:t>
            </w:r>
          </w:p>
        </w:tc>
        <w:tc>
          <w:tcPr>
            <w:tcW w:w="3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балансовий рахунок</w:t>
            </w:r>
          </w:p>
        </w:tc>
        <w:tc>
          <w:tcPr>
            <w:tcW w:w="4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сума на ЛОРО-рахунку, що є забезпеченням коштів на НОСТРО-рахунку</w:t>
            </w:r>
          </w:p>
        </w:tc>
        <w:tc>
          <w:tcPr>
            <w:tcW w:w="5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найменування банку, відділення, в якому розміщено кошти</w:t>
            </w:r>
          </w:p>
        </w:tc>
        <w:tc>
          <w:tcPr>
            <w:tcW w:w="5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ознака неплато-</w:t>
            </w:r>
            <w:r w:rsidRPr="00C93159">
              <w:rPr>
                <w:sz w:val="20"/>
                <w:szCs w:val="20"/>
              </w:rPr>
              <w:br/>
              <w:t>спроможності банку, в якому знаходяться кошти</w:t>
            </w:r>
          </w:p>
        </w:tc>
        <w:tc>
          <w:tcPr>
            <w:tcW w:w="4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коментарі</w:t>
            </w:r>
          </w:p>
        </w:tc>
        <w:tc>
          <w:tcPr>
            <w:tcW w:w="4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ознака зони проведення антитерорис-</w:t>
            </w:r>
            <w:r w:rsidRPr="00C93159">
              <w:rPr>
                <w:sz w:val="20"/>
                <w:szCs w:val="20"/>
              </w:rPr>
              <w:br/>
              <w:t>тичної операції, окупованої території</w:t>
            </w:r>
          </w:p>
        </w:tc>
        <w:tc>
          <w:tcPr>
            <w:tcW w:w="5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ознака наявності арешту /</w:t>
            </w:r>
            <w:r w:rsidRPr="00C93159">
              <w:rPr>
                <w:sz w:val="20"/>
                <w:szCs w:val="20"/>
              </w:rPr>
              <w:br/>
              <w:t xml:space="preserve">обтяження на відчуження (0 - відсутній арешт, </w:t>
            </w:r>
            <w:r w:rsidRPr="00C93159">
              <w:rPr>
                <w:sz w:val="20"/>
                <w:szCs w:val="20"/>
              </w:rPr>
              <w:br/>
              <w:t>1 - накладено арешт)</w:t>
            </w:r>
          </w:p>
        </w:tc>
        <w:tc>
          <w:tcPr>
            <w:tcW w:w="6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 xml:space="preserve">ознака законодавчих заборон на відчуження </w:t>
            </w:r>
            <w:r w:rsidRPr="00C93159">
              <w:rPr>
                <w:sz w:val="20"/>
                <w:szCs w:val="20"/>
              </w:rPr>
              <w:br/>
              <w:t xml:space="preserve">(0 - відсутні заборони, </w:t>
            </w:r>
            <w:r w:rsidRPr="00C93159">
              <w:rPr>
                <w:sz w:val="20"/>
                <w:szCs w:val="20"/>
              </w:rPr>
              <w:br/>
              <w:t>1 - є заборони)</w:t>
            </w:r>
          </w:p>
        </w:tc>
        <w:tc>
          <w:tcPr>
            <w:tcW w:w="5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ознака внесення у державні реєстри інформації про обтяження (0 - є інформація у державних реєстрах, 1 - відсутня інформація у державних реєстрах)</w:t>
            </w:r>
          </w:p>
        </w:tc>
      </w:tr>
      <w:tr w:rsidR="00C93159" w:rsidRPr="00C93159" w:rsidTr="00C93159">
        <w:trPr>
          <w:trHeight w:val="285"/>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r>
      <w:tr w:rsidR="00C93159" w:rsidRPr="00C93159" w:rsidTr="00C93159">
        <w:trPr>
          <w:trHeight w:val="285"/>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r>
      <w:tr w:rsidR="00C93159" w:rsidRPr="00C93159" w:rsidTr="00C93159">
        <w:trPr>
          <w:tblCellSpacing w:w="22" w:type="dxa"/>
        </w:trPr>
        <w:tc>
          <w:tcPr>
            <w:tcW w:w="2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w:t>
            </w:r>
          </w:p>
        </w:tc>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w:t>
            </w:r>
          </w:p>
        </w:tc>
        <w:tc>
          <w:tcPr>
            <w:tcW w:w="3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3</w:t>
            </w:r>
          </w:p>
        </w:tc>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4</w:t>
            </w:r>
          </w:p>
        </w:tc>
        <w:tc>
          <w:tcPr>
            <w:tcW w:w="5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5</w:t>
            </w:r>
          </w:p>
        </w:tc>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6</w:t>
            </w:r>
          </w:p>
        </w:tc>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7</w:t>
            </w:r>
          </w:p>
        </w:tc>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8</w:t>
            </w:r>
          </w:p>
        </w:tc>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9</w:t>
            </w:r>
          </w:p>
        </w:tc>
        <w:tc>
          <w:tcPr>
            <w:tcW w:w="6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10</w:t>
            </w:r>
          </w:p>
        </w:tc>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11</w:t>
            </w:r>
          </w:p>
        </w:tc>
      </w:tr>
    </w:tbl>
    <w:p w:rsidR="00C93159" w:rsidRPr="00C93159" w:rsidRDefault="00C93159" w:rsidP="00C93159">
      <w:pPr>
        <w:rPr>
          <w:lang w:val="uk-UA"/>
        </w:rPr>
      </w:pPr>
      <w:r w:rsidRPr="00C93159">
        <w:rPr>
          <w:lang w:val="uk-UA"/>
        </w:rPr>
        <w:br w:type="textWrapping" w:clear="all"/>
      </w:r>
    </w:p>
    <w:tbl>
      <w:tblPr>
        <w:tblW w:w="2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719"/>
        <w:gridCol w:w="1120"/>
        <w:gridCol w:w="1052"/>
        <w:gridCol w:w="1169"/>
      </w:tblGrid>
      <w:tr w:rsidR="00C93159" w:rsidRPr="00C93159" w:rsidTr="00C93159">
        <w:trPr>
          <w:tblCellSpacing w:w="22" w:type="dxa"/>
        </w:trPr>
        <w:tc>
          <w:tcPr>
            <w:tcW w:w="5000" w:type="pct"/>
            <w:gridSpan w:val="4"/>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center"/>
            </w:pPr>
            <w:r w:rsidRPr="00C93159">
              <w:rPr>
                <w:sz w:val="20"/>
                <w:szCs w:val="20"/>
              </w:rPr>
              <w:lastRenderedPageBreak/>
              <w:t>ІНШІ ДАНІ</w:t>
            </w:r>
          </w:p>
        </w:tc>
      </w:tr>
      <w:tr w:rsidR="00C93159" w:rsidRPr="00C93159" w:rsidTr="00C93159">
        <w:trPr>
          <w:trHeight w:val="285"/>
          <w:tblCellSpacing w:w="22" w:type="dxa"/>
        </w:trPr>
        <w:tc>
          <w:tcPr>
            <w:tcW w:w="20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ЄДРПОУ / реєстраційний номер облікової картки платника податків заставодержателя, якому передано кредит у забезпечення за зобов'язаннями банку (кредитом рефінансування тощо)</w:t>
            </w:r>
          </w:p>
        </w:tc>
        <w:tc>
          <w:tcPr>
            <w:tcW w:w="10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ознака накладення арешту на відчуження</w:t>
            </w:r>
          </w:p>
        </w:tc>
        <w:tc>
          <w:tcPr>
            <w:tcW w:w="9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примітки (коментарі щодо наведених даних)</w:t>
            </w:r>
          </w:p>
        </w:tc>
        <w:tc>
          <w:tcPr>
            <w:tcW w:w="10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інше (додаткова інформація, що є важливою для оцінки вартості)</w:t>
            </w:r>
          </w:p>
        </w:tc>
      </w:tr>
      <w:tr w:rsidR="00C93159" w:rsidRPr="00C93159" w:rsidTr="00C93159">
        <w:trPr>
          <w:trHeight w:val="285"/>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r>
      <w:tr w:rsidR="00C93159" w:rsidRPr="00C93159" w:rsidTr="00C93159">
        <w:trPr>
          <w:trHeight w:val="285"/>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r>
      <w:tr w:rsidR="00C93159" w:rsidRPr="00C93159" w:rsidTr="00C93159">
        <w:trPr>
          <w:tblCellSpacing w:w="22" w:type="dxa"/>
        </w:trPr>
        <w:tc>
          <w:tcPr>
            <w:tcW w:w="20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12</w:t>
            </w:r>
          </w:p>
        </w:tc>
        <w:tc>
          <w:tcPr>
            <w:tcW w:w="10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13</w:t>
            </w:r>
          </w:p>
        </w:tc>
        <w:tc>
          <w:tcPr>
            <w:tcW w:w="9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14</w:t>
            </w:r>
          </w:p>
        </w:tc>
        <w:tc>
          <w:tcPr>
            <w:tcW w:w="10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15</w:t>
            </w:r>
          </w:p>
        </w:tc>
      </w:tr>
    </w:tbl>
    <w:p w:rsidR="00C93159" w:rsidRPr="00C93159" w:rsidRDefault="00C93159" w:rsidP="00C93159">
      <w:pPr>
        <w:rPr>
          <w:lang w:val="uk-UA"/>
        </w:rPr>
      </w:pPr>
      <w:r w:rsidRPr="00C93159">
        <w:rPr>
          <w:lang w:val="uk-UA"/>
        </w:rPr>
        <w:br w:type="textWrapping" w:clear="all"/>
      </w:r>
    </w:p>
    <w:p w:rsidR="00C93159" w:rsidRPr="00C93159" w:rsidRDefault="00C93159" w:rsidP="00C93159">
      <w:pPr>
        <w:pStyle w:val="3"/>
        <w:jc w:val="center"/>
        <w:rPr>
          <w:lang w:val="uk-UA"/>
        </w:rPr>
      </w:pPr>
      <w:r w:rsidRPr="00C93159">
        <w:rPr>
          <w:lang w:val="uk-UA"/>
        </w:rPr>
        <w:t>Таблиця 2. Суттєві характеристики заборгованості за міжбанківськими кредитами</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09"/>
        <w:gridCol w:w="661"/>
        <w:gridCol w:w="680"/>
        <w:gridCol w:w="706"/>
        <w:gridCol w:w="897"/>
        <w:gridCol w:w="914"/>
        <w:gridCol w:w="760"/>
        <w:gridCol w:w="623"/>
        <w:gridCol w:w="640"/>
        <w:gridCol w:w="758"/>
        <w:gridCol w:w="640"/>
        <w:gridCol w:w="773"/>
        <w:gridCol w:w="672"/>
      </w:tblGrid>
      <w:tr w:rsidR="00C93159" w:rsidRPr="00C93159" w:rsidTr="00C93159">
        <w:trPr>
          <w:tblCellSpacing w:w="22"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pPr>
            <w:r w:rsidRPr="00C93159">
              <w:rPr>
                <w:sz w:val="20"/>
                <w:szCs w:val="20"/>
              </w:rPr>
              <w:t>Унікальний код запису</w:t>
            </w:r>
          </w:p>
        </w:tc>
        <w:tc>
          <w:tcPr>
            <w:tcW w:w="0" w:type="auto"/>
            <w:gridSpan w:val="7"/>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БАНК-БОРЖНИК</w:t>
            </w:r>
          </w:p>
        </w:tc>
        <w:tc>
          <w:tcPr>
            <w:tcW w:w="0" w:type="auto"/>
            <w:gridSpan w:val="5"/>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КРЕДИТ (ДЕПОЗИТ У БАНКУ-БОРЖНИКУ</w:t>
            </w:r>
          </w:p>
        </w:tc>
      </w:tr>
      <w:tr w:rsidR="00C93159" w:rsidRPr="00C93159" w:rsidTr="00C9315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ЄДРПОУ банку</w:t>
            </w:r>
          </w:p>
        </w:tc>
        <w:tc>
          <w:tcPr>
            <w:tcW w:w="0" w:type="auto"/>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наймену-</w:t>
            </w:r>
            <w:r w:rsidRPr="00C93159">
              <w:rPr>
                <w:sz w:val="20"/>
                <w:szCs w:val="20"/>
              </w:rPr>
              <w:br/>
              <w:t>вання /</w:t>
            </w:r>
            <w:r w:rsidRPr="00C93159">
              <w:rPr>
                <w:sz w:val="20"/>
                <w:szCs w:val="20"/>
              </w:rPr>
              <w:br/>
              <w:t>П. І. Б. позичаль-</w:t>
            </w:r>
            <w:r w:rsidRPr="00C93159">
              <w:rPr>
                <w:sz w:val="20"/>
                <w:szCs w:val="20"/>
              </w:rPr>
              <w:br/>
              <w:t>ника</w:t>
            </w:r>
          </w:p>
        </w:tc>
        <w:tc>
          <w:tcPr>
            <w:tcW w:w="0" w:type="auto"/>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контролер банку (назва / П. І. Б. / фінансова група тощо)</w:t>
            </w:r>
          </w:p>
        </w:tc>
        <w:tc>
          <w:tcPr>
            <w:tcW w:w="0" w:type="auto"/>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клас позичальника</w:t>
            </w:r>
          </w:p>
        </w:tc>
        <w:tc>
          <w:tcPr>
            <w:tcW w:w="0" w:type="auto"/>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ознака плато-</w:t>
            </w:r>
            <w:r w:rsidRPr="00C93159">
              <w:rPr>
                <w:sz w:val="20"/>
                <w:szCs w:val="20"/>
              </w:rPr>
              <w:br/>
              <w:t>спроможності банку-</w:t>
            </w:r>
            <w:r w:rsidRPr="00C93159">
              <w:rPr>
                <w:sz w:val="20"/>
                <w:szCs w:val="20"/>
              </w:rPr>
              <w:br/>
              <w:t>боржника</w:t>
            </w:r>
            <w:r w:rsidRPr="00C93159">
              <w:rPr>
                <w:sz w:val="20"/>
                <w:szCs w:val="20"/>
              </w:rPr>
              <w:br/>
              <w:t xml:space="preserve">(0 - працюючий, </w:t>
            </w:r>
            <w:r w:rsidRPr="00C93159">
              <w:rPr>
                <w:sz w:val="20"/>
                <w:szCs w:val="20"/>
              </w:rPr>
              <w:br/>
              <w:t xml:space="preserve">1 - проблемний; </w:t>
            </w:r>
            <w:r w:rsidRPr="00C93159">
              <w:rPr>
                <w:sz w:val="20"/>
                <w:szCs w:val="20"/>
              </w:rPr>
              <w:br/>
              <w:t>2 - неплато-</w:t>
            </w:r>
            <w:r w:rsidRPr="00C93159">
              <w:rPr>
                <w:sz w:val="20"/>
                <w:szCs w:val="20"/>
              </w:rPr>
              <w:br/>
              <w:t>спроможний)</w:t>
            </w:r>
          </w:p>
        </w:tc>
        <w:tc>
          <w:tcPr>
            <w:tcW w:w="0" w:type="auto"/>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кредитний рейтинг, рейтингове агентство</w:t>
            </w:r>
          </w:p>
        </w:tc>
        <w:tc>
          <w:tcPr>
            <w:tcW w:w="0" w:type="auto"/>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дата, на яку надані дані про банк-боржник</w:t>
            </w:r>
          </w:p>
        </w:tc>
        <w:tc>
          <w:tcPr>
            <w:tcW w:w="0" w:type="auto"/>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N договору</w:t>
            </w:r>
          </w:p>
        </w:tc>
        <w:tc>
          <w:tcPr>
            <w:tcW w:w="0" w:type="auto"/>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унікальний код</w:t>
            </w:r>
          </w:p>
        </w:tc>
        <w:tc>
          <w:tcPr>
            <w:tcW w:w="0" w:type="auto"/>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дата договору</w:t>
            </w:r>
          </w:p>
        </w:tc>
        <w:tc>
          <w:tcPr>
            <w:tcW w:w="0" w:type="auto"/>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балансовий рахунок</w:t>
            </w:r>
          </w:p>
        </w:tc>
        <w:tc>
          <w:tcPr>
            <w:tcW w:w="0" w:type="auto"/>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вид продукту (назва, опис тощо)</w:t>
            </w:r>
          </w:p>
        </w:tc>
      </w:tr>
      <w:tr w:rsidR="00C93159" w:rsidRPr="00C93159" w:rsidTr="00C93159">
        <w:trPr>
          <w:tblCellSpacing w:w="22"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3</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4</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5</w:t>
            </w:r>
          </w:p>
        </w:tc>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6</w:t>
            </w:r>
          </w:p>
        </w:tc>
        <w:tc>
          <w:tcPr>
            <w:tcW w:w="3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7</w:t>
            </w:r>
          </w:p>
        </w:tc>
        <w:tc>
          <w:tcPr>
            <w:tcW w:w="4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8</w:t>
            </w:r>
          </w:p>
        </w:tc>
        <w:tc>
          <w:tcPr>
            <w:tcW w:w="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9</w:t>
            </w:r>
          </w:p>
        </w:tc>
        <w:tc>
          <w:tcPr>
            <w:tcW w:w="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10</w:t>
            </w:r>
          </w:p>
        </w:tc>
        <w:tc>
          <w:tcPr>
            <w:tcW w:w="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11</w:t>
            </w:r>
          </w:p>
        </w:tc>
        <w:tc>
          <w:tcPr>
            <w:tcW w:w="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12</w:t>
            </w:r>
          </w:p>
        </w:tc>
        <w:tc>
          <w:tcPr>
            <w:tcW w:w="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13</w:t>
            </w:r>
          </w:p>
        </w:tc>
      </w:tr>
    </w:tbl>
    <w:p w:rsidR="00C93159" w:rsidRPr="00C93159" w:rsidRDefault="00C93159" w:rsidP="00C93159">
      <w:pPr>
        <w:rPr>
          <w:lang w:val="uk-UA"/>
        </w:rPr>
      </w:pPr>
      <w:r w:rsidRPr="00C93159">
        <w:rPr>
          <w:lang w:val="uk-UA"/>
        </w:rPr>
        <w:br w:type="textWrapping" w:clear="all"/>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98"/>
        <w:gridCol w:w="617"/>
        <w:gridCol w:w="641"/>
        <w:gridCol w:w="670"/>
        <w:gridCol w:w="1131"/>
        <w:gridCol w:w="1105"/>
        <w:gridCol w:w="1095"/>
        <w:gridCol w:w="1068"/>
        <w:gridCol w:w="1068"/>
        <w:gridCol w:w="810"/>
        <w:gridCol w:w="730"/>
      </w:tblGrid>
      <w:tr w:rsidR="00C93159" w:rsidRPr="00C93159" w:rsidTr="00C93159">
        <w:trPr>
          <w:tblCellSpacing w:w="22" w:type="dxa"/>
        </w:trPr>
        <w:tc>
          <w:tcPr>
            <w:tcW w:w="5000" w:type="pct"/>
            <w:gridSpan w:val="11"/>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КРЕДИТ (ДЕПОЗИТ У БАНКУ-БОРЖНИКУ)</w:t>
            </w:r>
          </w:p>
        </w:tc>
      </w:tr>
      <w:tr w:rsidR="00C93159" w:rsidRPr="00C93159" w:rsidTr="00C93159">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код валюти (довідник НБУ)</w:t>
            </w:r>
          </w:p>
        </w:tc>
        <w:tc>
          <w:tcPr>
            <w:tcW w:w="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відсоткова ставка</w:t>
            </w:r>
          </w:p>
        </w:tc>
        <w:tc>
          <w:tcPr>
            <w:tcW w:w="5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 xml:space="preserve">ставка комісійних та інших платежів (приведена </w:t>
            </w:r>
            <w:r w:rsidRPr="00C93159">
              <w:rPr>
                <w:sz w:val="20"/>
                <w:szCs w:val="20"/>
              </w:rPr>
              <w:lastRenderedPageBreak/>
              <w:t>до ефективної річної ставки)</w:t>
            </w:r>
          </w:p>
        </w:tc>
        <w:tc>
          <w:tcPr>
            <w:tcW w:w="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lastRenderedPageBreak/>
              <w:t>дата видачі кредиту / розміщення депозиту</w:t>
            </w:r>
          </w:p>
        </w:tc>
        <w:tc>
          <w:tcPr>
            <w:tcW w:w="5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 xml:space="preserve">ознака наявності обтяжень розміщених коштів  (0 - немає обтяжень, 1 - кошти обтяжені за зобов'язаннями </w:t>
            </w:r>
            <w:r w:rsidRPr="00C93159">
              <w:rPr>
                <w:sz w:val="20"/>
                <w:szCs w:val="20"/>
              </w:rPr>
              <w:lastRenderedPageBreak/>
              <w:t>неплатоспроможного банку перед банком-боржником; 2 - кошти обтяжені за зобов'язаннями третіх осіб перед банком-боржником; 3 - кошти обтяжені за зобов'язаннями</w:t>
            </w:r>
            <w:r w:rsidRPr="00C93159">
              <w:rPr>
                <w:sz w:val="20"/>
                <w:szCs w:val="20"/>
              </w:rPr>
              <w:br/>
              <w:t> неплатоспроможного банку перед НБУ або іншими державними структурами; 4 - кошти обтяжені за зобов'язаннями</w:t>
            </w:r>
            <w:r w:rsidRPr="00C93159">
              <w:rPr>
                <w:sz w:val="20"/>
                <w:szCs w:val="20"/>
              </w:rPr>
              <w:br/>
              <w:t> неплатоспроможного банку перед третіми особами)</w:t>
            </w:r>
          </w:p>
        </w:tc>
        <w:tc>
          <w:tcPr>
            <w:tcW w:w="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lastRenderedPageBreak/>
              <w:t xml:space="preserve">код ЄДРПОУ (реєстраційний номер облікової картки платника податків) та назва (П. І. Б.) </w:t>
            </w:r>
            <w:r w:rsidRPr="00C93159">
              <w:rPr>
                <w:sz w:val="20"/>
                <w:szCs w:val="20"/>
              </w:rPr>
              <w:lastRenderedPageBreak/>
              <w:t>третьої особи, якій надане фінансування під заставу коштів, розміщених</w:t>
            </w:r>
            <w:r w:rsidRPr="00C93159">
              <w:rPr>
                <w:sz w:val="20"/>
                <w:szCs w:val="20"/>
              </w:rPr>
              <w:br/>
              <w:t> неплатоспроможним банком</w:t>
            </w:r>
          </w:p>
        </w:tc>
        <w:tc>
          <w:tcPr>
            <w:tcW w:w="5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lastRenderedPageBreak/>
              <w:t>суть операції з третьою особою, для якої</w:t>
            </w:r>
            <w:r w:rsidRPr="00C93159">
              <w:rPr>
                <w:sz w:val="20"/>
                <w:szCs w:val="20"/>
              </w:rPr>
              <w:br/>
              <w:t xml:space="preserve"> неплатоспроможний банк погодився на обтяження </w:t>
            </w:r>
            <w:r w:rsidRPr="00C93159">
              <w:rPr>
                <w:sz w:val="20"/>
                <w:szCs w:val="20"/>
              </w:rPr>
              <w:lastRenderedPageBreak/>
              <w:t>розміщених коштів</w:t>
            </w:r>
          </w:p>
        </w:tc>
        <w:tc>
          <w:tcPr>
            <w:tcW w:w="5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lastRenderedPageBreak/>
              <w:t>реквізити договору (застави / поруки / тощо), за яким</w:t>
            </w:r>
            <w:r w:rsidRPr="00C93159">
              <w:rPr>
                <w:sz w:val="20"/>
                <w:szCs w:val="20"/>
              </w:rPr>
              <w:br/>
              <w:t xml:space="preserve">неплатоспроможний банк погодився на </w:t>
            </w:r>
            <w:r w:rsidRPr="00C93159">
              <w:rPr>
                <w:sz w:val="20"/>
                <w:szCs w:val="20"/>
              </w:rPr>
              <w:lastRenderedPageBreak/>
              <w:t>обтяження розміщених коштів</w:t>
            </w:r>
          </w:p>
        </w:tc>
        <w:tc>
          <w:tcPr>
            <w:tcW w:w="5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lastRenderedPageBreak/>
              <w:t>реквізити кредитного договору, за яким</w:t>
            </w:r>
            <w:r w:rsidRPr="00C93159">
              <w:rPr>
                <w:sz w:val="20"/>
                <w:szCs w:val="20"/>
              </w:rPr>
              <w:br/>
              <w:t xml:space="preserve">неплатоспроможний банк виступив заставодавцем / </w:t>
            </w:r>
            <w:r w:rsidRPr="00C93159">
              <w:rPr>
                <w:sz w:val="20"/>
                <w:szCs w:val="20"/>
              </w:rPr>
              <w:lastRenderedPageBreak/>
              <w:t>гарантом / поручителем / тощо</w:t>
            </w:r>
          </w:p>
        </w:tc>
        <w:tc>
          <w:tcPr>
            <w:tcW w:w="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lastRenderedPageBreak/>
              <w:t>балансова вартість основної заборгованості (грн еквівалент)</w:t>
            </w:r>
          </w:p>
        </w:tc>
        <w:tc>
          <w:tcPr>
            <w:tcW w:w="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балансова вартість нарахованих доходів (грн еквівалент)</w:t>
            </w:r>
          </w:p>
        </w:tc>
      </w:tr>
      <w:tr w:rsidR="00C93159" w:rsidRPr="00C93159" w:rsidTr="00C93159">
        <w:trPr>
          <w:tblCellSpacing w:w="22"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lastRenderedPageBreak/>
              <w:t>14</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15</w:t>
            </w:r>
          </w:p>
        </w:tc>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16</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17</w:t>
            </w:r>
          </w:p>
        </w:tc>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18</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19</w:t>
            </w:r>
          </w:p>
        </w:tc>
        <w:tc>
          <w:tcPr>
            <w:tcW w:w="5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20</w:t>
            </w:r>
          </w:p>
        </w:tc>
        <w:tc>
          <w:tcPr>
            <w:tcW w:w="5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21</w:t>
            </w:r>
          </w:p>
        </w:tc>
        <w:tc>
          <w:tcPr>
            <w:tcW w:w="5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22</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23</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24</w:t>
            </w:r>
          </w:p>
        </w:tc>
      </w:tr>
    </w:tbl>
    <w:p w:rsidR="00C93159" w:rsidRPr="00C93159" w:rsidRDefault="00C93159" w:rsidP="00C93159">
      <w:pPr>
        <w:rPr>
          <w:lang w:val="uk-UA"/>
        </w:rPr>
      </w:pPr>
      <w:r w:rsidRPr="00C93159">
        <w:rPr>
          <w:lang w:val="uk-UA"/>
        </w:rPr>
        <w:br w:type="textWrapping" w:clear="all"/>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008"/>
        <w:gridCol w:w="928"/>
        <w:gridCol w:w="664"/>
        <w:gridCol w:w="659"/>
        <w:gridCol w:w="810"/>
        <w:gridCol w:w="820"/>
        <w:gridCol w:w="820"/>
        <w:gridCol w:w="1134"/>
        <w:gridCol w:w="1100"/>
        <w:gridCol w:w="923"/>
        <w:gridCol w:w="667"/>
      </w:tblGrid>
      <w:tr w:rsidR="00C93159" w:rsidRPr="00C93159" w:rsidTr="00C93159">
        <w:trPr>
          <w:tblCellSpacing w:w="22" w:type="dxa"/>
        </w:trPr>
        <w:tc>
          <w:tcPr>
            <w:tcW w:w="5000" w:type="pct"/>
            <w:gridSpan w:val="11"/>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КРЕДИТ (ДЕПОЗИТ У БАНКУ-БОРЖНИКУ)</w:t>
            </w:r>
          </w:p>
        </w:tc>
      </w:tr>
      <w:tr w:rsidR="00C93159" w:rsidRPr="00C93159" w:rsidTr="00C93159">
        <w:trPr>
          <w:tblCellSpacing w:w="22" w:type="dxa"/>
        </w:trPr>
        <w:tc>
          <w:tcPr>
            <w:tcW w:w="5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балансова вартість простроченої заборгованості (грн еквівалент)</w:t>
            </w:r>
          </w:p>
        </w:tc>
        <w:tc>
          <w:tcPr>
            <w:tcW w:w="5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балансова вартість прострочених доходів (грн еквівалент)</w:t>
            </w:r>
          </w:p>
        </w:tc>
        <w:tc>
          <w:tcPr>
            <w:tcW w:w="4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категорія якості кредиту</w:t>
            </w:r>
          </w:p>
        </w:tc>
        <w:tc>
          <w:tcPr>
            <w:tcW w:w="4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показник ризику кредиту</w:t>
            </w:r>
          </w:p>
        </w:tc>
        <w:tc>
          <w:tcPr>
            <w:tcW w:w="5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фактична сума розміщення за останні 12 місяців</w:t>
            </w:r>
          </w:p>
        </w:tc>
        <w:tc>
          <w:tcPr>
            <w:tcW w:w="2600" w:type="pct"/>
            <w:gridSpan w:val="6"/>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фактичне погашення кредиту у минулому (грошові надходження)</w:t>
            </w:r>
          </w:p>
        </w:tc>
      </w:tr>
      <w:tr w:rsidR="00C93159" w:rsidRPr="00C93159" w:rsidTr="00C93159">
        <w:trPr>
          <w:trHeight w:val="285"/>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5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фактична сума надходжень за основним боргом з моменту видачі (грн еквівалент)</w:t>
            </w:r>
          </w:p>
        </w:tc>
        <w:tc>
          <w:tcPr>
            <w:tcW w:w="5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фактична сума надходжень за останні 12 місяців (грн еквівалент)</w:t>
            </w:r>
          </w:p>
        </w:tc>
        <w:tc>
          <w:tcPr>
            <w:tcW w:w="4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кількість реструктуризацій</w:t>
            </w:r>
          </w:p>
        </w:tc>
        <w:tc>
          <w:tcPr>
            <w:tcW w:w="4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дата останньої реструктуризації</w:t>
            </w:r>
          </w:p>
        </w:tc>
        <w:tc>
          <w:tcPr>
            <w:tcW w:w="4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дата виникнення прострочення</w:t>
            </w:r>
          </w:p>
        </w:tc>
        <w:tc>
          <w:tcPr>
            <w:tcW w:w="4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кількість днів простро-</w:t>
            </w:r>
            <w:r w:rsidRPr="00C93159">
              <w:rPr>
                <w:sz w:val="20"/>
                <w:szCs w:val="20"/>
              </w:rPr>
              <w:br/>
              <w:t>чення</w:t>
            </w:r>
          </w:p>
        </w:tc>
      </w:tr>
      <w:tr w:rsidR="00C93159" w:rsidRPr="00C93159" w:rsidTr="00C93159">
        <w:trPr>
          <w:trHeight w:val="285"/>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r>
      <w:tr w:rsidR="00C93159" w:rsidRPr="00C93159" w:rsidTr="00C93159">
        <w:trPr>
          <w:tblCellSpacing w:w="22" w:type="dxa"/>
        </w:trPr>
        <w:tc>
          <w:tcPr>
            <w:tcW w:w="5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25</w:t>
            </w:r>
          </w:p>
        </w:tc>
        <w:tc>
          <w:tcPr>
            <w:tcW w:w="5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26</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27</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28</w:t>
            </w:r>
          </w:p>
        </w:tc>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29</w:t>
            </w:r>
          </w:p>
        </w:tc>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30</w:t>
            </w:r>
          </w:p>
        </w:tc>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31</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32</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33</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34</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35</w:t>
            </w:r>
          </w:p>
        </w:tc>
      </w:tr>
    </w:tbl>
    <w:p w:rsidR="00C93159" w:rsidRPr="00C93159" w:rsidRDefault="00C93159" w:rsidP="00C93159">
      <w:pPr>
        <w:rPr>
          <w:lang w:val="uk-UA"/>
        </w:rPr>
      </w:pPr>
      <w:r w:rsidRPr="00C93159">
        <w:rPr>
          <w:lang w:val="uk-UA"/>
        </w:rPr>
        <w:lastRenderedPageBreak/>
        <w:br w:type="textWrapping" w:clear="all"/>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02"/>
        <w:gridCol w:w="758"/>
        <w:gridCol w:w="669"/>
        <w:gridCol w:w="668"/>
        <w:gridCol w:w="668"/>
        <w:gridCol w:w="668"/>
        <w:gridCol w:w="668"/>
        <w:gridCol w:w="1025"/>
        <w:gridCol w:w="757"/>
        <w:gridCol w:w="757"/>
        <w:gridCol w:w="757"/>
        <w:gridCol w:w="757"/>
        <w:gridCol w:w="779"/>
      </w:tblGrid>
      <w:tr w:rsidR="00C93159" w:rsidRPr="00C93159" w:rsidTr="00C93159">
        <w:trPr>
          <w:tblCellSpacing w:w="22" w:type="dxa"/>
        </w:trPr>
        <w:tc>
          <w:tcPr>
            <w:tcW w:w="5000" w:type="pct"/>
            <w:gridSpan w:val="13"/>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КРЕДИТ (ДЕПОЗИТ У БАНКУ-БОРЖНИКУ)</w:t>
            </w:r>
          </w:p>
        </w:tc>
      </w:tr>
      <w:tr w:rsidR="00C93159" w:rsidRPr="00C93159" w:rsidTr="00C93159">
        <w:trPr>
          <w:tblCellSpacing w:w="22" w:type="dxa"/>
        </w:trPr>
        <w:tc>
          <w:tcPr>
            <w:tcW w:w="5000" w:type="pct"/>
            <w:gridSpan w:val="13"/>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pPr>
            <w:r w:rsidRPr="00C93159">
              <w:rPr>
                <w:sz w:val="20"/>
                <w:szCs w:val="20"/>
              </w:rPr>
              <w:t>План-графік надходжень в погашення кредиту (грн еквівалент)</w:t>
            </w:r>
          </w:p>
        </w:tc>
      </w:tr>
      <w:tr w:rsidR="00C93159" w:rsidRPr="00C93159" w:rsidTr="00C93159">
        <w:trPr>
          <w:tblCellSpacing w:w="22" w:type="dxa"/>
        </w:trPr>
        <w:tc>
          <w:tcPr>
            <w:tcW w:w="5000" w:type="pct"/>
            <w:gridSpan w:val="13"/>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pPr>
            <w:r w:rsidRPr="00C93159">
              <w:rPr>
                <w:sz w:val="20"/>
                <w:szCs w:val="20"/>
              </w:rPr>
              <w:t>План графік погашення (тіло + % % + комісії)</w:t>
            </w:r>
          </w:p>
        </w:tc>
      </w:tr>
      <w:tr w:rsidR="00C93159" w:rsidRPr="00C93159" w:rsidTr="00C93159">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2015</w:t>
            </w:r>
          </w:p>
        </w:tc>
        <w:tc>
          <w:tcPr>
            <w:tcW w:w="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2016</w:t>
            </w:r>
          </w:p>
        </w:tc>
        <w:tc>
          <w:tcPr>
            <w:tcW w:w="3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2017</w:t>
            </w:r>
          </w:p>
        </w:tc>
        <w:tc>
          <w:tcPr>
            <w:tcW w:w="3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2018</w:t>
            </w:r>
          </w:p>
        </w:tc>
        <w:tc>
          <w:tcPr>
            <w:tcW w:w="3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2019</w:t>
            </w:r>
          </w:p>
        </w:tc>
        <w:tc>
          <w:tcPr>
            <w:tcW w:w="3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2020</w:t>
            </w:r>
          </w:p>
        </w:tc>
        <w:tc>
          <w:tcPr>
            <w:tcW w:w="3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2021</w:t>
            </w:r>
          </w:p>
        </w:tc>
        <w:tc>
          <w:tcPr>
            <w:tcW w:w="5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2022</w:t>
            </w:r>
          </w:p>
        </w:tc>
        <w:tc>
          <w:tcPr>
            <w:tcW w:w="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2023</w:t>
            </w:r>
          </w:p>
        </w:tc>
        <w:tc>
          <w:tcPr>
            <w:tcW w:w="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2024</w:t>
            </w:r>
          </w:p>
        </w:tc>
        <w:tc>
          <w:tcPr>
            <w:tcW w:w="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2025</w:t>
            </w:r>
          </w:p>
        </w:tc>
        <w:tc>
          <w:tcPr>
            <w:tcW w:w="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2026</w:t>
            </w:r>
          </w:p>
        </w:tc>
        <w:tc>
          <w:tcPr>
            <w:tcW w:w="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2027</w:t>
            </w:r>
          </w:p>
        </w:tc>
      </w:tr>
      <w:tr w:rsidR="00C93159" w:rsidRPr="00C93159" w:rsidTr="00C93159">
        <w:trPr>
          <w:tblCellSpacing w:w="22"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36</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37</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38</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39</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40</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41</w:t>
            </w:r>
          </w:p>
        </w:tc>
        <w:tc>
          <w:tcPr>
            <w:tcW w:w="3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42</w:t>
            </w:r>
          </w:p>
        </w:tc>
        <w:tc>
          <w:tcPr>
            <w:tcW w:w="5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43</w:t>
            </w:r>
          </w:p>
        </w:tc>
        <w:tc>
          <w:tcPr>
            <w:tcW w:w="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44</w:t>
            </w:r>
          </w:p>
        </w:tc>
        <w:tc>
          <w:tcPr>
            <w:tcW w:w="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45</w:t>
            </w:r>
          </w:p>
        </w:tc>
        <w:tc>
          <w:tcPr>
            <w:tcW w:w="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46</w:t>
            </w:r>
          </w:p>
        </w:tc>
        <w:tc>
          <w:tcPr>
            <w:tcW w:w="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47</w:t>
            </w:r>
          </w:p>
        </w:tc>
        <w:tc>
          <w:tcPr>
            <w:tcW w:w="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48</w:t>
            </w:r>
          </w:p>
        </w:tc>
      </w:tr>
    </w:tbl>
    <w:p w:rsidR="00C93159" w:rsidRPr="00C93159" w:rsidRDefault="00C93159" w:rsidP="00C93159">
      <w:pPr>
        <w:rPr>
          <w:lang w:val="uk-UA"/>
        </w:rPr>
      </w:pPr>
      <w:r w:rsidRPr="00C93159">
        <w:rPr>
          <w:lang w:val="uk-UA"/>
        </w:rPr>
        <w:br w:type="textWrapping" w:clear="all"/>
      </w:r>
    </w:p>
    <w:tbl>
      <w:tblPr>
        <w:tblW w:w="4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56"/>
        <w:gridCol w:w="534"/>
        <w:gridCol w:w="534"/>
        <w:gridCol w:w="534"/>
        <w:gridCol w:w="534"/>
        <w:gridCol w:w="534"/>
        <w:gridCol w:w="534"/>
        <w:gridCol w:w="1457"/>
        <w:gridCol w:w="1350"/>
        <w:gridCol w:w="1083"/>
      </w:tblGrid>
      <w:tr w:rsidR="00C93159" w:rsidRPr="00C93159" w:rsidTr="00C93159">
        <w:trPr>
          <w:tblCellSpacing w:w="22" w:type="dxa"/>
        </w:trPr>
        <w:tc>
          <w:tcPr>
            <w:tcW w:w="5000" w:type="pct"/>
            <w:gridSpan w:val="10"/>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КРЕДИТ (ДЕПОЗИТ У БАНКУ-БОРЖНИКУ)</w:t>
            </w:r>
          </w:p>
        </w:tc>
      </w:tr>
      <w:tr w:rsidR="00C93159" w:rsidRPr="00C93159" w:rsidTr="00C93159">
        <w:trPr>
          <w:tblCellSpacing w:w="22" w:type="dxa"/>
        </w:trPr>
        <w:tc>
          <w:tcPr>
            <w:tcW w:w="5000" w:type="pct"/>
            <w:gridSpan w:val="10"/>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pPr>
            <w:r w:rsidRPr="00C93159">
              <w:rPr>
                <w:sz w:val="20"/>
                <w:szCs w:val="20"/>
              </w:rPr>
              <w:t> </w:t>
            </w:r>
          </w:p>
        </w:tc>
      </w:tr>
      <w:tr w:rsidR="00C93159" w:rsidRPr="00C93159" w:rsidTr="00C93159">
        <w:trPr>
          <w:tblCellSpacing w:w="22" w:type="dxa"/>
        </w:trPr>
        <w:tc>
          <w:tcPr>
            <w:tcW w:w="2450" w:type="pct"/>
            <w:gridSpan w:val="7"/>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pPr>
            <w:r w:rsidRPr="00C93159">
              <w:rPr>
                <w:sz w:val="20"/>
                <w:szCs w:val="20"/>
              </w:rPr>
              <w:t> </w:t>
            </w:r>
          </w:p>
        </w:tc>
        <w:tc>
          <w:tcPr>
            <w:tcW w:w="1000" w:type="pct"/>
            <w:vMerge w:val="restar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планова дата наступного платежу за основною заборгованістю</w:t>
            </w:r>
          </w:p>
        </w:tc>
        <w:tc>
          <w:tcPr>
            <w:tcW w:w="850" w:type="pct"/>
            <w:vMerge w:val="restar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планова дата наступного платежу за нарахованими доходами</w:t>
            </w:r>
          </w:p>
        </w:tc>
        <w:tc>
          <w:tcPr>
            <w:tcW w:w="700" w:type="pct"/>
            <w:vMerge w:val="restar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планова дата погашення кредиту</w:t>
            </w:r>
          </w:p>
        </w:tc>
      </w:tr>
      <w:tr w:rsidR="00C93159" w:rsidRPr="00C93159" w:rsidTr="00C93159">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2028</w:t>
            </w:r>
          </w:p>
        </w:tc>
        <w:tc>
          <w:tcPr>
            <w:tcW w:w="3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2029</w:t>
            </w:r>
          </w:p>
        </w:tc>
        <w:tc>
          <w:tcPr>
            <w:tcW w:w="3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2030</w:t>
            </w:r>
          </w:p>
        </w:tc>
        <w:tc>
          <w:tcPr>
            <w:tcW w:w="3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2031</w:t>
            </w:r>
          </w:p>
        </w:tc>
        <w:tc>
          <w:tcPr>
            <w:tcW w:w="3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2032</w:t>
            </w:r>
          </w:p>
        </w:tc>
        <w:tc>
          <w:tcPr>
            <w:tcW w:w="3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2033</w:t>
            </w:r>
          </w:p>
        </w:tc>
        <w:tc>
          <w:tcPr>
            <w:tcW w:w="3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2034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r>
      <w:tr w:rsidR="00C93159" w:rsidRPr="00C93159" w:rsidTr="00C93159">
        <w:trPr>
          <w:tblCellSpacing w:w="22"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49</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50</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51</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52</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53</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54</w:t>
            </w:r>
          </w:p>
        </w:tc>
        <w:tc>
          <w:tcPr>
            <w:tcW w:w="3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55</w:t>
            </w:r>
          </w:p>
        </w:tc>
        <w:tc>
          <w:tcPr>
            <w:tcW w:w="10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56</w:t>
            </w:r>
          </w:p>
        </w:tc>
        <w:tc>
          <w:tcPr>
            <w:tcW w:w="8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57</w:t>
            </w:r>
          </w:p>
        </w:tc>
        <w:tc>
          <w:tcPr>
            <w:tcW w:w="7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58</w:t>
            </w:r>
          </w:p>
        </w:tc>
      </w:tr>
    </w:tbl>
    <w:p w:rsidR="00C93159" w:rsidRPr="00C93159" w:rsidRDefault="00C93159" w:rsidP="00C93159">
      <w:pPr>
        <w:rPr>
          <w:lang w:val="uk-UA"/>
        </w:rPr>
      </w:pPr>
      <w:r w:rsidRPr="00C93159">
        <w:rPr>
          <w:lang w:val="uk-UA"/>
        </w:rPr>
        <w:br w:type="textWrapping" w:clear="all"/>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116"/>
        <w:gridCol w:w="1094"/>
        <w:gridCol w:w="1094"/>
        <w:gridCol w:w="1094"/>
        <w:gridCol w:w="1094"/>
        <w:gridCol w:w="693"/>
        <w:gridCol w:w="562"/>
        <w:gridCol w:w="886"/>
        <w:gridCol w:w="784"/>
        <w:gridCol w:w="1116"/>
      </w:tblGrid>
      <w:tr w:rsidR="00C93159" w:rsidRPr="00C93159" w:rsidTr="00C93159">
        <w:trPr>
          <w:tblCellSpacing w:w="22" w:type="dxa"/>
        </w:trPr>
        <w:tc>
          <w:tcPr>
            <w:tcW w:w="5000" w:type="pct"/>
            <w:gridSpan w:val="10"/>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ЗАБЕЗПЕЧЕННЯ, надане банком-боржником</w:t>
            </w:r>
          </w:p>
        </w:tc>
      </w:tr>
      <w:tr w:rsidR="00C93159" w:rsidRPr="00C93159" w:rsidTr="00C93159">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код забезпечення за довідником НБУ S031</w:t>
            </w:r>
          </w:p>
        </w:tc>
        <w:tc>
          <w:tcPr>
            <w:tcW w:w="4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дата останньої перевірки банком наявності забезпечення</w:t>
            </w:r>
          </w:p>
        </w:tc>
        <w:tc>
          <w:tcPr>
            <w:tcW w:w="4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балансова вартість забезпечення (грн еквівалент)</w:t>
            </w:r>
          </w:p>
        </w:tc>
        <w:tc>
          <w:tcPr>
            <w:tcW w:w="4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дата незалежної оцінки забезпечення</w:t>
            </w:r>
          </w:p>
        </w:tc>
        <w:tc>
          <w:tcPr>
            <w:tcW w:w="4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оціночна вартість забезпечення (грн еквівалент)</w:t>
            </w:r>
          </w:p>
        </w:tc>
        <w:tc>
          <w:tcPr>
            <w:tcW w:w="2500" w:type="pct"/>
            <w:gridSpan w:val="4"/>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місце розташування застави</w:t>
            </w:r>
          </w:p>
        </w:tc>
        <w:tc>
          <w:tcPr>
            <w:tcW w:w="4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текстовий опис забезпечення</w:t>
            </w:r>
          </w:p>
        </w:tc>
      </w:tr>
      <w:tr w:rsidR="00C93159" w:rsidRPr="00C93159" w:rsidTr="00C93159">
        <w:trPr>
          <w:trHeight w:val="285"/>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700" w:type="pct"/>
            <w:vMerge w:val="restar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область</w:t>
            </w:r>
          </w:p>
        </w:tc>
        <w:tc>
          <w:tcPr>
            <w:tcW w:w="600" w:type="pct"/>
            <w:vMerge w:val="restar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район</w:t>
            </w:r>
          </w:p>
        </w:tc>
        <w:tc>
          <w:tcPr>
            <w:tcW w:w="600" w:type="pct"/>
            <w:vMerge w:val="restar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населений пункт</w:t>
            </w:r>
          </w:p>
        </w:tc>
        <w:tc>
          <w:tcPr>
            <w:tcW w:w="600" w:type="pct"/>
            <w:vMerge w:val="restar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вулиця, будинок, корпус, квартира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r>
      <w:tr w:rsidR="00C93159" w:rsidRPr="00C93159" w:rsidTr="00C93159">
        <w:trPr>
          <w:trHeight w:val="285"/>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r>
      <w:tr w:rsidR="00C93159" w:rsidRPr="00C93159" w:rsidTr="00C93159">
        <w:trPr>
          <w:tblCellSpacing w:w="22"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59</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60</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61</w:t>
            </w:r>
          </w:p>
        </w:tc>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62</w:t>
            </w:r>
          </w:p>
        </w:tc>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63</w:t>
            </w:r>
          </w:p>
        </w:tc>
        <w:tc>
          <w:tcPr>
            <w:tcW w:w="7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64</w:t>
            </w:r>
          </w:p>
        </w:tc>
        <w:tc>
          <w:tcPr>
            <w:tcW w:w="6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65</w:t>
            </w:r>
          </w:p>
        </w:tc>
        <w:tc>
          <w:tcPr>
            <w:tcW w:w="6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66</w:t>
            </w:r>
          </w:p>
        </w:tc>
        <w:tc>
          <w:tcPr>
            <w:tcW w:w="6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67</w:t>
            </w:r>
          </w:p>
        </w:tc>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68</w:t>
            </w:r>
          </w:p>
        </w:tc>
      </w:tr>
    </w:tbl>
    <w:p w:rsidR="00C93159" w:rsidRPr="00C93159" w:rsidRDefault="00C93159" w:rsidP="00C93159">
      <w:pPr>
        <w:rPr>
          <w:lang w:val="uk-UA"/>
        </w:rPr>
      </w:pPr>
      <w:r w:rsidRPr="00C93159">
        <w:rPr>
          <w:lang w:val="uk-UA"/>
        </w:rPr>
        <w:br w:type="textWrapping" w:clear="all"/>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94"/>
        <w:gridCol w:w="1070"/>
        <w:gridCol w:w="1348"/>
        <w:gridCol w:w="1079"/>
        <w:gridCol w:w="947"/>
        <w:gridCol w:w="1055"/>
        <w:gridCol w:w="999"/>
        <w:gridCol w:w="1047"/>
        <w:gridCol w:w="994"/>
      </w:tblGrid>
      <w:tr w:rsidR="00C93159" w:rsidRPr="00C93159" w:rsidTr="00C93159">
        <w:trPr>
          <w:tblCellSpacing w:w="22" w:type="dxa"/>
        </w:trPr>
        <w:tc>
          <w:tcPr>
            <w:tcW w:w="5000" w:type="pct"/>
            <w:gridSpan w:val="9"/>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pPr>
            <w:r w:rsidRPr="00C93159">
              <w:rPr>
                <w:sz w:val="20"/>
                <w:szCs w:val="20"/>
              </w:rPr>
              <w:t> </w:t>
            </w:r>
          </w:p>
        </w:tc>
      </w:tr>
      <w:tr w:rsidR="00C93159" w:rsidRPr="00C93159" w:rsidTr="00C93159">
        <w:trPr>
          <w:trHeight w:val="285"/>
          <w:tblCellSpacing w:w="22"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 xml:space="preserve">ознака наявності арешту на відчуження забезпечення (0 - відсутній арешт, </w:t>
            </w:r>
            <w:r w:rsidRPr="00C93159">
              <w:rPr>
                <w:sz w:val="20"/>
                <w:szCs w:val="20"/>
              </w:rPr>
              <w:br/>
              <w:t>1 - накладено арешт)</w:t>
            </w:r>
          </w:p>
        </w:tc>
        <w:tc>
          <w:tcPr>
            <w:tcW w:w="5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ознака внесення у державні реєстри інформації про обтяження на предмет застави (забезпечення) (0 - є інформація у державних реєстрах, 1 - відсутня інформаці</w:t>
            </w:r>
            <w:r w:rsidRPr="00C93159">
              <w:rPr>
                <w:sz w:val="20"/>
                <w:szCs w:val="20"/>
              </w:rPr>
              <w:lastRenderedPageBreak/>
              <w:t>я у державних реєстрах)</w:t>
            </w:r>
          </w:p>
        </w:tc>
        <w:tc>
          <w:tcPr>
            <w:tcW w:w="7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lastRenderedPageBreak/>
              <w:t xml:space="preserve">ознака, що банк є єдиним заставодержателем або заставодержателем першої черги </w:t>
            </w:r>
            <w:r w:rsidRPr="00C93159">
              <w:rPr>
                <w:sz w:val="20"/>
                <w:szCs w:val="20"/>
              </w:rPr>
              <w:br/>
              <w:t xml:space="preserve">(0 - перший/єдиний заставодержатель, </w:t>
            </w:r>
            <w:r w:rsidRPr="00C93159">
              <w:rPr>
                <w:sz w:val="20"/>
                <w:szCs w:val="20"/>
              </w:rPr>
              <w:br/>
              <w:t>1 - не перший заставодержатель)</w:t>
            </w:r>
          </w:p>
        </w:tc>
        <w:tc>
          <w:tcPr>
            <w:tcW w:w="5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опис предмета спору щодо стягнення заборгованості</w:t>
            </w:r>
          </w:p>
        </w:tc>
        <w:tc>
          <w:tcPr>
            <w:tcW w:w="5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 xml:space="preserve">стадія претензійно- позовної роботи (код): 0 - немає предмета спору; 1 - софт-колекшн,  2 - хард-колекшн, претензія; 3 - позов у першій інстанції; 4 - </w:t>
            </w:r>
            <w:r w:rsidRPr="00C93159">
              <w:rPr>
                <w:sz w:val="20"/>
                <w:szCs w:val="20"/>
              </w:rPr>
              <w:lastRenderedPageBreak/>
              <w:t>апеляція; 5 - касація; 6 - державна виконавча служба, договірне стягнення; 7 - подальше звернення стягнення неможливе)</w:t>
            </w:r>
          </w:p>
        </w:tc>
        <w:tc>
          <w:tcPr>
            <w:tcW w:w="5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lastRenderedPageBreak/>
              <w:t xml:space="preserve">результат останнього судового розгляду </w:t>
            </w:r>
            <w:r w:rsidRPr="00C93159">
              <w:rPr>
                <w:sz w:val="20"/>
                <w:szCs w:val="20"/>
              </w:rPr>
              <w:br/>
              <w:t>(0 - на користь банку;</w:t>
            </w:r>
            <w:r w:rsidRPr="00C93159">
              <w:rPr>
                <w:sz w:val="20"/>
                <w:szCs w:val="20"/>
              </w:rPr>
              <w:br/>
              <w:t>1 - на користь позичальника)</w:t>
            </w:r>
          </w:p>
        </w:tc>
        <w:tc>
          <w:tcPr>
            <w:tcW w:w="5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ознака законодавчих заборон на відчуження забезпечення (0 - відсутні заборони, 1 - є заборони)</w:t>
            </w:r>
          </w:p>
        </w:tc>
        <w:tc>
          <w:tcPr>
            <w:tcW w:w="5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ЄДРПОУ/ реєстраційний номер облікової картки платника податків особи - власника активів, переданих у забезпечення, поручителя, гаранта</w:t>
            </w:r>
          </w:p>
        </w:tc>
        <w:tc>
          <w:tcPr>
            <w:tcW w:w="5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 xml:space="preserve">ознака заміни забезпечення за кредитом протягом останніх дванадцяти місяців </w:t>
            </w:r>
            <w:r w:rsidRPr="00C93159">
              <w:rPr>
                <w:sz w:val="20"/>
                <w:szCs w:val="20"/>
              </w:rPr>
              <w:br/>
              <w:t>(0 - не було заміни;</w:t>
            </w:r>
            <w:r w:rsidRPr="00C93159">
              <w:rPr>
                <w:sz w:val="20"/>
                <w:szCs w:val="20"/>
              </w:rPr>
              <w:br/>
              <w:t>1 - була заміна)</w:t>
            </w:r>
          </w:p>
        </w:tc>
      </w:tr>
      <w:tr w:rsidR="00C93159" w:rsidRPr="00C93159" w:rsidTr="00C93159">
        <w:trPr>
          <w:trHeight w:val="285"/>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r>
      <w:tr w:rsidR="00C93159" w:rsidRPr="00C93159" w:rsidTr="00C93159">
        <w:trPr>
          <w:tblCellSpacing w:w="22"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lastRenderedPageBreak/>
              <w:t>69</w:t>
            </w:r>
          </w:p>
        </w:tc>
        <w:tc>
          <w:tcPr>
            <w:tcW w:w="5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70</w:t>
            </w:r>
          </w:p>
        </w:tc>
        <w:tc>
          <w:tcPr>
            <w:tcW w:w="7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71</w:t>
            </w:r>
          </w:p>
        </w:tc>
        <w:tc>
          <w:tcPr>
            <w:tcW w:w="5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72</w:t>
            </w:r>
          </w:p>
        </w:tc>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73</w:t>
            </w:r>
          </w:p>
        </w:tc>
        <w:tc>
          <w:tcPr>
            <w:tcW w:w="5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74</w:t>
            </w:r>
          </w:p>
        </w:tc>
        <w:tc>
          <w:tcPr>
            <w:tcW w:w="5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75</w:t>
            </w:r>
          </w:p>
        </w:tc>
        <w:tc>
          <w:tcPr>
            <w:tcW w:w="5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76</w:t>
            </w:r>
          </w:p>
        </w:tc>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77</w:t>
            </w:r>
          </w:p>
        </w:tc>
      </w:tr>
    </w:tbl>
    <w:p w:rsidR="00C93159" w:rsidRPr="00C93159" w:rsidRDefault="00C93159" w:rsidP="00C93159">
      <w:pPr>
        <w:rPr>
          <w:lang w:val="uk-UA"/>
        </w:rPr>
      </w:pPr>
      <w:r w:rsidRPr="00C93159">
        <w:rPr>
          <w:lang w:val="uk-UA"/>
        </w:rPr>
        <w:br w:type="textWrapping" w:clear="all"/>
      </w:r>
    </w:p>
    <w:tbl>
      <w:tblPr>
        <w:tblW w:w="275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852"/>
        <w:gridCol w:w="1489"/>
        <w:gridCol w:w="1120"/>
        <w:gridCol w:w="1052"/>
        <w:gridCol w:w="1169"/>
      </w:tblGrid>
      <w:tr w:rsidR="00C93159" w:rsidRPr="00C93159" w:rsidTr="00C93159">
        <w:trPr>
          <w:tblCellSpacing w:w="22" w:type="dxa"/>
        </w:trPr>
        <w:tc>
          <w:tcPr>
            <w:tcW w:w="5000" w:type="pct"/>
            <w:gridSpan w:val="5"/>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ІНШІ ДАНІ</w:t>
            </w:r>
          </w:p>
        </w:tc>
      </w:tr>
      <w:tr w:rsidR="00C93159" w:rsidRPr="00C93159" w:rsidTr="00C93159">
        <w:trPr>
          <w:tblCellSpacing w:w="22" w:type="dxa"/>
        </w:trPr>
        <w:tc>
          <w:tcPr>
            <w:tcW w:w="1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найменування та ЄДРПОУ / реєстраційний номер облікової картки платника податків кредитора (заставодержателя), якому передані права вимоги за кредитом у забезпечення за зобов'язаннями банку (кредиту рефінансування тощо)</w:t>
            </w:r>
          </w:p>
        </w:tc>
        <w:tc>
          <w:tcPr>
            <w:tcW w:w="11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N договору, за яким передані права вимоги за кредитом у забезпечення за зобов'язаннями банку (кредиту рефінансування тощо)</w:t>
            </w:r>
          </w:p>
        </w:tc>
        <w:tc>
          <w:tcPr>
            <w:tcW w:w="8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ознака накладення арешту на відчуження майнових прав на кредит</w:t>
            </w:r>
          </w:p>
        </w:tc>
        <w:tc>
          <w:tcPr>
            <w:tcW w:w="8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примітки (коментарі щодо наведених даних)</w:t>
            </w:r>
          </w:p>
        </w:tc>
        <w:tc>
          <w:tcPr>
            <w:tcW w:w="8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інше (додаткова інформація, що є важливою для оцінки вартості кредиту)</w:t>
            </w:r>
          </w:p>
        </w:tc>
      </w:tr>
      <w:tr w:rsidR="00C93159" w:rsidRPr="00C93159" w:rsidTr="00C93159">
        <w:trPr>
          <w:tblCellSpacing w:w="22" w:type="dxa"/>
        </w:trPr>
        <w:tc>
          <w:tcPr>
            <w:tcW w:w="1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78</w:t>
            </w:r>
          </w:p>
        </w:tc>
        <w:tc>
          <w:tcPr>
            <w:tcW w:w="11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79</w:t>
            </w:r>
          </w:p>
        </w:tc>
        <w:tc>
          <w:tcPr>
            <w:tcW w:w="8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80</w:t>
            </w:r>
          </w:p>
        </w:tc>
        <w:tc>
          <w:tcPr>
            <w:tcW w:w="8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81</w:t>
            </w:r>
          </w:p>
        </w:tc>
        <w:tc>
          <w:tcPr>
            <w:tcW w:w="8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82</w:t>
            </w:r>
          </w:p>
        </w:tc>
      </w:tr>
    </w:tbl>
    <w:p w:rsidR="00C93159" w:rsidRPr="00C93159" w:rsidRDefault="00C93159" w:rsidP="00C93159">
      <w:pPr>
        <w:rPr>
          <w:lang w:val="uk-UA"/>
        </w:rPr>
      </w:pPr>
      <w:r w:rsidRPr="00C93159">
        <w:rPr>
          <w:lang w:val="uk-UA"/>
        </w:rPr>
        <w:br w:type="textWrapping" w:clear="all"/>
      </w:r>
    </w:p>
    <w:p w:rsidR="00C93159" w:rsidRPr="00C93159" w:rsidRDefault="00C93159" w:rsidP="00C93159">
      <w:pPr>
        <w:pStyle w:val="3"/>
        <w:jc w:val="center"/>
        <w:rPr>
          <w:lang w:val="uk-UA"/>
        </w:rPr>
      </w:pPr>
      <w:r w:rsidRPr="00C93159">
        <w:rPr>
          <w:lang w:val="uk-UA"/>
        </w:rPr>
        <w:t>Таблиця 3. Суттєві характеристики нерухомого майна</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11"/>
        <w:gridCol w:w="829"/>
        <w:gridCol w:w="818"/>
        <w:gridCol w:w="927"/>
        <w:gridCol w:w="606"/>
        <w:gridCol w:w="495"/>
        <w:gridCol w:w="768"/>
        <w:gridCol w:w="683"/>
        <w:gridCol w:w="750"/>
        <w:gridCol w:w="789"/>
        <w:gridCol w:w="1232"/>
        <w:gridCol w:w="725"/>
      </w:tblGrid>
      <w:tr w:rsidR="00C93159" w:rsidRPr="00C93159" w:rsidTr="00C93159">
        <w:trPr>
          <w:tblCellSpacing w:w="22" w:type="dxa"/>
        </w:trPr>
        <w:tc>
          <w:tcPr>
            <w:tcW w:w="5000" w:type="pct"/>
            <w:gridSpan w:val="12"/>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ОПИС ОБ'ЄКТА</w:t>
            </w:r>
          </w:p>
        </w:tc>
      </w:tr>
      <w:tr w:rsidR="00C93159" w:rsidRPr="00C93159" w:rsidTr="00C93159">
        <w:trPr>
          <w:tblCellSpacing w:w="22"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інвентарний номер</w:t>
            </w:r>
          </w:p>
        </w:tc>
        <w:tc>
          <w:tcPr>
            <w:tcW w:w="3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балансова вартість (грн еквівалент)</w:t>
            </w:r>
          </w:p>
        </w:tc>
        <w:tc>
          <w:tcPr>
            <w:tcW w:w="3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дата незалежної оцінки</w:t>
            </w:r>
          </w:p>
        </w:tc>
        <w:tc>
          <w:tcPr>
            <w:tcW w:w="3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оціночна вартість об'єкта нерухомості, якою володіє банк (грн еквівалент)</w:t>
            </w:r>
          </w:p>
        </w:tc>
        <w:tc>
          <w:tcPr>
            <w:tcW w:w="1750" w:type="pct"/>
            <w:gridSpan w:val="4"/>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місце розташування</w:t>
            </w:r>
          </w:p>
        </w:tc>
        <w:tc>
          <w:tcPr>
            <w:tcW w:w="3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текстовий опис</w:t>
            </w:r>
          </w:p>
        </w:tc>
        <w:tc>
          <w:tcPr>
            <w:tcW w:w="3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дата придбання</w:t>
            </w:r>
          </w:p>
        </w:tc>
        <w:tc>
          <w:tcPr>
            <w:tcW w:w="7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цільове призначення об'єкта нерухомості (адміністративно-офісне, складське, виробниче, торговельне, житлове тощо)</w:t>
            </w:r>
          </w:p>
        </w:tc>
        <w:tc>
          <w:tcPr>
            <w:tcW w:w="4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фізичний стан</w:t>
            </w:r>
          </w:p>
        </w:tc>
      </w:tr>
      <w:tr w:rsidR="00C93159" w:rsidRPr="00C93159" w:rsidTr="00C9315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область</w:t>
            </w:r>
          </w:p>
        </w:tc>
        <w:tc>
          <w:tcPr>
            <w:tcW w:w="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район</w:t>
            </w:r>
          </w:p>
        </w:tc>
        <w:tc>
          <w:tcPr>
            <w:tcW w:w="4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населений пункт</w:t>
            </w:r>
          </w:p>
        </w:tc>
        <w:tc>
          <w:tcPr>
            <w:tcW w:w="5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вулиця, будинок, корпус, квартира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r>
      <w:tr w:rsidR="00C93159" w:rsidRPr="00C93159" w:rsidTr="00C93159">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lastRenderedPageBreak/>
              <w:t>1</w:t>
            </w:r>
          </w:p>
        </w:tc>
        <w:tc>
          <w:tcPr>
            <w:tcW w:w="3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3</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4</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5</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6</w:t>
            </w:r>
          </w:p>
        </w:tc>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7</w:t>
            </w:r>
          </w:p>
        </w:tc>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8</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9</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10</w:t>
            </w:r>
          </w:p>
        </w:tc>
        <w:tc>
          <w:tcPr>
            <w:tcW w:w="7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11</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12</w:t>
            </w:r>
          </w:p>
        </w:tc>
      </w:tr>
    </w:tbl>
    <w:p w:rsidR="00C93159" w:rsidRPr="00C93159" w:rsidRDefault="00C93159" w:rsidP="00C93159">
      <w:pPr>
        <w:rPr>
          <w:lang w:val="uk-UA"/>
        </w:rPr>
      </w:pPr>
      <w:r w:rsidRPr="00C93159">
        <w:rPr>
          <w:lang w:val="uk-UA"/>
        </w:rPr>
        <w:br w:type="textWrapping" w:clear="all"/>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106"/>
        <w:gridCol w:w="891"/>
        <w:gridCol w:w="810"/>
        <w:gridCol w:w="1634"/>
        <w:gridCol w:w="930"/>
        <w:gridCol w:w="1075"/>
        <w:gridCol w:w="911"/>
        <w:gridCol w:w="1026"/>
        <w:gridCol w:w="1150"/>
      </w:tblGrid>
      <w:tr w:rsidR="00C93159" w:rsidRPr="00C93159" w:rsidTr="00C93159">
        <w:trPr>
          <w:tblCellSpacing w:w="22" w:type="dxa"/>
        </w:trPr>
        <w:tc>
          <w:tcPr>
            <w:tcW w:w="5000" w:type="pct"/>
            <w:gridSpan w:val="9"/>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 </w:t>
            </w:r>
          </w:p>
        </w:tc>
      </w:tr>
      <w:tr w:rsidR="00C93159" w:rsidRPr="00C93159" w:rsidTr="00C93159">
        <w:trPr>
          <w:trHeight w:val="285"/>
          <w:tblCellSpacing w:w="22" w:type="dxa"/>
        </w:trPr>
        <w:tc>
          <w:tcPr>
            <w:tcW w:w="5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поточне використання</w:t>
            </w:r>
          </w:p>
        </w:tc>
        <w:tc>
          <w:tcPr>
            <w:tcW w:w="3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загальна площа приміщень</w:t>
            </w:r>
          </w:p>
        </w:tc>
        <w:tc>
          <w:tcPr>
            <w:tcW w:w="4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площа земельної ділянки</w:t>
            </w:r>
          </w:p>
        </w:tc>
        <w:tc>
          <w:tcPr>
            <w:tcW w:w="9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ознака відсутності правовстановлюючих документів на активи (0 - наявні всі правовстановлюючі документи, 1 - відсутні деякі правовстановлюючі документи, 2 - відсутні основні правовстановлюючі документи)</w:t>
            </w:r>
          </w:p>
        </w:tc>
        <w:tc>
          <w:tcPr>
            <w:tcW w:w="6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 xml:space="preserve">ознака наявності арешту на відчуження (0 - відсутній арешт, </w:t>
            </w:r>
            <w:r w:rsidRPr="00C93159">
              <w:rPr>
                <w:sz w:val="20"/>
                <w:szCs w:val="20"/>
              </w:rPr>
              <w:br/>
              <w:t>1 - накладено арешт)</w:t>
            </w:r>
          </w:p>
        </w:tc>
        <w:tc>
          <w:tcPr>
            <w:tcW w:w="6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ознака законодавчих заборон на відчуження (0 - відсутні заборони, 1 - є заборони)</w:t>
            </w:r>
          </w:p>
        </w:tc>
        <w:tc>
          <w:tcPr>
            <w:tcW w:w="7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 xml:space="preserve">ознака внесення у державні реєстри інформації про обтяження (0 - є інформація у державних реєстрах, </w:t>
            </w:r>
            <w:r w:rsidRPr="00C93159">
              <w:rPr>
                <w:sz w:val="20"/>
                <w:szCs w:val="20"/>
              </w:rPr>
              <w:br/>
              <w:t>1 - відсутня інформація у державних реєстрах)</w:t>
            </w:r>
          </w:p>
        </w:tc>
        <w:tc>
          <w:tcPr>
            <w:tcW w:w="5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частка нерухомості, що належить банку</w:t>
            </w:r>
          </w:p>
        </w:tc>
        <w:tc>
          <w:tcPr>
            <w:tcW w:w="4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ЄДРПОУ / реєстраційний номер облікової картки платника податків осіб - співвласників активу</w:t>
            </w:r>
          </w:p>
        </w:tc>
      </w:tr>
      <w:tr w:rsidR="00C93159" w:rsidRPr="00C93159" w:rsidTr="00C93159">
        <w:trPr>
          <w:trHeight w:val="285"/>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r>
      <w:tr w:rsidR="00C93159" w:rsidRPr="00C93159" w:rsidTr="00C93159">
        <w:trPr>
          <w:trHeight w:val="285"/>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r>
      <w:tr w:rsidR="00C93159" w:rsidRPr="00C93159" w:rsidTr="00C93159">
        <w:trPr>
          <w:tblCellSpacing w:w="22"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13</w:t>
            </w:r>
          </w:p>
        </w:tc>
        <w:tc>
          <w:tcPr>
            <w:tcW w:w="3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14</w:t>
            </w:r>
          </w:p>
        </w:tc>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15</w:t>
            </w:r>
          </w:p>
        </w:tc>
        <w:tc>
          <w:tcPr>
            <w:tcW w:w="9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16</w:t>
            </w:r>
          </w:p>
        </w:tc>
        <w:tc>
          <w:tcPr>
            <w:tcW w:w="6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17</w:t>
            </w:r>
          </w:p>
        </w:tc>
        <w:tc>
          <w:tcPr>
            <w:tcW w:w="6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18</w:t>
            </w:r>
          </w:p>
        </w:tc>
        <w:tc>
          <w:tcPr>
            <w:tcW w:w="7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19</w:t>
            </w:r>
          </w:p>
        </w:tc>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20</w:t>
            </w:r>
          </w:p>
        </w:tc>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21</w:t>
            </w:r>
          </w:p>
        </w:tc>
      </w:tr>
    </w:tbl>
    <w:p w:rsidR="00C93159" w:rsidRPr="00C93159" w:rsidRDefault="00C93159" w:rsidP="00C93159">
      <w:pPr>
        <w:rPr>
          <w:lang w:val="uk-UA"/>
        </w:rPr>
      </w:pPr>
      <w:r w:rsidRPr="00C93159">
        <w:rPr>
          <w:lang w:val="uk-UA"/>
        </w:rPr>
        <w:br w:type="textWrapping" w:clear="all"/>
      </w:r>
    </w:p>
    <w:tbl>
      <w:tblPr>
        <w:tblW w:w="425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106"/>
        <w:gridCol w:w="1130"/>
        <w:gridCol w:w="1130"/>
        <w:gridCol w:w="1173"/>
        <w:gridCol w:w="1623"/>
        <w:gridCol w:w="1139"/>
        <w:gridCol w:w="1008"/>
        <w:gridCol w:w="1224"/>
      </w:tblGrid>
      <w:tr w:rsidR="00C93159" w:rsidRPr="00C93159" w:rsidTr="00C93159">
        <w:trPr>
          <w:tblCellSpacing w:w="22" w:type="dxa"/>
        </w:trPr>
        <w:tc>
          <w:tcPr>
            <w:tcW w:w="2400" w:type="pct"/>
            <w:gridSpan w:val="4"/>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НЕДОБУДОВИ</w:t>
            </w:r>
          </w:p>
        </w:tc>
        <w:tc>
          <w:tcPr>
            <w:tcW w:w="2600" w:type="pct"/>
            <w:gridSpan w:val="4"/>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center"/>
            </w:pPr>
            <w:r w:rsidRPr="00C93159">
              <w:rPr>
                <w:sz w:val="20"/>
                <w:szCs w:val="20"/>
              </w:rPr>
              <w:t>ІНШІ ДАНІ</w:t>
            </w:r>
          </w:p>
        </w:tc>
      </w:tr>
      <w:tr w:rsidR="00C93159" w:rsidRPr="00C93159" w:rsidTr="00C93159">
        <w:trPr>
          <w:tblCellSpacing w:w="22" w:type="dxa"/>
        </w:trPr>
        <w:tc>
          <w:tcPr>
            <w:tcW w:w="5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відсоток будівельної готовності</w:t>
            </w:r>
          </w:p>
        </w:tc>
        <w:tc>
          <w:tcPr>
            <w:tcW w:w="6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імовірність завершення будівництва</w:t>
            </w:r>
          </w:p>
        </w:tc>
        <w:tc>
          <w:tcPr>
            <w:tcW w:w="6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вартість об'єкта після завершення будівництва</w:t>
            </w:r>
          </w:p>
        </w:tc>
        <w:tc>
          <w:tcPr>
            <w:tcW w:w="6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очікувана дата завершення будівництва за найбільш сприятливих умов</w:t>
            </w:r>
          </w:p>
        </w:tc>
        <w:tc>
          <w:tcPr>
            <w:tcW w:w="7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ЄДРПОУ /</w:t>
            </w:r>
            <w:r w:rsidRPr="00C93159">
              <w:rPr>
                <w:sz w:val="20"/>
                <w:szCs w:val="20"/>
              </w:rPr>
              <w:br/>
              <w:t>реєстраційний номер облікової картки платника податків заставодержателя,</w:t>
            </w:r>
            <w:r w:rsidRPr="00C93159">
              <w:rPr>
                <w:sz w:val="20"/>
                <w:szCs w:val="20"/>
              </w:rPr>
              <w:br/>
              <w:t>якому передано кредит у забезпечення за зобов'язаннями банку (кредитом рефінансування тощо)</w:t>
            </w:r>
          </w:p>
        </w:tc>
        <w:tc>
          <w:tcPr>
            <w:tcW w:w="6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ознака накладення арешту на відчуження нерухомості</w:t>
            </w:r>
          </w:p>
        </w:tc>
        <w:tc>
          <w:tcPr>
            <w:tcW w:w="6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примітки (коментарі щодо наведених даних)</w:t>
            </w:r>
          </w:p>
        </w:tc>
        <w:tc>
          <w:tcPr>
            <w:tcW w:w="6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інше (додаткова інформація, що є важливою для оцінки вартості нерухомості)</w:t>
            </w:r>
          </w:p>
        </w:tc>
      </w:tr>
      <w:tr w:rsidR="00C93159" w:rsidRPr="00C93159" w:rsidTr="00C93159">
        <w:trPr>
          <w:tblCellSpacing w:w="22" w:type="dxa"/>
        </w:trPr>
        <w:tc>
          <w:tcPr>
            <w:tcW w:w="5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22</w:t>
            </w:r>
          </w:p>
        </w:tc>
        <w:tc>
          <w:tcPr>
            <w:tcW w:w="6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23</w:t>
            </w:r>
          </w:p>
        </w:tc>
        <w:tc>
          <w:tcPr>
            <w:tcW w:w="6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24</w:t>
            </w:r>
          </w:p>
        </w:tc>
        <w:tc>
          <w:tcPr>
            <w:tcW w:w="6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25</w:t>
            </w:r>
          </w:p>
        </w:tc>
        <w:tc>
          <w:tcPr>
            <w:tcW w:w="7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26</w:t>
            </w:r>
          </w:p>
        </w:tc>
        <w:tc>
          <w:tcPr>
            <w:tcW w:w="6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27</w:t>
            </w:r>
          </w:p>
        </w:tc>
        <w:tc>
          <w:tcPr>
            <w:tcW w:w="6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28</w:t>
            </w:r>
          </w:p>
        </w:tc>
        <w:tc>
          <w:tcPr>
            <w:tcW w:w="6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29</w:t>
            </w:r>
          </w:p>
        </w:tc>
      </w:tr>
    </w:tbl>
    <w:p w:rsidR="00C93159" w:rsidRPr="00C93159" w:rsidRDefault="00C93159" w:rsidP="00C93159">
      <w:pPr>
        <w:rPr>
          <w:lang w:val="uk-UA"/>
        </w:rPr>
      </w:pPr>
      <w:r w:rsidRPr="00C93159">
        <w:rPr>
          <w:lang w:val="uk-UA"/>
        </w:rPr>
        <w:br w:type="textWrapping" w:clear="all"/>
      </w:r>
    </w:p>
    <w:p w:rsidR="00C93159" w:rsidRPr="00C93159" w:rsidRDefault="00C93159" w:rsidP="00C93159">
      <w:pPr>
        <w:pStyle w:val="3"/>
        <w:jc w:val="center"/>
        <w:rPr>
          <w:lang w:val="uk-UA"/>
        </w:rPr>
      </w:pPr>
      <w:r w:rsidRPr="00C93159">
        <w:rPr>
          <w:lang w:val="uk-UA"/>
        </w:rPr>
        <w:t>Таблиця 4. Суттєві характеристики кредитного портфеля</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46"/>
        <w:gridCol w:w="980"/>
        <w:gridCol w:w="969"/>
        <w:gridCol w:w="586"/>
        <w:gridCol w:w="480"/>
        <w:gridCol w:w="450"/>
        <w:gridCol w:w="660"/>
        <w:gridCol w:w="1015"/>
        <w:gridCol w:w="702"/>
        <w:gridCol w:w="941"/>
        <w:gridCol w:w="941"/>
        <w:gridCol w:w="963"/>
      </w:tblGrid>
      <w:tr w:rsidR="00C93159" w:rsidRPr="00C93159" w:rsidTr="00C93159">
        <w:trPr>
          <w:tblCellSpacing w:w="22"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Унікальний код запису</w:t>
            </w:r>
          </w:p>
        </w:tc>
        <w:tc>
          <w:tcPr>
            <w:tcW w:w="4600" w:type="pct"/>
            <w:gridSpan w:val="11"/>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ПОЗИЧАЛЬНИК</w:t>
            </w:r>
          </w:p>
        </w:tc>
      </w:tr>
      <w:tr w:rsidR="00C93159" w:rsidRPr="00C93159" w:rsidTr="00C9315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4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 xml:space="preserve">ЄДРПОУ / </w:t>
            </w:r>
            <w:r w:rsidRPr="00C93159">
              <w:rPr>
                <w:sz w:val="20"/>
                <w:szCs w:val="20"/>
              </w:rPr>
              <w:lastRenderedPageBreak/>
              <w:t>реєстраційний номер облікової картки платника податків позичальника</w:t>
            </w:r>
          </w:p>
        </w:tc>
        <w:tc>
          <w:tcPr>
            <w:tcW w:w="4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lastRenderedPageBreak/>
              <w:t xml:space="preserve">найменування / П. </w:t>
            </w:r>
            <w:r w:rsidRPr="00C93159">
              <w:rPr>
                <w:sz w:val="20"/>
                <w:szCs w:val="20"/>
              </w:rPr>
              <w:lastRenderedPageBreak/>
              <w:t>І. Б. позичальника</w:t>
            </w:r>
          </w:p>
        </w:tc>
        <w:tc>
          <w:tcPr>
            <w:tcW w:w="1800" w:type="pct"/>
            <w:gridSpan w:val="4"/>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lastRenderedPageBreak/>
              <w:t>місцезнаходження позичальника</w:t>
            </w:r>
          </w:p>
        </w:tc>
        <w:tc>
          <w:tcPr>
            <w:tcW w:w="5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контролер позичальн</w:t>
            </w:r>
            <w:r w:rsidRPr="00C93159">
              <w:rPr>
                <w:sz w:val="20"/>
                <w:szCs w:val="20"/>
              </w:rPr>
              <w:lastRenderedPageBreak/>
              <w:t>ика (найменування / П. І. Б. / фінансова група тощо)</w:t>
            </w:r>
          </w:p>
        </w:tc>
        <w:tc>
          <w:tcPr>
            <w:tcW w:w="3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lastRenderedPageBreak/>
              <w:t>ознака інсайд</w:t>
            </w:r>
            <w:r w:rsidRPr="00C93159">
              <w:rPr>
                <w:sz w:val="20"/>
                <w:szCs w:val="20"/>
              </w:rPr>
              <w:lastRenderedPageBreak/>
              <w:t>ера</w:t>
            </w:r>
          </w:p>
        </w:tc>
        <w:tc>
          <w:tcPr>
            <w:tcW w:w="4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lastRenderedPageBreak/>
              <w:t>вид діяльнос</w:t>
            </w:r>
            <w:r w:rsidRPr="00C93159">
              <w:rPr>
                <w:sz w:val="20"/>
                <w:szCs w:val="20"/>
              </w:rPr>
              <w:lastRenderedPageBreak/>
              <w:t>ті позичальника (КВЕД)</w:t>
            </w:r>
          </w:p>
        </w:tc>
        <w:tc>
          <w:tcPr>
            <w:tcW w:w="3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lastRenderedPageBreak/>
              <w:t>клас позичаль</w:t>
            </w:r>
            <w:r w:rsidRPr="00C93159">
              <w:rPr>
                <w:sz w:val="20"/>
                <w:szCs w:val="20"/>
              </w:rPr>
              <w:lastRenderedPageBreak/>
              <w:t>ника</w:t>
            </w:r>
          </w:p>
        </w:tc>
        <w:tc>
          <w:tcPr>
            <w:tcW w:w="3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lastRenderedPageBreak/>
              <w:t>кількість персонал</w:t>
            </w:r>
            <w:r w:rsidRPr="00C93159">
              <w:rPr>
                <w:sz w:val="20"/>
                <w:szCs w:val="20"/>
              </w:rPr>
              <w:lastRenderedPageBreak/>
              <w:t>у позичальника юридичної особи (на останню дату)</w:t>
            </w:r>
          </w:p>
        </w:tc>
      </w:tr>
      <w:tr w:rsidR="00C93159" w:rsidRPr="00C93159" w:rsidTr="00C9315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3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область</w:t>
            </w:r>
          </w:p>
        </w:tc>
        <w:tc>
          <w:tcPr>
            <w:tcW w:w="3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район</w:t>
            </w:r>
          </w:p>
        </w:tc>
        <w:tc>
          <w:tcPr>
            <w:tcW w:w="2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місто</w:t>
            </w:r>
          </w:p>
        </w:tc>
        <w:tc>
          <w:tcPr>
            <w:tcW w:w="9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вулиця, будинок, корпус, квартира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r>
      <w:tr w:rsidR="00C93159" w:rsidRPr="00C93159" w:rsidTr="00C93159">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lastRenderedPageBreak/>
              <w:t>1</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w:t>
            </w:r>
          </w:p>
        </w:tc>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3</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4</w:t>
            </w:r>
          </w:p>
        </w:tc>
        <w:tc>
          <w:tcPr>
            <w:tcW w:w="3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5</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6</w:t>
            </w:r>
          </w:p>
        </w:tc>
        <w:tc>
          <w:tcPr>
            <w:tcW w:w="9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7</w:t>
            </w:r>
          </w:p>
        </w:tc>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8</w:t>
            </w:r>
          </w:p>
        </w:tc>
        <w:tc>
          <w:tcPr>
            <w:tcW w:w="3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9</w:t>
            </w:r>
          </w:p>
        </w:tc>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10</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11</w:t>
            </w:r>
          </w:p>
        </w:tc>
        <w:tc>
          <w:tcPr>
            <w:tcW w:w="3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12</w:t>
            </w:r>
          </w:p>
        </w:tc>
      </w:tr>
    </w:tbl>
    <w:p w:rsidR="00C93159" w:rsidRPr="00C93159" w:rsidRDefault="00C93159" w:rsidP="00C93159">
      <w:pPr>
        <w:rPr>
          <w:lang w:val="uk-UA"/>
        </w:rPr>
      </w:pPr>
      <w:r w:rsidRPr="00C93159">
        <w:rPr>
          <w:lang w:val="uk-UA"/>
        </w:rPr>
        <w:br w:type="textWrapping" w:clear="all"/>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51"/>
        <w:gridCol w:w="828"/>
        <w:gridCol w:w="828"/>
        <w:gridCol w:w="828"/>
        <w:gridCol w:w="828"/>
        <w:gridCol w:w="828"/>
        <w:gridCol w:w="845"/>
        <w:gridCol w:w="965"/>
        <w:gridCol w:w="828"/>
        <w:gridCol w:w="1171"/>
        <w:gridCol w:w="733"/>
      </w:tblGrid>
      <w:tr w:rsidR="00C93159" w:rsidRPr="00C93159" w:rsidTr="00C93159">
        <w:trPr>
          <w:tblCellSpacing w:w="22" w:type="dxa"/>
        </w:trPr>
        <w:tc>
          <w:tcPr>
            <w:tcW w:w="5000" w:type="pct"/>
            <w:gridSpan w:val="11"/>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 </w:t>
            </w:r>
          </w:p>
        </w:tc>
      </w:tr>
      <w:tr w:rsidR="00C93159" w:rsidRPr="00C93159" w:rsidTr="00C93159">
        <w:trPr>
          <w:tblCellSpacing w:w="22" w:type="dxa"/>
        </w:trPr>
        <w:tc>
          <w:tcPr>
            <w:tcW w:w="4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 xml:space="preserve">виручка від основної діяльності позичальника - </w:t>
            </w:r>
            <w:r w:rsidRPr="00C93159">
              <w:rPr>
                <w:sz w:val="20"/>
                <w:szCs w:val="20"/>
              </w:rPr>
              <w:br/>
              <w:t>юридичної особи за останній рік / доходи фізичної особи (на останню дату)</w:t>
            </w:r>
          </w:p>
        </w:tc>
        <w:tc>
          <w:tcPr>
            <w:tcW w:w="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 xml:space="preserve">EBITDA позичальника - </w:t>
            </w:r>
            <w:r w:rsidRPr="00C93159">
              <w:rPr>
                <w:sz w:val="20"/>
                <w:szCs w:val="20"/>
              </w:rPr>
              <w:br/>
              <w:t>юридичної особи за останній рік (на останню дату)</w:t>
            </w:r>
          </w:p>
        </w:tc>
        <w:tc>
          <w:tcPr>
            <w:tcW w:w="5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фінансові витрати позичальника -</w:t>
            </w:r>
            <w:r w:rsidRPr="00C93159">
              <w:rPr>
                <w:sz w:val="20"/>
                <w:szCs w:val="20"/>
              </w:rPr>
              <w:br/>
              <w:t>юридичної особи за останній рік (на останню дату, приведена до річного значення)</w:t>
            </w:r>
          </w:p>
        </w:tc>
        <w:tc>
          <w:tcPr>
            <w:tcW w:w="4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балансова вартість активів позичальника -</w:t>
            </w:r>
            <w:r w:rsidRPr="00C93159">
              <w:rPr>
                <w:sz w:val="20"/>
                <w:szCs w:val="20"/>
              </w:rPr>
              <w:br/>
              <w:t>юридичної особи (на останню дату)</w:t>
            </w:r>
          </w:p>
        </w:tc>
        <w:tc>
          <w:tcPr>
            <w:tcW w:w="5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балансова вартість основних засобів позичальника - юридичної особи / вартість майна фізичної особи (на останню дату)</w:t>
            </w:r>
          </w:p>
        </w:tc>
        <w:tc>
          <w:tcPr>
            <w:tcW w:w="4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балансова вартість власного капіталу позичальника -</w:t>
            </w:r>
            <w:r w:rsidRPr="00C93159">
              <w:rPr>
                <w:sz w:val="20"/>
                <w:szCs w:val="20"/>
              </w:rPr>
              <w:br/>
              <w:t>юридичної особи (на останню дату)</w:t>
            </w:r>
          </w:p>
        </w:tc>
        <w:tc>
          <w:tcPr>
            <w:tcW w:w="4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довгострокові зобов'язання позичальника -</w:t>
            </w:r>
            <w:r w:rsidRPr="00C93159">
              <w:rPr>
                <w:sz w:val="20"/>
                <w:szCs w:val="20"/>
              </w:rPr>
              <w:br/>
              <w:t>юридичної особи (на останню дату)</w:t>
            </w:r>
          </w:p>
        </w:tc>
        <w:tc>
          <w:tcPr>
            <w:tcW w:w="4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короткострокові зобов'язання із банківських кредитів позичальника -</w:t>
            </w:r>
            <w:r w:rsidRPr="00C93159">
              <w:rPr>
                <w:sz w:val="20"/>
                <w:szCs w:val="20"/>
              </w:rPr>
              <w:br/>
              <w:t>юридичної особи (на останню дату)</w:t>
            </w:r>
          </w:p>
        </w:tc>
        <w:tc>
          <w:tcPr>
            <w:tcW w:w="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дата, на яку надані балансові дані позичальника (остання дата)</w:t>
            </w:r>
          </w:p>
        </w:tc>
        <w:tc>
          <w:tcPr>
            <w:tcW w:w="4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ознака ліквідації (смерті позичальника) (0 - живий, 1 - визнано банкрутом; 2 - ліквідований/помер)</w:t>
            </w:r>
          </w:p>
        </w:tc>
        <w:tc>
          <w:tcPr>
            <w:tcW w:w="5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ознака заміни боржника за кредитом протягом останніх дванадцяти місяців (1 - була заміна, 0 - не було заміни)</w:t>
            </w:r>
          </w:p>
        </w:tc>
      </w:tr>
      <w:tr w:rsidR="00C93159" w:rsidRPr="00C93159" w:rsidTr="00C93159">
        <w:trPr>
          <w:tblCellSpacing w:w="22"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13</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14</w:t>
            </w:r>
          </w:p>
        </w:tc>
        <w:tc>
          <w:tcPr>
            <w:tcW w:w="5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15</w:t>
            </w:r>
          </w:p>
        </w:tc>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16</w:t>
            </w:r>
          </w:p>
        </w:tc>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17</w:t>
            </w:r>
          </w:p>
        </w:tc>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18</w:t>
            </w:r>
          </w:p>
        </w:tc>
        <w:tc>
          <w:tcPr>
            <w:tcW w:w="4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19</w:t>
            </w:r>
          </w:p>
        </w:tc>
        <w:tc>
          <w:tcPr>
            <w:tcW w:w="4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20</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21</w:t>
            </w:r>
          </w:p>
        </w:tc>
        <w:tc>
          <w:tcPr>
            <w:tcW w:w="4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22</w:t>
            </w:r>
          </w:p>
        </w:tc>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23</w:t>
            </w:r>
          </w:p>
        </w:tc>
      </w:tr>
    </w:tbl>
    <w:p w:rsidR="00C93159" w:rsidRPr="00C93159" w:rsidRDefault="00C93159" w:rsidP="00C93159">
      <w:pPr>
        <w:rPr>
          <w:lang w:val="uk-UA"/>
        </w:rPr>
      </w:pPr>
      <w:r w:rsidRPr="00C93159">
        <w:rPr>
          <w:lang w:val="uk-UA"/>
        </w:rPr>
        <w:br w:type="textWrapping" w:clear="all"/>
      </w:r>
    </w:p>
    <w:tbl>
      <w:tblPr>
        <w:tblW w:w="15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128"/>
        <w:gridCol w:w="1095"/>
        <w:gridCol w:w="1128"/>
      </w:tblGrid>
      <w:tr w:rsidR="00C93159" w:rsidRPr="00C93159" w:rsidTr="00C93159">
        <w:trPr>
          <w:tblCellSpacing w:w="22" w:type="dxa"/>
        </w:trPr>
        <w:tc>
          <w:tcPr>
            <w:tcW w:w="5000" w:type="pct"/>
            <w:gridSpan w:val="3"/>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pPr>
            <w:r w:rsidRPr="00C93159">
              <w:rPr>
                <w:sz w:val="20"/>
                <w:szCs w:val="20"/>
              </w:rPr>
              <w:t>КРЕДИТ</w:t>
            </w:r>
          </w:p>
        </w:tc>
      </w:tr>
      <w:tr w:rsidR="00C93159" w:rsidRPr="00C93159" w:rsidTr="00C93159">
        <w:trPr>
          <w:trHeight w:val="285"/>
          <w:tblCellSpacing w:w="22" w:type="dxa"/>
        </w:trPr>
        <w:tc>
          <w:tcPr>
            <w:tcW w:w="17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pPr>
            <w:r w:rsidRPr="00C93159">
              <w:rPr>
                <w:sz w:val="20"/>
                <w:szCs w:val="20"/>
              </w:rPr>
              <w:t>N кредитного договору</w:t>
            </w:r>
          </w:p>
        </w:tc>
        <w:tc>
          <w:tcPr>
            <w:tcW w:w="16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pPr>
            <w:r w:rsidRPr="00C93159">
              <w:rPr>
                <w:sz w:val="20"/>
                <w:szCs w:val="20"/>
              </w:rPr>
              <w:t>унікальний код валютної лінії</w:t>
            </w:r>
          </w:p>
        </w:tc>
        <w:tc>
          <w:tcPr>
            <w:tcW w:w="16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pPr>
            <w:r w:rsidRPr="00C93159">
              <w:rPr>
                <w:sz w:val="20"/>
                <w:szCs w:val="20"/>
              </w:rPr>
              <w:t>дата кредитного договору</w:t>
            </w:r>
          </w:p>
        </w:tc>
      </w:tr>
      <w:tr w:rsidR="00C93159" w:rsidRPr="00C93159" w:rsidTr="00C93159">
        <w:trPr>
          <w:trHeight w:val="285"/>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r>
      <w:tr w:rsidR="00C93159" w:rsidRPr="00C93159" w:rsidTr="00C93159">
        <w:trPr>
          <w:trHeight w:val="285"/>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r>
      <w:tr w:rsidR="00C93159" w:rsidRPr="00C93159" w:rsidTr="00C93159">
        <w:trPr>
          <w:tblCellSpacing w:w="22" w:type="dxa"/>
        </w:trPr>
        <w:tc>
          <w:tcPr>
            <w:tcW w:w="17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pPr>
            <w:r w:rsidRPr="00C93159">
              <w:rPr>
                <w:sz w:val="20"/>
                <w:szCs w:val="20"/>
              </w:rPr>
              <w:t>24</w:t>
            </w:r>
          </w:p>
        </w:tc>
        <w:tc>
          <w:tcPr>
            <w:tcW w:w="16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pPr>
            <w:r w:rsidRPr="00C93159">
              <w:rPr>
                <w:sz w:val="20"/>
                <w:szCs w:val="20"/>
              </w:rPr>
              <w:t>25</w:t>
            </w:r>
          </w:p>
        </w:tc>
        <w:tc>
          <w:tcPr>
            <w:tcW w:w="16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pPr>
            <w:r w:rsidRPr="00C93159">
              <w:rPr>
                <w:sz w:val="20"/>
                <w:szCs w:val="20"/>
              </w:rPr>
              <w:t>26</w:t>
            </w:r>
          </w:p>
        </w:tc>
      </w:tr>
    </w:tbl>
    <w:p w:rsidR="00C93159" w:rsidRPr="00C93159" w:rsidRDefault="00C93159" w:rsidP="00C93159">
      <w:pPr>
        <w:rPr>
          <w:lang w:val="uk-UA"/>
        </w:rPr>
      </w:pPr>
      <w:r w:rsidRPr="00C93159">
        <w:rPr>
          <w:lang w:val="uk-UA"/>
        </w:rPr>
        <w:br w:type="textWrapping" w:clear="all"/>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49"/>
        <w:gridCol w:w="819"/>
        <w:gridCol w:w="719"/>
        <w:gridCol w:w="773"/>
        <w:gridCol w:w="806"/>
        <w:gridCol w:w="614"/>
        <w:gridCol w:w="1007"/>
        <w:gridCol w:w="1030"/>
        <w:gridCol w:w="895"/>
        <w:gridCol w:w="1030"/>
        <w:gridCol w:w="991"/>
      </w:tblGrid>
      <w:tr w:rsidR="00C93159" w:rsidRPr="00C93159" w:rsidTr="00C93159">
        <w:trPr>
          <w:tblCellSpacing w:w="22" w:type="dxa"/>
        </w:trPr>
        <w:tc>
          <w:tcPr>
            <w:tcW w:w="5000" w:type="pct"/>
            <w:gridSpan w:val="11"/>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КРЕДИТ</w:t>
            </w:r>
          </w:p>
        </w:tc>
      </w:tr>
      <w:tr w:rsidR="00C93159" w:rsidRPr="00C93159" w:rsidTr="00C93159">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балансовий рахунок</w:t>
            </w:r>
          </w:p>
        </w:tc>
        <w:tc>
          <w:tcPr>
            <w:tcW w:w="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вид кредитного продукту (назва, опис тощо)</w:t>
            </w:r>
          </w:p>
        </w:tc>
        <w:tc>
          <w:tcPr>
            <w:tcW w:w="3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код валюти (довідник НБУ)</w:t>
            </w:r>
          </w:p>
        </w:tc>
        <w:tc>
          <w:tcPr>
            <w:tcW w:w="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відсоткова ставка</w:t>
            </w:r>
          </w:p>
        </w:tc>
        <w:tc>
          <w:tcPr>
            <w:tcW w:w="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ставка комісійних та інших платежів (приведена до ефекти</w:t>
            </w:r>
            <w:r w:rsidRPr="00C93159">
              <w:rPr>
                <w:sz w:val="20"/>
                <w:szCs w:val="20"/>
              </w:rPr>
              <w:lastRenderedPageBreak/>
              <w:t>вної річної ставки)</w:t>
            </w:r>
          </w:p>
        </w:tc>
        <w:tc>
          <w:tcPr>
            <w:tcW w:w="3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lastRenderedPageBreak/>
              <w:t>дата видачі кредиту</w:t>
            </w:r>
          </w:p>
        </w:tc>
        <w:tc>
          <w:tcPr>
            <w:tcW w:w="5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 xml:space="preserve">ознака заміни банку-кредитора протягом останніх 12 місяців (0 - не було </w:t>
            </w:r>
            <w:r w:rsidRPr="00C93159">
              <w:rPr>
                <w:sz w:val="20"/>
                <w:szCs w:val="20"/>
              </w:rPr>
              <w:lastRenderedPageBreak/>
              <w:t>заміни або ЄДРПОУ попереднього позичальника)</w:t>
            </w:r>
          </w:p>
        </w:tc>
        <w:tc>
          <w:tcPr>
            <w:tcW w:w="5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lastRenderedPageBreak/>
              <w:t>балансова вартість основної заборгованості (грн еквівалент)</w:t>
            </w:r>
          </w:p>
        </w:tc>
        <w:tc>
          <w:tcPr>
            <w:tcW w:w="4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балансова вартість нарахованих доходів (грн еквівалент)</w:t>
            </w:r>
          </w:p>
        </w:tc>
        <w:tc>
          <w:tcPr>
            <w:tcW w:w="8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балансова вартість простроченої заборгованості (грн еквівалент)</w:t>
            </w:r>
          </w:p>
        </w:tc>
        <w:tc>
          <w:tcPr>
            <w:tcW w:w="4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балансова вартість прострочених доходів (грн еквівалент)</w:t>
            </w:r>
          </w:p>
        </w:tc>
      </w:tr>
      <w:tr w:rsidR="00C93159" w:rsidRPr="00C93159" w:rsidTr="00C93159">
        <w:trPr>
          <w:tblCellSpacing w:w="22"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lastRenderedPageBreak/>
              <w:t>27</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28</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29</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30</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31</w:t>
            </w:r>
          </w:p>
        </w:tc>
        <w:tc>
          <w:tcPr>
            <w:tcW w:w="3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32</w:t>
            </w:r>
          </w:p>
        </w:tc>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33</w:t>
            </w:r>
          </w:p>
        </w:tc>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34</w:t>
            </w:r>
          </w:p>
        </w:tc>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35</w:t>
            </w:r>
          </w:p>
        </w:tc>
        <w:tc>
          <w:tcPr>
            <w:tcW w:w="8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36</w:t>
            </w:r>
          </w:p>
        </w:tc>
        <w:tc>
          <w:tcPr>
            <w:tcW w:w="4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37</w:t>
            </w:r>
          </w:p>
        </w:tc>
      </w:tr>
    </w:tbl>
    <w:p w:rsidR="00C93159" w:rsidRPr="00C93159" w:rsidRDefault="00C93159" w:rsidP="00C93159">
      <w:pPr>
        <w:rPr>
          <w:lang w:val="uk-UA"/>
        </w:rPr>
      </w:pPr>
      <w:r w:rsidRPr="00C93159">
        <w:rPr>
          <w:lang w:val="uk-UA"/>
        </w:rPr>
        <w:br w:type="textWrapping" w:clear="all"/>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35"/>
        <w:gridCol w:w="805"/>
        <w:gridCol w:w="825"/>
        <w:gridCol w:w="1011"/>
        <w:gridCol w:w="1011"/>
        <w:gridCol w:w="1369"/>
        <w:gridCol w:w="1369"/>
        <w:gridCol w:w="1143"/>
        <w:gridCol w:w="1165"/>
      </w:tblGrid>
      <w:tr w:rsidR="00C93159" w:rsidRPr="00C93159" w:rsidTr="00C93159">
        <w:trPr>
          <w:tblCellSpacing w:w="22" w:type="dxa"/>
        </w:trPr>
        <w:tc>
          <w:tcPr>
            <w:tcW w:w="5000" w:type="pct"/>
            <w:gridSpan w:val="9"/>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 </w:t>
            </w:r>
          </w:p>
        </w:tc>
      </w:tr>
      <w:tr w:rsidR="00C93159" w:rsidRPr="00C93159" w:rsidTr="00C93159">
        <w:trPr>
          <w:tblCellSpacing w:w="22"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категорія якості кредиту</w:t>
            </w:r>
          </w:p>
        </w:tc>
        <w:tc>
          <w:tcPr>
            <w:tcW w:w="4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показник ризику кредиту</w:t>
            </w:r>
          </w:p>
        </w:tc>
        <w:tc>
          <w:tcPr>
            <w:tcW w:w="4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фактична сума видачі за останні 12 місяців</w:t>
            </w:r>
          </w:p>
        </w:tc>
        <w:tc>
          <w:tcPr>
            <w:tcW w:w="3750" w:type="pct"/>
            <w:gridSpan w:val="6"/>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фактичне погашення кредиту у минулому (грошові надходження)</w:t>
            </w:r>
          </w:p>
        </w:tc>
      </w:tr>
      <w:tr w:rsidR="00C93159" w:rsidRPr="00C93159" w:rsidTr="00C93159">
        <w:trPr>
          <w:trHeight w:val="285"/>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5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фактична сума надходжень за основним боргом з моменту видачі (грн еквівалент)</w:t>
            </w:r>
          </w:p>
        </w:tc>
        <w:tc>
          <w:tcPr>
            <w:tcW w:w="8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фактична сума надходжень за останні 12 місяців (грн еквівалент)</w:t>
            </w:r>
          </w:p>
        </w:tc>
        <w:tc>
          <w:tcPr>
            <w:tcW w:w="7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кількість реструктуризації</w:t>
            </w:r>
          </w:p>
        </w:tc>
        <w:tc>
          <w:tcPr>
            <w:tcW w:w="6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дата останньої реструктуризації</w:t>
            </w:r>
          </w:p>
        </w:tc>
        <w:tc>
          <w:tcPr>
            <w:tcW w:w="5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дата виникнення прострочення</w:t>
            </w:r>
          </w:p>
        </w:tc>
        <w:tc>
          <w:tcPr>
            <w:tcW w:w="5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кількість днів прострочення</w:t>
            </w:r>
          </w:p>
        </w:tc>
      </w:tr>
      <w:tr w:rsidR="00C93159" w:rsidRPr="00C93159" w:rsidTr="00C93159">
        <w:trPr>
          <w:trHeight w:val="285"/>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r>
      <w:tr w:rsidR="00C93159" w:rsidRPr="00C93159" w:rsidTr="00C93159">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38</w:t>
            </w:r>
          </w:p>
        </w:tc>
        <w:tc>
          <w:tcPr>
            <w:tcW w:w="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39</w:t>
            </w:r>
          </w:p>
        </w:tc>
        <w:tc>
          <w:tcPr>
            <w:tcW w:w="4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40</w:t>
            </w:r>
          </w:p>
        </w:tc>
        <w:tc>
          <w:tcPr>
            <w:tcW w:w="5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41</w:t>
            </w:r>
          </w:p>
        </w:tc>
        <w:tc>
          <w:tcPr>
            <w:tcW w:w="8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42</w:t>
            </w:r>
          </w:p>
        </w:tc>
        <w:tc>
          <w:tcPr>
            <w:tcW w:w="7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43</w:t>
            </w:r>
          </w:p>
        </w:tc>
        <w:tc>
          <w:tcPr>
            <w:tcW w:w="6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44</w:t>
            </w:r>
          </w:p>
        </w:tc>
        <w:tc>
          <w:tcPr>
            <w:tcW w:w="5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45</w:t>
            </w:r>
          </w:p>
        </w:tc>
        <w:tc>
          <w:tcPr>
            <w:tcW w:w="5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46</w:t>
            </w:r>
          </w:p>
        </w:tc>
      </w:tr>
    </w:tbl>
    <w:p w:rsidR="00C93159" w:rsidRPr="00C93159" w:rsidRDefault="00C93159" w:rsidP="00C93159">
      <w:pPr>
        <w:rPr>
          <w:lang w:val="uk-UA"/>
        </w:rPr>
      </w:pPr>
      <w:r w:rsidRPr="00C93159">
        <w:rPr>
          <w:lang w:val="uk-UA"/>
        </w:rPr>
        <w:br w:type="textWrapping" w:clear="all"/>
      </w:r>
    </w:p>
    <w:tbl>
      <w:tblPr>
        <w:tblW w:w="45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97"/>
        <w:gridCol w:w="475"/>
        <w:gridCol w:w="475"/>
        <w:gridCol w:w="475"/>
        <w:gridCol w:w="475"/>
        <w:gridCol w:w="475"/>
        <w:gridCol w:w="475"/>
        <w:gridCol w:w="475"/>
        <w:gridCol w:w="475"/>
        <w:gridCol w:w="474"/>
        <w:gridCol w:w="474"/>
        <w:gridCol w:w="474"/>
        <w:gridCol w:w="474"/>
        <w:gridCol w:w="474"/>
        <w:gridCol w:w="474"/>
        <w:gridCol w:w="474"/>
        <w:gridCol w:w="474"/>
        <w:gridCol w:w="474"/>
        <w:gridCol w:w="474"/>
        <w:gridCol w:w="496"/>
      </w:tblGrid>
      <w:tr w:rsidR="00C93159" w:rsidRPr="00C93159" w:rsidTr="00C93159">
        <w:trPr>
          <w:tblCellSpacing w:w="22" w:type="dxa"/>
        </w:trPr>
        <w:tc>
          <w:tcPr>
            <w:tcW w:w="5000" w:type="pct"/>
            <w:gridSpan w:val="20"/>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КРЕДИТ</w:t>
            </w:r>
          </w:p>
        </w:tc>
      </w:tr>
      <w:tr w:rsidR="00C93159" w:rsidRPr="00C93159" w:rsidTr="00C93159">
        <w:trPr>
          <w:tblCellSpacing w:w="22" w:type="dxa"/>
        </w:trPr>
        <w:tc>
          <w:tcPr>
            <w:tcW w:w="5000" w:type="pct"/>
            <w:gridSpan w:val="20"/>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план-графік надходжень в погашення кредиту (грн еквівалент)</w:t>
            </w:r>
          </w:p>
        </w:tc>
      </w:tr>
      <w:tr w:rsidR="00C93159" w:rsidRPr="00C93159" w:rsidTr="00C93159">
        <w:trPr>
          <w:tblCellSpacing w:w="22" w:type="dxa"/>
        </w:trPr>
        <w:tc>
          <w:tcPr>
            <w:tcW w:w="5000" w:type="pct"/>
            <w:gridSpan w:val="20"/>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план графік погашення (тіло + % % + комісії)</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2015</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2016</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2017</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2018</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2019</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2020</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2021</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2022</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2023</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2024</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2025</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2026</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2027</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2028</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2029</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2030</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2031</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2032</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2033</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2034</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47</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48</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49</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50</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51</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52</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53</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54</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55</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56</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57</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58</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59</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60</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61</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62</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63</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64</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65</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66</w:t>
            </w:r>
          </w:p>
        </w:tc>
      </w:tr>
    </w:tbl>
    <w:p w:rsidR="00C93159" w:rsidRPr="00C93159" w:rsidRDefault="00C93159" w:rsidP="00C93159">
      <w:pPr>
        <w:rPr>
          <w:lang w:val="uk-UA"/>
        </w:rPr>
      </w:pPr>
      <w:r w:rsidRPr="00C93159">
        <w:rPr>
          <w:lang w:val="uk-UA"/>
        </w:rPr>
        <w:br w:type="textWrapping" w:clear="all"/>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107"/>
        <w:gridCol w:w="1008"/>
        <w:gridCol w:w="800"/>
        <w:gridCol w:w="945"/>
        <w:gridCol w:w="945"/>
        <w:gridCol w:w="945"/>
        <w:gridCol w:w="945"/>
        <w:gridCol w:w="945"/>
        <w:gridCol w:w="607"/>
        <w:gridCol w:w="495"/>
        <w:gridCol w:w="791"/>
      </w:tblGrid>
      <w:tr w:rsidR="00C93159" w:rsidRPr="00C93159" w:rsidTr="00C93159">
        <w:trPr>
          <w:tblCellSpacing w:w="22" w:type="dxa"/>
        </w:trPr>
        <w:tc>
          <w:tcPr>
            <w:tcW w:w="1200" w:type="pct"/>
            <w:gridSpan w:val="3"/>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 </w:t>
            </w:r>
          </w:p>
        </w:tc>
        <w:tc>
          <w:tcPr>
            <w:tcW w:w="3800" w:type="pct"/>
            <w:gridSpan w:val="8"/>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ЗАБЕЗПЕЧЕННЯ</w:t>
            </w:r>
          </w:p>
        </w:tc>
      </w:tr>
      <w:tr w:rsidR="00C93159" w:rsidRPr="00C93159" w:rsidTr="00C93159">
        <w:trPr>
          <w:tblCellSpacing w:w="22" w:type="dxa"/>
        </w:trPr>
        <w:tc>
          <w:tcPr>
            <w:tcW w:w="1200" w:type="pct"/>
            <w:gridSpan w:val="3"/>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 </w:t>
            </w:r>
          </w:p>
        </w:tc>
        <w:tc>
          <w:tcPr>
            <w:tcW w:w="4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код забезпечення за довідником НБУ S031</w:t>
            </w:r>
          </w:p>
        </w:tc>
        <w:tc>
          <w:tcPr>
            <w:tcW w:w="4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дата останньої перевірки банком наявності забезпечення</w:t>
            </w:r>
          </w:p>
        </w:tc>
        <w:tc>
          <w:tcPr>
            <w:tcW w:w="5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балансова вартість забезпечення (грн еквівалент)</w:t>
            </w:r>
          </w:p>
        </w:tc>
        <w:tc>
          <w:tcPr>
            <w:tcW w:w="4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дата незалежної оцінки забезпечення</w:t>
            </w:r>
          </w:p>
        </w:tc>
        <w:tc>
          <w:tcPr>
            <w:tcW w:w="6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оціночна вартість забезпечення (грн еквівалент)</w:t>
            </w:r>
          </w:p>
        </w:tc>
        <w:tc>
          <w:tcPr>
            <w:tcW w:w="1400" w:type="pct"/>
            <w:gridSpan w:val="3"/>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місце розташування застави</w:t>
            </w:r>
          </w:p>
        </w:tc>
      </w:tr>
      <w:tr w:rsidR="00C93159" w:rsidRPr="00C93159" w:rsidTr="00C93159">
        <w:trPr>
          <w:tblCellSpacing w:w="22" w:type="dxa"/>
        </w:trPr>
        <w:tc>
          <w:tcPr>
            <w:tcW w:w="4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планова дата наступного платежу за основною заборгованістю</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планова дата наступного платежу за нарахованими доходами</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планова дата погашення кредиту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область</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район</w:t>
            </w:r>
          </w:p>
        </w:tc>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населений пункт</w:t>
            </w:r>
          </w:p>
        </w:tc>
      </w:tr>
      <w:tr w:rsidR="00C93159" w:rsidRPr="00C93159" w:rsidTr="00C93159">
        <w:trPr>
          <w:tblCellSpacing w:w="22"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67</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68</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69</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70</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71</w:t>
            </w:r>
          </w:p>
        </w:tc>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72</w:t>
            </w:r>
          </w:p>
        </w:tc>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73</w:t>
            </w:r>
          </w:p>
        </w:tc>
        <w:tc>
          <w:tcPr>
            <w:tcW w:w="6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74</w:t>
            </w:r>
          </w:p>
        </w:tc>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75</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76</w:t>
            </w:r>
          </w:p>
        </w:tc>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77</w:t>
            </w:r>
          </w:p>
        </w:tc>
      </w:tr>
    </w:tbl>
    <w:p w:rsidR="00C93159" w:rsidRPr="00C93159" w:rsidRDefault="00C93159" w:rsidP="00C93159">
      <w:pPr>
        <w:rPr>
          <w:lang w:val="uk-UA"/>
        </w:rPr>
      </w:pPr>
      <w:r w:rsidRPr="00C93159">
        <w:rPr>
          <w:lang w:val="uk-UA"/>
        </w:rPr>
        <w:br w:type="textWrapping" w:clear="all"/>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718"/>
        <w:gridCol w:w="964"/>
        <w:gridCol w:w="932"/>
        <w:gridCol w:w="717"/>
        <w:gridCol w:w="999"/>
        <w:gridCol w:w="824"/>
        <w:gridCol w:w="749"/>
        <w:gridCol w:w="866"/>
        <w:gridCol w:w="903"/>
        <w:gridCol w:w="903"/>
        <w:gridCol w:w="958"/>
      </w:tblGrid>
      <w:tr w:rsidR="00C93159" w:rsidRPr="00C93159" w:rsidTr="00C93159">
        <w:trPr>
          <w:tblCellSpacing w:w="22" w:type="dxa"/>
        </w:trPr>
        <w:tc>
          <w:tcPr>
            <w:tcW w:w="5000" w:type="pct"/>
            <w:gridSpan w:val="11"/>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 </w:t>
            </w:r>
          </w:p>
        </w:tc>
      </w:tr>
      <w:tr w:rsidR="00C93159" w:rsidRPr="00C93159" w:rsidTr="00C93159">
        <w:trPr>
          <w:tblCellSpacing w:w="22" w:type="dxa"/>
        </w:trPr>
        <w:tc>
          <w:tcPr>
            <w:tcW w:w="4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 </w:t>
            </w:r>
          </w:p>
        </w:tc>
        <w:tc>
          <w:tcPr>
            <w:tcW w:w="4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текстови</w:t>
            </w:r>
            <w:r w:rsidRPr="00C93159">
              <w:rPr>
                <w:sz w:val="20"/>
                <w:szCs w:val="20"/>
              </w:rPr>
              <w:lastRenderedPageBreak/>
              <w:t>й опис забезпечення</w:t>
            </w:r>
          </w:p>
        </w:tc>
        <w:tc>
          <w:tcPr>
            <w:tcW w:w="2450" w:type="pct"/>
            <w:gridSpan w:val="5"/>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lastRenderedPageBreak/>
              <w:t>нерухомість</w:t>
            </w:r>
          </w:p>
        </w:tc>
        <w:tc>
          <w:tcPr>
            <w:tcW w:w="1650" w:type="pct"/>
            <w:gridSpan w:val="4"/>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недобудови</w:t>
            </w:r>
          </w:p>
        </w:tc>
      </w:tr>
      <w:tr w:rsidR="00C93159" w:rsidRPr="00C93159" w:rsidTr="00C93159">
        <w:trPr>
          <w:tblCellSpacing w:w="22"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lastRenderedPageBreak/>
              <w:t>вулиця, будинок, корпус, квартира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6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цільове призначення об'єкта нерухомості</w:t>
            </w:r>
          </w:p>
        </w:tc>
        <w:tc>
          <w:tcPr>
            <w:tcW w:w="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фізичний стан</w:t>
            </w:r>
          </w:p>
        </w:tc>
        <w:tc>
          <w:tcPr>
            <w:tcW w:w="5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поточне використання</w:t>
            </w:r>
          </w:p>
        </w:tc>
        <w:tc>
          <w:tcPr>
            <w:tcW w:w="4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загальна площа приміщень</w:t>
            </w:r>
          </w:p>
        </w:tc>
        <w:tc>
          <w:tcPr>
            <w:tcW w:w="4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площа земельної ділянки</w:t>
            </w:r>
          </w:p>
        </w:tc>
        <w:tc>
          <w:tcPr>
            <w:tcW w:w="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відсоток будівельної готовності</w:t>
            </w:r>
          </w:p>
        </w:tc>
        <w:tc>
          <w:tcPr>
            <w:tcW w:w="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імовірність завершення будівництва</w:t>
            </w:r>
          </w:p>
        </w:tc>
        <w:tc>
          <w:tcPr>
            <w:tcW w:w="4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вартість об'єкта після завершення будівництва</w:t>
            </w:r>
          </w:p>
        </w:tc>
        <w:tc>
          <w:tcPr>
            <w:tcW w:w="4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очікувана дата завершення будівництва за найбільш сприятливих умов</w:t>
            </w:r>
          </w:p>
        </w:tc>
      </w:tr>
      <w:tr w:rsidR="00C93159" w:rsidRPr="00C93159" w:rsidTr="00C93159">
        <w:trPr>
          <w:tblCellSpacing w:w="22"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lastRenderedPageBreak/>
              <w:t>78</w:t>
            </w:r>
          </w:p>
        </w:tc>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79</w:t>
            </w:r>
          </w:p>
        </w:tc>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80</w:t>
            </w:r>
          </w:p>
        </w:tc>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81</w:t>
            </w:r>
          </w:p>
        </w:tc>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82</w:t>
            </w:r>
          </w:p>
        </w:tc>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83</w:t>
            </w:r>
          </w:p>
        </w:tc>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84</w:t>
            </w:r>
          </w:p>
        </w:tc>
        <w:tc>
          <w:tcPr>
            <w:tcW w:w="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85</w:t>
            </w:r>
          </w:p>
        </w:tc>
        <w:tc>
          <w:tcPr>
            <w:tcW w:w="4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86</w:t>
            </w:r>
          </w:p>
        </w:tc>
        <w:tc>
          <w:tcPr>
            <w:tcW w:w="4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87</w:t>
            </w:r>
          </w:p>
        </w:tc>
        <w:tc>
          <w:tcPr>
            <w:tcW w:w="4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88</w:t>
            </w:r>
          </w:p>
        </w:tc>
      </w:tr>
    </w:tbl>
    <w:p w:rsidR="00C93159" w:rsidRPr="00C93159" w:rsidRDefault="00C93159" w:rsidP="00C93159">
      <w:pPr>
        <w:rPr>
          <w:lang w:val="uk-UA"/>
        </w:rPr>
      </w:pPr>
      <w:r w:rsidRPr="00C93159">
        <w:rPr>
          <w:lang w:val="uk-UA"/>
        </w:rPr>
        <w:br w:type="textWrapping" w:clear="all"/>
      </w:r>
    </w:p>
    <w:tbl>
      <w:tblPr>
        <w:tblW w:w="25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306"/>
        <w:gridCol w:w="1421"/>
        <w:gridCol w:w="2040"/>
      </w:tblGrid>
      <w:tr w:rsidR="00C93159" w:rsidRPr="00C93159" w:rsidTr="00C93159">
        <w:trPr>
          <w:tblCellSpacing w:w="22" w:type="dxa"/>
        </w:trPr>
        <w:tc>
          <w:tcPr>
            <w:tcW w:w="5000" w:type="pct"/>
            <w:gridSpan w:val="3"/>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 </w:t>
            </w:r>
          </w:p>
        </w:tc>
      </w:tr>
      <w:tr w:rsidR="00C93159" w:rsidRPr="00C93159" w:rsidTr="00C93159">
        <w:trPr>
          <w:tblCellSpacing w:w="22" w:type="dxa"/>
        </w:trPr>
        <w:tc>
          <w:tcPr>
            <w:tcW w:w="5000" w:type="pct"/>
            <w:gridSpan w:val="3"/>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інвестиції в асоційовані та дочірні компанії, цінні папери</w:t>
            </w:r>
          </w:p>
        </w:tc>
      </w:tr>
      <w:tr w:rsidR="00C93159" w:rsidRPr="00C93159" w:rsidTr="00C93159">
        <w:trPr>
          <w:tblCellSpacing w:w="22" w:type="dxa"/>
        </w:trPr>
        <w:tc>
          <w:tcPr>
            <w:tcW w:w="13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ЄДРПОУ емітента</w:t>
            </w:r>
          </w:p>
        </w:tc>
        <w:tc>
          <w:tcPr>
            <w:tcW w:w="15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КВЕД емітента</w:t>
            </w:r>
          </w:p>
        </w:tc>
        <w:tc>
          <w:tcPr>
            <w:tcW w:w="21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код цінних паперів, якими володіє банк (або опис)</w:t>
            </w:r>
          </w:p>
        </w:tc>
      </w:tr>
      <w:tr w:rsidR="00C93159" w:rsidRPr="00C93159" w:rsidTr="00C93159">
        <w:trPr>
          <w:tblCellSpacing w:w="22" w:type="dxa"/>
        </w:trPr>
        <w:tc>
          <w:tcPr>
            <w:tcW w:w="13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89</w:t>
            </w:r>
          </w:p>
        </w:tc>
        <w:tc>
          <w:tcPr>
            <w:tcW w:w="15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90</w:t>
            </w:r>
          </w:p>
        </w:tc>
        <w:tc>
          <w:tcPr>
            <w:tcW w:w="21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91</w:t>
            </w:r>
          </w:p>
        </w:tc>
      </w:tr>
    </w:tbl>
    <w:p w:rsidR="00C93159" w:rsidRPr="00C93159" w:rsidRDefault="00C93159" w:rsidP="00C93159">
      <w:pPr>
        <w:rPr>
          <w:lang w:val="uk-UA"/>
        </w:rPr>
      </w:pPr>
      <w:r w:rsidRPr="00C93159">
        <w:rPr>
          <w:lang w:val="uk-UA"/>
        </w:rPr>
        <w:br w:type="textWrapping" w:clear="all"/>
      </w:r>
    </w:p>
    <w:tbl>
      <w:tblPr>
        <w:tblW w:w="475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56"/>
        <w:gridCol w:w="960"/>
        <w:gridCol w:w="1030"/>
        <w:gridCol w:w="917"/>
        <w:gridCol w:w="1011"/>
        <w:gridCol w:w="898"/>
        <w:gridCol w:w="898"/>
        <w:gridCol w:w="802"/>
        <w:gridCol w:w="1210"/>
        <w:gridCol w:w="951"/>
      </w:tblGrid>
      <w:tr w:rsidR="00C93159" w:rsidRPr="00C93159" w:rsidTr="00C93159">
        <w:trPr>
          <w:tblCellSpacing w:w="22" w:type="dxa"/>
        </w:trPr>
        <w:tc>
          <w:tcPr>
            <w:tcW w:w="5000" w:type="pct"/>
            <w:gridSpan w:val="10"/>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 </w:t>
            </w:r>
          </w:p>
        </w:tc>
      </w:tr>
      <w:tr w:rsidR="00C93159" w:rsidRPr="00C93159" w:rsidTr="00C93159">
        <w:trPr>
          <w:tblCellSpacing w:w="22" w:type="dxa"/>
        </w:trPr>
        <w:tc>
          <w:tcPr>
            <w:tcW w:w="5000" w:type="pct"/>
            <w:gridSpan w:val="10"/>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 </w:t>
            </w:r>
          </w:p>
        </w:tc>
      </w:tr>
      <w:tr w:rsidR="00C93159" w:rsidRPr="00C93159" w:rsidTr="00C93159">
        <w:trPr>
          <w:trHeight w:val="285"/>
          <w:tblCellSpacing w:w="22" w:type="dxa"/>
        </w:trPr>
        <w:tc>
          <w:tcPr>
            <w:tcW w:w="4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обсяг боргових цінних паперів, якими володіє банк (шт., грн)</w:t>
            </w:r>
          </w:p>
        </w:tc>
        <w:tc>
          <w:tcPr>
            <w:tcW w:w="5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частка статутного капіталу, якою володіє банк</w:t>
            </w:r>
          </w:p>
        </w:tc>
        <w:tc>
          <w:tcPr>
            <w:tcW w:w="5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чисельність персоналу компанії-</w:t>
            </w:r>
            <w:r w:rsidRPr="00C93159">
              <w:rPr>
                <w:sz w:val="20"/>
                <w:szCs w:val="20"/>
              </w:rPr>
              <w:br/>
              <w:t>емітента</w:t>
            </w:r>
          </w:p>
        </w:tc>
        <w:tc>
          <w:tcPr>
            <w:tcW w:w="5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чистий дохід від основної діяльності компанії</w:t>
            </w:r>
          </w:p>
        </w:tc>
        <w:tc>
          <w:tcPr>
            <w:tcW w:w="5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EBITDA за останній фінансовий рік</w:t>
            </w:r>
          </w:p>
        </w:tc>
        <w:tc>
          <w:tcPr>
            <w:tcW w:w="4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балансова вартість активів компанії</w:t>
            </w:r>
          </w:p>
        </w:tc>
        <w:tc>
          <w:tcPr>
            <w:tcW w:w="4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балансова вартість основних засобів емітента</w:t>
            </w:r>
          </w:p>
        </w:tc>
        <w:tc>
          <w:tcPr>
            <w:tcW w:w="4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дані про характер та ступінь асоціації з банком</w:t>
            </w:r>
          </w:p>
        </w:tc>
        <w:tc>
          <w:tcPr>
            <w:tcW w:w="6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котирування на покупку на організованих ринках</w:t>
            </w:r>
          </w:p>
        </w:tc>
        <w:tc>
          <w:tcPr>
            <w:tcW w:w="5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опис ліквідного майна, що є на балансі емітента</w:t>
            </w:r>
          </w:p>
        </w:tc>
      </w:tr>
      <w:tr w:rsidR="00C93159" w:rsidRPr="00C93159" w:rsidTr="00C93159">
        <w:trPr>
          <w:trHeight w:val="285"/>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r>
      <w:tr w:rsidR="00C93159" w:rsidRPr="00C93159" w:rsidTr="00C93159">
        <w:trPr>
          <w:tblCellSpacing w:w="22"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92</w:t>
            </w:r>
          </w:p>
        </w:tc>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93</w:t>
            </w:r>
          </w:p>
        </w:tc>
        <w:tc>
          <w:tcPr>
            <w:tcW w:w="5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94</w:t>
            </w:r>
          </w:p>
        </w:tc>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95</w:t>
            </w:r>
          </w:p>
        </w:tc>
        <w:tc>
          <w:tcPr>
            <w:tcW w:w="5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96</w:t>
            </w:r>
          </w:p>
        </w:tc>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97</w:t>
            </w:r>
          </w:p>
        </w:tc>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98</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99</w:t>
            </w:r>
          </w:p>
        </w:tc>
        <w:tc>
          <w:tcPr>
            <w:tcW w:w="6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100</w:t>
            </w:r>
          </w:p>
        </w:tc>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101</w:t>
            </w:r>
          </w:p>
        </w:tc>
      </w:tr>
    </w:tbl>
    <w:p w:rsidR="00C93159" w:rsidRPr="00C93159" w:rsidRDefault="00C93159" w:rsidP="00C93159">
      <w:pPr>
        <w:rPr>
          <w:lang w:val="uk-UA"/>
        </w:rPr>
      </w:pPr>
      <w:r w:rsidRPr="00C93159">
        <w:rPr>
          <w:lang w:val="uk-UA"/>
        </w:rPr>
        <w:br w:type="textWrapping" w:clear="all"/>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40"/>
        <w:gridCol w:w="501"/>
        <w:gridCol w:w="553"/>
        <w:gridCol w:w="833"/>
        <w:gridCol w:w="806"/>
        <w:gridCol w:w="652"/>
        <w:gridCol w:w="682"/>
        <w:gridCol w:w="745"/>
        <w:gridCol w:w="594"/>
        <w:gridCol w:w="464"/>
        <w:gridCol w:w="487"/>
        <w:gridCol w:w="715"/>
        <w:gridCol w:w="804"/>
        <w:gridCol w:w="563"/>
        <w:gridCol w:w="494"/>
      </w:tblGrid>
      <w:tr w:rsidR="00C93159" w:rsidRPr="00C93159" w:rsidTr="00C93159">
        <w:trPr>
          <w:tblCellSpacing w:w="22" w:type="dxa"/>
        </w:trPr>
        <w:tc>
          <w:tcPr>
            <w:tcW w:w="5000" w:type="pct"/>
            <w:gridSpan w:val="15"/>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 </w:t>
            </w:r>
          </w:p>
        </w:tc>
      </w:tr>
      <w:tr w:rsidR="00C93159" w:rsidRPr="00C93159" w:rsidTr="00C93159">
        <w:trPr>
          <w:tblCellSpacing w:w="22" w:type="dxa"/>
        </w:trPr>
        <w:tc>
          <w:tcPr>
            <w:tcW w:w="5000" w:type="pct"/>
            <w:gridSpan w:val="15"/>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обладнання, транспортні засоби, технологічне обладнання</w:t>
            </w:r>
          </w:p>
        </w:tc>
      </w:tr>
      <w:tr w:rsidR="00C93159" w:rsidRPr="00C93159" w:rsidTr="00C93159">
        <w:trPr>
          <w:tblCellSpacing w:w="22"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група основних засобів</w:t>
            </w:r>
          </w:p>
        </w:tc>
        <w:tc>
          <w:tcPr>
            <w:tcW w:w="6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назва / марка / модель</w:t>
            </w:r>
          </w:p>
        </w:tc>
        <w:tc>
          <w:tcPr>
            <w:tcW w:w="2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рік випуску</w:t>
            </w:r>
          </w:p>
        </w:tc>
        <w:tc>
          <w:tcPr>
            <w:tcW w:w="4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дата введення в експлуатацію</w:t>
            </w:r>
          </w:p>
        </w:tc>
        <w:tc>
          <w:tcPr>
            <w:tcW w:w="3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розрахунко-</w:t>
            </w:r>
            <w:r w:rsidRPr="00C93159">
              <w:rPr>
                <w:sz w:val="20"/>
                <w:szCs w:val="20"/>
              </w:rPr>
              <w:br/>
              <w:t>вий строк експлуатації, роки</w:t>
            </w:r>
          </w:p>
        </w:tc>
        <w:tc>
          <w:tcPr>
            <w:tcW w:w="3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первісна балансова вартість</w:t>
            </w:r>
          </w:p>
        </w:tc>
        <w:tc>
          <w:tcPr>
            <w:tcW w:w="3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залишкова балансова вартість</w:t>
            </w:r>
          </w:p>
        </w:tc>
        <w:tc>
          <w:tcPr>
            <w:tcW w:w="3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основна технічна характерис-</w:t>
            </w:r>
            <w:r w:rsidRPr="00C93159">
              <w:rPr>
                <w:sz w:val="20"/>
                <w:szCs w:val="20"/>
              </w:rPr>
              <w:br/>
              <w:t>тика</w:t>
            </w:r>
          </w:p>
        </w:tc>
        <w:tc>
          <w:tcPr>
            <w:tcW w:w="4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функціо-</w:t>
            </w:r>
            <w:r w:rsidRPr="00C93159">
              <w:rPr>
                <w:sz w:val="20"/>
                <w:szCs w:val="20"/>
              </w:rPr>
              <w:br/>
              <w:t>нальний стан</w:t>
            </w:r>
          </w:p>
        </w:tc>
        <w:tc>
          <w:tcPr>
            <w:tcW w:w="1750" w:type="pct"/>
            <w:gridSpan w:val="6"/>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крім того, для автотранспорту</w:t>
            </w:r>
          </w:p>
        </w:tc>
      </w:tr>
      <w:tr w:rsidR="00C93159" w:rsidRPr="00C93159" w:rsidTr="00C9315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2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пробіг</w:t>
            </w:r>
          </w:p>
        </w:tc>
        <w:tc>
          <w:tcPr>
            <w:tcW w:w="2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вид палива</w:t>
            </w:r>
          </w:p>
        </w:tc>
        <w:tc>
          <w:tcPr>
            <w:tcW w:w="3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 xml:space="preserve">потужність двигуна, к. с. </w:t>
            </w:r>
          </w:p>
        </w:tc>
        <w:tc>
          <w:tcPr>
            <w:tcW w:w="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тип коробки перемикання передач</w:t>
            </w:r>
          </w:p>
        </w:tc>
        <w:tc>
          <w:tcPr>
            <w:tcW w:w="2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тип приводу</w:t>
            </w:r>
          </w:p>
        </w:tc>
        <w:tc>
          <w:tcPr>
            <w:tcW w:w="2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тип кузова</w:t>
            </w:r>
          </w:p>
        </w:tc>
      </w:tr>
      <w:tr w:rsidR="00C93159" w:rsidRPr="00C93159" w:rsidTr="00C93159">
        <w:trPr>
          <w:tblCellSpacing w:w="22"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102</w:t>
            </w:r>
          </w:p>
        </w:tc>
        <w:tc>
          <w:tcPr>
            <w:tcW w:w="6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103</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104</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105</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106</w:t>
            </w:r>
          </w:p>
        </w:tc>
        <w:tc>
          <w:tcPr>
            <w:tcW w:w="3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107</w:t>
            </w:r>
          </w:p>
        </w:tc>
        <w:tc>
          <w:tcPr>
            <w:tcW w:w="3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108</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109</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110</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111</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112</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113</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114</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115</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116</w:t>
            </w:r>
          </w:p>
        </w:tc>
      </w:tr>
    </w:tbl>
    <w:p w:rsidR="00C93159" w:rsidRPr="00C93159" w:rsidRDefault="00C93159" w:rsidP="00C93159">
      <w:pPr>
        <w:rPr>
          <w:lang w:val="uk-UA"/>
        </w:rPr>
      </w:pPr>
      <w:r w:rsidRPr="00C93159">
        <w:rPr>
          <w:lang w:val="uk-UA"/>
        </w:rPr>
        <w:br w:type="textWrapping" w:clear="all"/>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216"/>
        <w:gridCol w:w="1231"/>
        <w:gridCol w:w="953"/>
        <w:gridCol w:w="839"/>
        <w:gridCol w:w="924"/>
        <w:gridCol w:w="990"/>
        <w:gridCol w:w="820"/>
        <w:gridCol w:w="970"/>
        <w:gridCol w:w="461"/>
        <w:gridCol w:w="638"/>
        <w:gridCol w:w="491"/>
      </w:tblGrid>
      <w:tr w:rsidR="00C93159" w:rsidRPr="00C93159" w:rsidTr="00C93159">
        <w:trPr>
          <w:tblCellSpacing w:w="22" w:type="dxa"/>
        </w:trPr>
        <w:tc>
          <w:tcPr>
            <w:tcW w:w="5000" w:type="pct"/>
            <w:gridSpan w:val="11"/>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 </w:t>
            </w:r>
          </w:p>
        </w:tc>
      </w:tr>
      <w:tr w:rsidR="00C93159" w:rsidRPr="00C93159" w:rsidTr="00C93159">
        <w:trPr>
          <w:tblCellSpacing w:w="22" w:type="dxa"/>
        </w:trPr>
        <w:tc>
          <w:tcPr>
            <w:tcW w:w="1500" w:type="pct"/>
            <w:gridSpan w:val="3"/>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lastRenderedPageBreak/>
              <w:t> </w:t>
            </w:r>
          </w:p>
        </w:tc>
        <w:tc>
          <w:tcPr>
            <w:tcW w:w="5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інше нерухоме майно</w:t>
            </w:r>
          </w:p>
        </w:tc>
        <w:tc>
          <w:tcPr>
            <w:tcW w:w="850" w:type="pct"/>
            <w:gridSpan w:val="2"/>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нематеріальні активи</w:t>
            </w:r>
          </w:p>
        </w:tc>
        <w:tc>
          <w:tcPr>
            <w:tcW w:w="1300" w:type="pct"/>
            <w:gridSpan w:val="2"/>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права вимоги за кредитами, дебіторською заборгованістю</w:t>
            </w:r>
          </w:p>
        </w:tc>
        <w:tc>
          <w:tcPr>
            <w:tcW w:w="850" w:type="pct"/>
            <w:gridSpan w:val="3"/>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фінансові гарантії</w:t>
            </w:r>
          </w:p>
        </w:tc>
      </w:tr>
      <w:tr w:rsidR="00C93159" w:rsidRPr="00C93159" w:rsidTr="00C93159">
        <w:trPr>
          <w:tblCellSpacing w:w="22" w:type="dxa"/>
        </w:trPr>
        <w:tc>
          <w:tcPr>
            <w:tcW w:w="1500" w:type="pct"/>
            <w:gridSpan w:val="3"/>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крім того, для технологічного обладнання</w:t>
            </w:r>
          </w:p>
        </w:tc>
        <w:tc>
          <w:tcPr>
            <w:tcW w:w="5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коментарі</w:t>
            </w:r>
          </w:p>
        </w:tc>
        <w:tc>
          <w:tcPr>
            <w:tcW w:w="4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належність авторських прав</w:t>
            </w:r>
          </w:p>
        </w:tc>
        <w:tc>
          <w:tcPr>
            <w:tcW w:w="4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ознака належності активу до групи обмеженого в обігу майна</w:t>
            </w:r>
          </w:p>
        </w:tc>
        <w:tc>
          <w:tcPr>
            <w:tcW w:w="6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N договорів</w:t>
            </w:r>
          </w:p>
        </w:tc>
        <w:tc>
          <w:tcPr>
            <w:tcW w:w="6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посилання на окремий розрахунок вартості за цією Методикою</w:t>
            </w:r>
          </w:p>
        </w:tc>
        <w:tc>
          <w:tcPr>
            <w:tcW w:w="850" w:type="pct"/>
            <w:gridSpan w:val="3"/>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майнові права на грошові кошти</w:t>
            </w:r>
          </w:p>
        </w:tc>
      </w:tr>
      <w:tr w:rsidR="00C93159" w:rsidRPr="00C93159" w:rsidTr="00C93159">
        <w:trPr>
          <w:tblCellSpacing w:w="22" w:type="dxa"/>
        </w:trPr>
        <w:tc>
          <w:tcPr>
            <w:tcW w:w="6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функціональне призначення</w:t>
            </w:r>
          </w:p>
        </w:tc>
        <w:tc>
          <w:tcPr>
            <w:tcW w:w="5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продуктивність за готовою продукцією</w:t>
            </w:r>
          </w:p>
        </w:tc>
        <w:tc>
          <w:tcPr>
            <w:tcW w:w="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можливість демонтажу для продажу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3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банк</w:t>
            </w:r>
          </w:p>
        </w:tc>
        <w:tc>
          <w:tcPr>
            <w:tcW w:w="3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валюта</w:t>
            </w:r>
          </w:p>
        </w:tc>
        <w:tc>
          <w:tcPr>
            <w:tcW w:w="2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сума</w:t>
            </w:r>
          </w:p>
        </w:tc>
      </w:tr>
      <w:tr w:rsidR="00C93159" w:rsidRPr="00C93159" w:rsidTr="00C93159">
        <w:trPr>
          <w:tblCellSpacing w:w="22"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117</w:t>
            </w:r>
          </w:p>
        </w:tc>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118</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119</w:t>
            </w:r>
          </w:p>
        </w:tc>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120</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121</w:t>
            </w:r>
          </w:p>
        </w:tc>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122</w:t>
            </w:r>
          </w:p>
        </w:tc>
        <w:tc>
          <w:tcPr>
            <w:tcW w:w="6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123</w:t>
            </w:r>
          </w:p>
        </w:tc>
        <w:tc>
          <w:tcPr>
            <w:tcW w:w="6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124</w:t>
            </w:r>
          </w:p>
        </w:tc>
        <w:tc>
          <w:tcPr>
            <w:tcW w:w="3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125</w:t>
            </w:r>
          </w:p>
        </w:tc>
        <w:tc>
          <w:tcPr>
            <w:tcW w:w="3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126</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127</w:t>
            </w:r>
          </w:p>
        </w:tc>
      </w:tr>
    </w:tbl>
    <w:p w:rsidR="00C93159" w:rsidRPr="00C93159" w:rsidRDefault="00C93159" w:rsidP="00C93159">
      <w:pPr>
        <w:rPr>
          <w:lang w:val="uk-UA"/>
        </w:rPr>
      </w:pPr>
      <w:r w:rsidRPr="00C93159">
        <w:rPr>
          <w:lang w:val="uk-UA"/>
        </w:rPr>
        <w:br w:type="textWrapping" w:clear="all"/>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99"/>
        <w:gridCol w:w="390"/>
        <w:gridCol w:w="800"/>
        <w:gridCol w:w="745"/>
        <w:gridCol w:w="1309"/>
        <w:gridCol w:w="1400"/>
        <w:gridCol w:w="932"/>
        <w:gridCol w:w="940"/>
        <w:gridCol w:w="827"/>
        <w:gridCol w:w="1191"/>
      </w:tblGrid>
      <w:tr w:rsidR="00C93159" w:rsidRPr="00C93159" w:rsidTr="00C93159">
        <w:trPr>
          <w:tblCellSpacing w:w="22" w:type="dxa"/>
        </w:trPr>
        <w:tc>
          <w:tcPr>
            <w:tcW w:w="5000" w:type="pct"/>
            <w:gridSpan w:val="10"/>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 </w:t>
            </w:r>
          </w:p>
        </w:tc>
      </w:tr>
      <w:tr w:rsidR="00C93159" w:rsidRPr="00C93159" w:rsidTr="00C93159">
        <w:trPr>
          <w:tblCellSpacing w:w="22" w:type="dxa"/>
        </w:trPr>
        <w:tc>
          <w:tcPr>
            <w:tcW w:w="1000" w:type="pct"/>
            <w:gridSpan w:val="3"/>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інші фінансові гарантії</w:t>
            </w:r>
          </w:p>
        </w:tc>
        <w:tc>
          <w:tcPr>
            <w:tcW w:w="4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повнота комплекту документів у кредитній справі (0 - наявні всі документи, 1 - відсутні деякі некритичні документи, 2 - відсутні критичні документи, 3 - відсутня кредитна справа)</w:t>
            </w:r>
          </w:p>
        </w:tc>
        <w:tc>
          <w:tcPr>
            <w:tcW w:w="6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ознака відсутності правовстановлюючих документів на активи, прийняті у забезпечення (0 - наявні всі правовстановлюючі документи, 1 - відсутні деякі правовстановлюючі документи, 2 - відсутні основні правовстановлюючі документи)</w:t>
            </w:r>
          </w:p>
        </w:tc>
        <w:tc>
          <w:tcPr>
            <w:tcW w:w="9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ознака банкрутства боржника: 0 - боржника визнано банкрутом і банк не є єдиним забезпеченим кредитором порівняного або більшого впливу, який має права на активи боржника/поручителя (за винятком активів, що забезпечують виконання зобов'язань); 1 - боржника не визнано банкрутом (або банк - єдиний кредитор максимального впливу, який має права на активи боржника/поручителя); ознака наявності арешту / заборони на відчуження забезпечення / активів боржника/пор</w:t>
            </w:r>
            <w:r w:rsidRPr="00C93159">
              <w:rPr>
                <w:sz w:val="20"/>
                <w:szCs w:val="20"/>
              </w:rPr>
              <w:lastRenderedPageBreak/>
              <w:t>учителя: 0 - відсутній арешт та заборони; 1 - на забезпечення накладено арешт (в ході кримінального провадження, податковий арешт тощо) одним / або більше суб'єктом, що не є банком-кредитором; 2 - тимчасовий законодавчий мораторій на примусове відчуження об'єкта</w:t>
            </w:r>
          </w:p>
        </w:tc>
        <w:tc>
          <w:tcPr>
            <w:tcW w:w="5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lastRenderedPageBreak/>
              <w:t>ознака внесення у державні реєстри інформації про обтяження предмета застави (забезпечення)</w:t>
            </w:r>
            <w:r w:rsidRPr="00C93159">
              <w:rPr>
                <w:sz w:val="20"/>
                <w:szCs w:val="20"/>
              </w:rPr>
              <w:br/>
              <w:t>(0 - є коректна інформація у державних реєстрах;</w:t>
            </w:r>
            <w:r w:rsidRPr="00C93159">
              <w:rPr>
                <w:sz w:val="20"/>
                <w:szCs w:val="20"/>
              </w:rPr>
              <w:br/>
              <w:t>1 - відсутня інформація у державних реєстрах)</w:t>
            </w:r>
          </w:p>
        </w:tc>
        <w:tc>
          <w:tcPr>
            <w:tcW w:w="4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опис предмета спору щодо стягнення заборгованості</w:t>
            </w:r>
          </w:p>
        </w:tc>
        <w:tc>
          <w:tcPr>
            <w:tcW w:w="6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стадія претензійно-</w:t>
            </w:r>
            <w:r w:rsidRPr="00C93159">
              <w:rPr>
                <w:sz w:val="20"/>
                <w:szCs w:val="20"/>
              </w:rPr>
              <w:br/>
              <w:t>позовної роботи (0 - немає предмета спору; 1 - софт-колекшн; 2 - хард-колекшн; претензія; 3 - позов у першій інстанції; 4 - апеляція; 5 - касація; 6 - державна виконавча служба, договірне стягнення; 7 - подальше звернення стягнен</w:t>
            </w:r>
            <w:r w:rsidRPr="00C93159">
              <w:rPr>
                <w:sz w:val="20"/>
                <w:szCs w:val="20"/>
              </w:rPr>
              <w:lastRenderedPageBreak/>
              <w:t>ня неможливе)</w:t>
            </w:r>
          </w:p>
        </w:tc>
        <w:tc>
          <w:tcPr>
            <w:tcW w:w="5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lastRenderedPageBreak/>
              <w:t>ознака, що банк є єдиним заставодержателем або заставодержателем першої черги (0 - заставодержатель першої черги / єдиний заставодержатель, 1 - заставодержатель не першої черги, підтверджене відповідними угодами)</w:t>
            </w:r>
          </w:p>
        </w:tc>
      </w:tr>
      <w:tr w:rsidR="00C93159" w:rsidRPr="00C93159" w:rsidTr="00C93159">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гарант (найменування, ЄДРПОУ)</w:t>
            </w:r>
          </w:p>
        </w:tc>
        <w:tc>
          <w:tcPr>
            <w:tcW w:w="2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сума</w:t>
            </w:r>
          </w:p>
        </w:tc>
        <w:tc>
          <w:tcPr>
            <w:tcW w:w="3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коментарі (фінансовий стан тощо)</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r>
      <w:tr w:rsidR="00C93159" w:rsidRPr="00C93159" w:rsidTr="00C93159">
        <w:trPr>
          <w:tblCellSpacing w:w="22"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lastRenderedPageBreak/>
              <w:t>128</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129</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130</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131</w:t>
            </w:r>
          </w:p>
        </w:tc>
        <w:tc>
          <w:tcPr>
            <w:tcW w:w="6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132</w:t>
            </w:r>
          </w:p>
        </w:tc>
        <w:tc>
          <w:tcPr>
            <w:tcW w:w="9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133</w:t>
            </w:r>
          </w:p>
        </w:tc>
        <w:tc>
          <w:tcPr>
            <w:tcW w:w="5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134</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135</w:t>
            </w:r>
          </w:p>
        </w:tc>
        <w:tc>
          <w:tcPr>
            <w:tcW w:w="6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136</w:t>
            </w:r>
          </w:p>
        </w:tc>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137</w:t>
            </w:r>
          </w:p>
        </w:tc>
      </w:tr>
    </w:tbl>
    <w:p w:rsidR="00C93159" w:rsidRPr="00C93159" w:rsidRDefault="00C93159" w:rsidP="00C93159">
      <w:pPr>
        <w:rPr>
          <w:lang w:val="uk-UA"/>
        </w:rPr>
      </w:pPr>
      <w:r w:rsidRPr="00C93159">
        <w:rPr>
          <w:lang w:val="uk-UA"/>
        </w:rPr>
        <w:br w:type="textWrapping" w:clear="all"/>
      </w:r>
    </w:p>
    <w:tbl>
      <w:tblPr>
        <w:tblW w:w="4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513"/>
        <w:gridCol w:w="44"/>
        <w:gridCol w:w="1331"/>
        <w:gridCol w:w="1805"/>
        <w:gridCol w:w="1120"/>
        <w:gridCol w:w="1052"/>
        <w:gridCol w:w="1169"/>
      </w:tblGrid>
      <w:tr w:rsidR="00C93159" w:rsidRPr="00C93159" w:rsidTr="00C93159">
        <w:trPr>
          <w:tblCellSpacing w:w="22" w:type="dxa"/>
        </w:trPr>
        <w:tc>
          <w:tcPr>
            <w:tcW w:w="5000" w:type="pct"/>
            <w:gridSpan w:val="7"/>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 </w:t>
            </w:r>
          </w:p>
        </w:tc>
      </w:tr>
      <w:tr w:rsidR="00C93159" w:rsidRPr="00C93159" w:rsidTr="00C93159">
        <w:trPr>
          <w:trHeight w:val="285"/>
          <w:tblCellSpacing w:w="22" w:type="dxa"/>
        </w:trPr>
        <w:tc>
          <w:tcPr>
            <w:tcW w:w="13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 xml:space="preserve">фізична наявність та доступність забезпечення: 0 - застава наявна і доступна для стягнення; 1 - застава наявна, але не доступна, або наявна частково, або знаходиться у населених пунктах, на території яких органи державної влади тимчасово не здійснюють свої повноваження; 2 - застава наявна, але знаходиться на тимчасово окупованій території; 3 - застава фактично </w:t>
            </w:r>
            <w:r w:rsidRPr="00C93159">
              <w:rPr>
                <w:sz w:val="20"/>
                <w:szCs w:val="20"/>
              </w:rPr>
              <w:lastRenderedPageBreak/>
              <w:t>відсутня на момент оцінки, проте була в наявності в момент отримання / обслуговування кредиту</w:t>
            </w:r>
          </w:p>
        </w:tc>
        <w:tc>
          <w:tcPr>
            <w:tcW w:w="750" w:type="pct"/>
            <w:gridSpan w:val="2"/>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lastRenderedPageBreak/>
              <w:t xml:space="preserve">результат останнього судового розгляду </w:t>
            </w:r>
            <w:r w:rsidRPr="00C93159">
              <w:rPr>
                <w:sz w:val="20"/>
                <w:szCs w:val="20"/>
              </w:rPr>
              <w:br/>
              <w:t xml:space="preserve">(0 - на користь банку; </w:t>
            </w:r>
            <w:r w:rsidRPr="00C93159">
              <w:rPr>
                <w:sz w:val="20"/>
                <w:szCs w:val="20"/>
              </w:rPr>
              <w:br/>
              <w:t>1 - на користь позичальника)</w:t>
            </w:r>
          </w:p>
        </w:tc>
        <w:tc>
          <w:tcPr>
            <w:tcW w:w="10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ЄДРПОУ / реєстраційний номер облікової картки платника податків заставоутримувача, якому передано кредит у забезпечення за зобов'язаннями банку (кредиту рефінансування тощо)</w:t>
            </w:r>
          </w:p>
        </w:tc>
        <w:tc>
          <w:tcPr>
            <w:tcW w:w="6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ознака накладення арешту на відчуження майнових прав на кредит</w:t>
            </w:r>
          </w:p>
        </w:tc>
        <w:tc>
          <w:tcPr>
            <w:tcW w:w="6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примітки (коментарі щодо наведених даних)</w:t>
            </w:r>
          </w:p>
        </w:tc>
        <w:tc>
          <w:tcPr>
            <w:tcW w:w="6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інше (додаткова інформація, що є важливою для оцінки вартості кредиту)</w:t>
            </w:r>
          </w:p>
        </w:tc>
      </w:tr>
      <w:tr w:rsidR="00C93159" w:rsidRPr="00C93159" w:rsidTr="00C93159">
        <w:trPr>
          <w:trHeight w:val="285"/>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r>
      <w:tr w:rsidR="00C93159" w:rsidRPr="00C93159" w:rsidTr="00C93159">
        <w:trPr>
          <w:trHeight w:val="285"/>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r>
      <w:tr w:rsidR="00C93159" w:rsidRPr="00C93159" w:rsidTr="00C93159">
        <w:trPr>
          <w:tblCellSpacing w:w="22" w:type="dxa"/>
        </w:trPr>
        <w:tc>
          <w:tcPr>
            <w:tcW w:w="1350" w:type="pct"/>
            <w:gridSpan w:val="2"/>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lastRenderedPageBreak/>
              <w:t>138</w:t>
            </w:r>
          </w:p>
        </w:tc>
        <w:tc>
          <w:tcPr>
            <w:tcW w:w="7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139</w:t>
            </w:r>
          </w:p>
        </w:tc>
        <w:tc>
          <w:tcPr>
            <w:tcW w:w="10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140</w:t>
            </w:r>
          </w:p>
        </w:tc>
        <w:tc>
          <w:tcPr>
            <w:tcW w:w="6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141</w:t>
            </w:r>
          </w:p>
        </w:tc>
        <w:tc>
          <w:tcPr>
            <w:tcW w:w="6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142</w:t>
            </w:r>
          </w:p>
        </w:tc>
        <w:tc>
          <w:tcPr>
            <w:tcW w:w="6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143</w:t>
            </w:r>
          </w:p>
        </w:tc>
      </w:tr>
    </w:tbl>
    <w:p w:rsidR="00C93159" w:rsidRPr="00C93159" w:rsidRDefault="00C93159" w:rsidP="00C93159">
      <w:pPr>
        <w:rPr>
          <w:lang w:val="uk-UA"/>
        </w:rPr>
      </w:pPr>
      <w:r w:rsidRPr="00C93159">
        <w:rPr>
          <w:lang w:val="uk-UA"/>
        </w:rPr>
        <w:br w:type="textWrapping" w:clear="all"/>
      </w:r>
    </w:p>
    <w:p w:rsidR="00C93159" w:rsidRPr="00C93159" w:rsidRDefault="00C93159" w:rsidP="00C93159">
      <w:pPr>
        <w:pStyle w:val="3"/>
        <w:jc w:val="center"/>
        <w:rPr>
          <w:lang w:val="uk-UA"/>
        </w:rPr>
      </w:pPr>
      <w:r w:rsidRPr="00C93159">
        <w:rPr>
          <w:lang w:val="uk-UA"/>
        </w:rPr>
        <w:t>Таблиця 5. Суттєві характеристики інвестицій в асоційовані та дочірні компанії, цінні папери</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45"/>
        <w:gridCol w:w="767"/>
        <w:gridCol w:w="1083"/>
        <w:gridCol w:w="705"/>
        <w:gridCol w:w="920"/>
        <w:gridCol w:w="821"/>
        <w:gridCol w:w="904"/>
        <w:gridCol w:w="805"/>
        <w:gridCol w:w="805"/>
        <w:gridCol w:w="1524"/>
        <w:gridCol w:w="854"/>
      </w:tblGrid>
      <w:tr w:rsidR="00C93159" w:rsidRPr="00C93159" w:rsidTr="00C93159">
        <w:trPr>
          <w:tblCellSpacing w:w="22" w:type="dxa"/>
        </w:trPr>
        <w:tc>
          <w:tcPr>
            <w:tcW w:w="1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N з/п</w:t>
            </w:r>
          </w:p>
        </w:tc>
        <w:tc>
          <w:tcPr>
            <w:tcW w:w="4850" w:type="pct"/>
            <w:gridSpan w:val="10"/>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ЕМІТЕНТ</w:t>
            </w:r>
          </w:p>
        </w:tc>
      </w:tr>
      <w:tr w:rsidR="00C93159" w:rsidRPr="00C93159" w:rsidTr="00C93159">
        <w:trPr>
          <w:trHeight w:val="285"/>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4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ЄДРПОУ емітента</w:t>
            </w:r>
          </w:p>
        </w:tc>
        <w:tc>
          <w:tcPr>
            <w:tcW w:w="5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найменування емітента / дочірньої / асоційованої компанії</w:t>
            </w:r>
          </w:p>
        </w:tc>
        <w:tc>
          <w:tcPr>
            <w:tcW w:w="3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КВЕД емітента</w:t>
            </w:r>
          </w:p>
        </w:tc>
        <w:tc>
          <w:tcPr>
            <w:tcW w:w="5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чисельність персоналу компанії-емітента</w:t>
            </w:r>
          </w:p>
        </w:tc>
        <w:tc>
          <w:tcPr>
            <w:tcW w:w="4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чистий дохід від основної діяльності компанії</w:t>
            </w:r>
          </w:p>
        </w:tc>
        <w:tc>
          <w:tcPr>
            <w:tcW w:w="5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EBITDA за останній фінансовий рік</w:t>
            </w:r>
          </w:p>
        </w:tc>
        <w:tc>
          <w:tcPr>
            <w:tcW w:w="4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балансова вартість активів компанії</w:t>
            </w:r>
          </w:p>
        </w:tc>
        <w:tc>
          <w:tcPr>
            <w:tcW w:w="4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балансова вартість основних засобів емітента</w:t>
            </w:r>
          </w:p>
        </w:tc>
        <w:tc>
          <w:tcPr>
            <w:tcW w:w="8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дані про характер та ступінь асоціації з неплатоспроможним банком</w:t>
            </w:r>
          </w:p>
        </w:tc>
        <w:tc>
          <w:tcPr>
            <w:tcW w:w="4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опис ліквідного майна, що є на балансі емітента</w:t>
            </w:r>
          </w:p>
        </w:tc>
      </w:tr>
      <w:tr w:rsidR="00C93159" w:rsidRPr="00C93159" w:rsidTr="00C93159">
        <w:trPr>
          <w:trHeight w:val="285"/>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r>
      <w:tr w:rsidR="00C93159" w:rsidRPr="00C93159" w:rsidTr="00C93159">
        <w:trPr>
          <w:tblCellSpacing w:w="22" w:type="dxa"/>
        </w:trPr>
        <w:tc>
          <w:tcPr>
            <w:tcW w:w="1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w:t>
            </w:r>
          </w:p>
        </w:tc>
        <w:tc>
          <w:tcPr>
            <w:tcW w:w="5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3</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4</w:t>
            </w:r>
          </w:p>
        </w:tc>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5</w:t>
            </w:r>
          </w:p>
        </w:tc>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6</w:t>
            </w:r>
          </w:p>
        </w:tc>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7</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8</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9</w:t>
            </w:r>
          </w:p>
        </w:tc>
        <w:tc>
          <w:tcPr>
            <w:tcW w:w="8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10</w:t>
            </w:r>
          </w:p>
        </w:tc>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11</w:t>
            </w:r>
          </w:p>
        </w:tc>
      </w:tr>
    </w:tbl>
    <w:p w:rsidR="00C93159" w:rsidRPr="00C93159" w:rsidRDefault="00C93159" w:rsidP="00C93159">
      <w:pPr>
        <w:rPr>
          <w:lang w:val="uk-UA"/>
        </w:rPr>
      </w:pPr>
      <w:r w:rsidRPr="00C93159">
        <w:rPr>
          <w:lang w:val="uk-UA"/>
        </w:rPr>
        <w:br w:type="textWrapping" w:clear="all"/>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354"/>
        <w:gridCol w:w="856"/>
        <w:gridCol w:w="669"/>
        <w:gridCol w:w="766"/>
        <w:gridCol w:w="464"/>
        <w:gridCol w:w="384"/>
        <w:gridCol w:w="870"/>
        <w:gridCol w:w="488"/>
        <w:gridCol w:w="1272"/>
        <w:gridCol w:w="805"/>
        <w:gridCol w:w="759"/>
        <w:gridCol w:w="846"/>
      </w:tblGrid>
      <w:tr w:rsidR="00C93159" w:rsidRPr="00C93159" w:rsidTr="00C93159">
        <w:trPr>
          <w:tblCellSpacing w:w="22" w:type="dxa"/>
        </w:trPr>
        <w:tc>
          <w:tcPr>
            <w:tcW w:w="3100" w:type="pct"/>
            <w:gridSpan w:val="8"/>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ЦІННІ ПАПЕРИ</w:t>
            </w:r>
          </w:p>
        </w:tc>
        <w:tc>
          <w:tcPr>
            <w:tcW w:w="1900" w:type="pct"/>
            <w:gridSpan w:val="4"/>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center"/>
            </w:pPr>
            <w:r w:rsidRPr="00C93159">
              <w:rPr>
                <w:sz w:val="20"/>
                <w:szCs w:val="20"/>
              </w:rPr>
              <w:t>ІНШІ ДАНІ</w:t>
            </w:r>
          </w:p>
        </w:tc>
      </w:tr>
      <w:tr w:rsidR="00C93159" w:rsidRPr="00C93159" w:rsidTr="00C93159">
        <w:trPr>
          <w:tblCellSpacing w:w="22" w:type="dxa"/>
        </w:trPr>
        <w:tc>
          <w:tcPr>
            <w:tcW w:w="6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код ISIN цінних паперів, якими володіє неплатоспроможний банк (або опис, вид, серія тощо)</w:t>
            </w:r>
          </w:p>
        </w:tc>
        <w:tc>
          <w:tcPr>
            <w:tcW w:w="4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справедлива вартість за даними сайта НБУ</w:t>
            </w:r>
          </w:p>
        </w:tc>
        <w:tc>
          <w:tcPr>
            <w:tcW w:w="3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обсяг боргових цінних паперів, якими володіє банк (шт., грн)</w:t>
            </w:r>
          </w:p>
        </w:tc>
        <w:tc>
          <w:tcPr>
            <w:tcW w:w="4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частка статутного капіталу, яким володіє банк</w:t>
            </w:r>
          </w:p>
        </w:tc>
        <w:tc>
          <w:tcPr>
            <w:tcW w:w="1200" w:type="pct"/>
            <w:gridSpan w:val="4"/>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котирування на покупку на організованих ринках за останні 3 місяці</w:t>
            </w:r>
          </w:p>
        </w:tc>
        <w:tc>
          <w:tcPr>
            <w:tcW w:w="6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ЄДРПОУ / реєстраційний номер облікової картки платника податків заставоутримувача, якому передано цінні папери у забезпечення за зобов'язаннями банку (кредиту рефінансування тощо)</w:t>
            </w:r>
          </w:p>
        </w:tc>
        <w:tc>
          <w:tcPr>
            <w:tcW w:w="4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ознака накладення арешту на відчуження цінних паперів</w:t>
            </w:r>
          </w:p>
        </w:tc>
        <w:tc>
          <w:tcPr>
            <w:tcW w:w="4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примітки (коментарі щодо наведених даних)</w:t>
            </w:r>
          </w:p>
        </w:tc>
        <w:tc>
          <w:tcPr>
            <w:tcW w:w="4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інше (додаткова інформація, що є важливою для оцінки вартості цінних паперів)</w:t>
            </w:r>
          </w:p>
        </w:tc>
      </w:tr>
      <w:tr w:rsidR="00C93159" w:rsidRPr="00C93159" w:rsidTr="00C9315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2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біржа</w:t>
            </w:r>
          </w:p>
        </w:tc>
        <w:tc>
          <w:tcPr>
            <w:tcW w:w="3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дата</w:t>
            </w:r>
          </w:p>
        </w:tc>
        <w:tc>
          <w:tcPr>
            <w:tcW w:w="3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котирування на покупку</w:t>
            </w:r>
          </w:p>
        </w:tc>
        <w:tc>
          <w:tcPr>
            <w:tcW w:w="3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обсяг торгів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r>
      <w:tr w:rsidR="00C93159" w:rsidRPr="00C93159" w:rsidTr="00C93159">
        <w:trPr>
          <w:tblCellSpacing w:w="22"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12</w:t>
            </w:r>
          </w:p>
        </w:tc>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13</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14</w:t>
            </w:r>
          </w:p>
        </w:tc>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15</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16</w:t>
            </w:r>
          </w:p>
        </w:tc>
        <w:tc>
          <w:tcPr>
            <w:tcW w:w="3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17</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18</w:t>
            </w:r>
          </w:p>
        </w:tc>
        <w:tc>
          <w:tcPr>
            <w:tcW w:w="3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19</w:t>
            </w:r>
          </w:p>
        </w:tc>
        <w:tc>
          <w:tcPr>
            <w:tcW w:w="6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20</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21</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22</w:t>
            </w:r>
          </w:p>
        </w:tc>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23</w:t>
            </w:r>
          </w:p>
        </w:tc>
      </w:tr>
    </w:tbl>
    <w:p w:rsidR="00C93159" w:rsidRPr="00C93159" w:rsidRDefault="00C93159" w:rsidP="00C93159">
      <w:pPr>
        <w:rPr>
          <w:lang w:val="uk-UA"/>
        </w:rPr>
      </w:pPr>
      <w:r w:rsidRPr="00C93159">
        <w:rPr>
          <w:lang w:val="uk-UA"/>
        </w:rPr>
        <w:br w:type="textWrapping" w:clear="all"/>
      </w:r>
    </w:p>
    <w:p w:rsidR="00C93159" w:rsidRPr="00C93159" w:rsidRDefault="00C93159" w:rsidP="00C93159">
      <w:pPr>
        <w:pStyle w:val="3"/>
        <w:jc w:val="center"/>
        <w:rPr>
          <w:lang w:val="uk-UA"/>
        </w:rPr>
      </w:pPr>
      <w:r w:rsidRPr="00C93159">
        <w:rPr>
          <w:lang w:val="uk-UA"/>
        </w:rPr>
        <w:t>Таблиця 6. Суттєві характеристики автотранспорту</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149"/>
        <w:gridCol w:w="1185"/>
        <w:gridCol w:w="737"/>
        <w:gridCol w:w="822"/>
        <w:gridCol w:w="712"/>
        <w:gridCol w:w="1209"/>
        <w:gridCol w:w="1466"/>
        <w:gridCol w:w="1154"/>
        <w:gridCol w:w="1099"/>
      </w:tblGrid>
      <w:tr w:rsidR="00C93159" w:rsidRPr="00C93159" w:rsidTr="00C93159">
        <w:trPr>
          <w:tblCellSpacing w:w="22"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lastRenderedPageBreak/>
              <w:t>Унікальний код запису</w:t>
            </w:r>
          </w:p>
        </w:tc>
        <w:tc>
          <w:tcPr>
            <w:tcW w:w="6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Інвентарний номер</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Марка та модель</w:t>
            </w:r>
          </w:p>
        </w:tc>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Рік випуску</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Пробіг</w:t>
            </w:r>
          </w:p>
        </w:tc>
        <w:tc>
          <w:tcPr>
            <w:tcW w:w="6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Фізичний стан та наявність пошкоджень</w:t>
            </w:r>
          </w:p>
        </w:tc>
        <w:tc>
          <w:tcPr>
            <w:tcW w:w="7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Інші характеристики</w:t>
            </w:r>
          </w:p>
        </w:tc>
        <w:tc>
          <w:tcPr>
            <w:tcW w:w="6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Вартість, визначена незалежним оцінювачем</w:t>
            </w:r>
          </w:p>
        </w:tc>
        <w:tc>
          <w:tcPr>
            <w:tcW w:w="5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Дата незалежної оцінки</w:t>
            </w:r>
          </w:p>
        </w:tc>
      </w:tr>
      <w:tr w:rsidR="00C93159" w:rsidRPr="00C93159" w:rsidTr="00C93159">
        <w:trPr>
          <w:tblCellSpacing w:w="22"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w:t>
            </w:r>
          </w:p>
        </w:tc>
        <w:tc>
          <w:tcPr>
            <w:tcW w:w="6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3</w:t>
            </w:r>
          </w:p>
        </w:tc>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4</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5</w:t>
            </w:r>
          </w:p>
        </w:tc>
        <w:tc>
          <w:tcPr>
            <w:tcW w:w="6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6</w:t>
            </w:r>
          </w:p>
        </w:tc>
        <w:tc>
          <w:tcPr>
            <w:tcW w:w="7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7</w:t>
            </w:r>
          </w:p>
        </w:tc>
        <w:tc>
          <w:tcPr>
            <w:tcW w:w="6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8</w:t>
            </w:r>
          </w:p>
        </w:tc>
        <w:tc>
          <w:tcPr>
            <w:tcW w:w="5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9</w:t>
            </w:r>
          </w:p>
        </w:tc>
      </w:tr>
    </w:tbl>
    <w:p w:rsidR="00C93159" w:rsidRPr="00C93159" w:rsidRDefault="00C93159" w:rsidP="00C93159">
      <w:pPr>
        <w:rPr>
          <w:lang w:val="uk-UA"/>
        </w:rPr>
      </w:pPr>
      <w:r w:rsidRPr="00C93159">
        <w:rPr>
          <w:lang w:val="uk-UA"/>
        </w:rPr>
        <w:br w:type="textWrapping" w:clear="all"/>
      </w:r>
    </w:p>
    <w:p w:rsidR="00C93159" w:rsidRPr="00C93159" w:rsidRDefault="00C93159" w:rsidP="00C93159">
      <w:pPr>
        <w:pStyle w:val="3"/>
        <w:jc w:val="center"/>
        <w:rPr>
          <w:lang w:val="uk-UA"/>
        </w:rPr>
      </w:pPr>
      <w:r w:rsidRPr="00C93159">
        <w:rPr>
          <w:lang w:val="uk-UA"/>
        </w:rPr>
        <w:t>Таблиця 7. Суттєві характеристики технологічного виробничого обладнання, що перейшло у власність банку як заставодержателя</w:t>
      </w:r>
    </w:p>
    <w:tbl>
      <w:tblPr>
        <w:tblW w:w="25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159"/>
        <w:gridCol w:w="1196"/>
        <w:gridCol w:w="1442"/>
        <w:gridCol w:w="1497"/>
        <w:gridCol w:w="1315"/>
      </w:tblGrid>
      <w:tr w:rsidR="00C93159" w:rsidRPr="00C93159" w:rsidTr="00C93159">
        <w:trPr>
          <w:tblCellSpacing w:w="22" w:type="dxa"/>
        </w:trPr>
        <w:tc>
          <w:tcPr>
            <w:tcW w:w="8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Унікальний код запису</w:t>
            </w:r>
          </w:p>
        </w:tc>
        <w:tc>
          <w:tcPr>
            <w:tcW w:w="9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Інвентарний номер</w:t>
            </w:r>
          </w:p>
        </w:tc>
        <w:tc>
          <w:tcPr>
            <w:tcW w:w="12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Функціональне призначення обладнання та його ліквідність</w:t>
            </w:r>
          </w:p>
        </w:tc>
        <w:tc>
          <w:tcPr>
            <w:tcW w:w="11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Продуктивність по готовій продукції</w:t>
            </w:r>
          </w:p>
        </w:tc>
        <w:tc>
          <w:tcPr>
            <w:tcW w:w="9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Дата введення в експлуатацію</w:t>
            </w:r>
          </w:p>
        </w:tc>
      </w:tr>
      <w:tr w:rsidR="00C93159" w:rsidRPr="00C93159" w:rsidTr="00C93159">
        <w:trPr>
          <w:tblCellSpacing w:w="22" w:type="dxa"/>
        </w:trPr>
        <w:tc>
          <w:tcPr>
            <w:tcW w:w="8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w:t>
            </w:r>
          </w:p>
        </w:tc>
        <w:tc>
          <w:tcPr>
            <w:tcW w:w="9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w:t>
            </w:r>
          </w:p>
        </w:tc>
        <w:tc>
          <w:tcPr>
            <w:tcW w:w="12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3</w:t>
            </w:r>
          </w:p>
        </w:tc>
        <w:tc>
          <w:tcPr>
            <w:tcW w:w="11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4</w:t>
            </w:r>
          </w:p>
        </w:tc>
        <w:tc>
          <w:tcPr>
            <w:tcW w:w="9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5</w:t>
            </w:r>
          </w:p>
        </w:tc>
      </w:tr>
    </w:tbl>
    <w:p w:rsidR="00C93159" w:rsidRPr="00C93159" w:rsidRDefault="00C93159" w:rsidP="00C93159">
      <w:pPr>
        <w:rPr>
          <w:lang w:val="uk-UA"/>
        </w:rPr>
      </w:pPr>
      <w:r w:rsidRPr="00C93159">
        <w:rPr>
          <w:lang w:val="uk-UA"/>
        </w:rPr>
        <w:br w:type="textWrapping" w:clear="all"/>
      </w:r>
    </w:p>
    <w:tbl>
      <w:tblPr>
        <w:tblW w:w="3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340"/>
        <w:gridCol w:w="1311"/>
        <w:gridCol w:w="844"/>
        <w:gridCol w:w="1165"/>
        <w:gridCol w:w="1087"/>
        <w:gridCol w:w="1341"/>
      </w:tblGrid>
      <w:tr w:rsidR="00C93159" w:rsidRPr="00C93159" w:rsidTr="00C93159">
        <w:trPr>
          <w:tblCellSpacing w:w="22" w:type="dxa"/>
        </w:trPr>
        <w:tc>
          <w:tcPr>
            <w:tcW w:w="10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Комплектація</w:t>
            </w:r>
          </w:p>
        </w:tc>
        <w:tc>
          <w:tcPr>
            <w:tcW w:w="10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Фізичний стан обладнання та придатність для використання</w:t>
            </w:r>
          </w:p>
        </w:tc>
        <w:tc>
          <w:tcPr>
            <w:tcW w:w="5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Інші фактори</w:t>
            </w:r>
          </w:p>
        </w:tc>
        <w:tc>
          <w:tcPr>
            <w:tcW w:w="8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Вартість, визначена незалежним оцінювачем</w:t>
            </w:r>
          </w:p>
        </w:tc>
        <w:tc>
          <w:tcPr>
            <w:tcW w:w="7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Дата незалежної оцінки</w:t>
            </w:r>
          </w:p>
        </w:tc>
        <w:tc>
          <w:tcPr>
            <w:tcW w:w="8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Об'єктивність оцінки</w:t>
            </w:r>
          </w:p>
        </w:tc>
      </w:tr>
      <w:tr w:rsidR="00C93159" w:rsidRPr="00C93159" w:rsidTr="00C93159">
        <w:trPr>
          <w:tblCellSpacing w:w="22" w:type="dxa"/>
        </w:trPr>
        <w:tc>
          <w:tcPr>
            <w:tcW w:w="10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6</w:t>
            </w:r>
          </w:p>
        </w:tc>
        <w:tc>
          <w:tcPr>
            <w:tcW w:w="10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7</w:t>
            </w:r>
          </w:p>
        </w:tc>
        <w:tc>
          <w:tcPr>
            <w:tcW w:w="5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8</w:t>
            </w:r>
          </w:p>
        </w:tc>
        <w:tc>
          <w:tcPr>
            <w:tcW w:w="8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9</w:t>
            </w:r>
          </w:p>
        </w:tc>
        <w:tc>
          <w:tcPr>
            <w:tcW w:w="7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10</w:t>
            </w:r>
          </w:p>
        </w:tc>
        <w:tc>
          <w:tcPr>
            <w:tcW w:w="8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11</w:t>
            </w:r>
          </w:p>
        </w:tc>
      </w:tr>
    </w:tbl>
    <w:p w:rsidR="00C93159" w:rsidRPr="00C93159" w:rsidRDefault="00C93159" w:rsidP="00C93159">
      <w:pPr>
        <w:rPr>
          <w:lang w:val="uk-UA"/>
        </w:rPr>
      </w:pPr>
      <w:r w:rsidRPr="00C93159">
        <w:rPr>
          <w:lang w:val="uk-UA"/>
        </w:rPr>
        <w:br w:type="textWrapping" w:clear="all"/>
      </w:r>
    </w:p>
    <w:p w:rsidR="00C93159" w:rsidRPr="00C93159" w:rsidRDefault="00C93159" w:rsidP="00C93159">
      <w:pPr>
        <w:pStyle w:val="3"/>
        <w:jc w:val="center"/>
        <w:rPr>
          <w:lang w:val="uk-UA"/>
        </w:rPr>
      </w:pPr>
      <w:r w:rsidRPr="00C93159">
        <w:rPr>
          <w:lang w:val="uk-UA"/>
        </w:rPr>
        <w:t>Таблиця 8. Суттєві характеристики нематеріальних активів</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51"/>
        <w:gridCol w:w="871"/>
        <w:gridCol w:w="478"/>
        <w:gridCol w:w="715"/>
        <w:gridCol w:w="939"/>
        <w:gridCol w:w="445"/>
        <w:gridCol w:w="951"/>
        <w:gridCol w:w="1031"/>
        <w:gridCol w:w="627"/>
        <w:gridCol w:w="850"/>
        <w:gridCol w:w="796"/>
        <w:gridCol w:w="979"/>
      </w:tblGrid>
      <w:tr w:rsidR="00C93159" w:rsidRPr="00C93159" w:rsidTr="00C93159">
        <w:trPr>
          <w:tblCellSpacing w:w="22"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Унікальний код запису</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Інвентарний номер</w:t>
            </w:r>
          </w:p>
        </w:tc>
        <w:tc>
          <w:tcPr>
            <w:tcW w:w="3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Назва</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Реквізити свідоцтв про авторське право</w:t>
            </w:r>
          </w:p>
        </w:tc>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Дата введення в експлуатацію</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Опис</w:t>
            </w:r>
          </w:p>
        </w:tc>
        <w:tc>
          <w:tcPr>
            <w:tcW w:w="5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Придатність для використання</w:t>
            </w:r>
          </w:p>
        </w:tc>
        <w:tc>
          <w:tcPr>
            <w:tcW w:w="6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Розрахунковий строк експлуатації</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Інші фактори</w:t>
            </w:r>
          </w:p>
        </w:tc>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Вартість, визначена незалежним оцінювачем</w:t>
            </w:r>
          </w:p>
        </w:tc>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Дата незалежної оцінки</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Об'єктивність оцінки</w:t>
            </w:r>
          </w:p>
        </w:tc>
      </w:tr>
      <w:tr w:rsidR="00C93159" w:rsidRPr="00C93159" w:rsidTr="00C93159">
        <w:trPr>
          <w:tblCellSpacing w:w="22"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w:t>
            </w:r>
          </w:p>
        </w:tc>
        <w:tc>
          <w:tcPr>
            <w:tcW w:w="3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3</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4</w:t>
            </w:r>
          </w:p>
        </w:tc>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5</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6</w:t>
            </w:r>
          </w:p>
        </w:tc>
        <w:tc>
          <w:tcPr>
            <w:tcW w:w="5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7</w:t>
            </w:r>
          </w:p>
        </w:tc>
        <w:tc>
          <w:tcPr>
            <w:tcW w:w="6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8</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9</w:t>
            </w:r>
          </w:p>
        </w:tc>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10</w:t>
            </w:r>
          </w:p>
        </w:tc>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11</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12</w:t>
            </w:r>
          </w:p>
        </w:tc>
      </w:tr>
    </w:tbl>
    <w:p w:rsidR="00C93159" w:rsidRPr="00C93159" w:rsidRDefault="00C93159" w:rsidP="00C93159">
      <w:pPr>
        <w:rPr>
          <w:lang w:val="uk-UA"/>
        </w:rPr>
      </w:pPr>
      <w:r w:rsidRPr="00C93159">
        <w:rPr>
          <w:lang w:val="uk-UA"/>
        </w:rPr>
        <w:br w:type="textWrapping" w:clear="all"/>
      </w:r>
    </w:p>
    <w:p w:rsidR="00C93159" w:rsidRPr="00C93159" w:rsidRDefault="00C93159" w:rsidP="00C93159">
      <w:pPr>
        <w:pStyle w:val="3"/>
        <w:jc w:val="center"/>
        <w:rPr>
          <w:lang w:val="uk-UA"/>
        </w:rPr>
      </w:pPr>
      <w:r w:rsidRPr="00C93159">
        <w:rPr>
          <w:lang w:val="uk-UA"/>
        </w:rPr>
        <w:t>Таблиця 9. Суттєві характеристики іншого рухомого майна</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19"/>
        <w:gridCol w:w="837"/>
        <w:gridCol w:w="462"/>
        <w:gridCol w:w="537"/>
        <w:gridCol w:w="901"/>
        <w:gridCol w:w="950"/>
        <w:gridCol w:w="913"/>
        <w:gridCol w:w="989"/>
        <w:gridCol w:w="604"/>
        <w:gridCol w:w="816"/>
        <w:gridCol w:w="765"/>
        <w:gridCol w:w="940"/>
      </w:tblGrid>
      <w:tr w:rsidR="00C93159" w:rsidRPr="00C93159" w:rsidTr="00C93159">
        <w:trPr>
          <w:tblCellSpacing w:w="22"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Унікальний код запису</w:t>
            </w:r>
          </w:p>
        </w:tc>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Інвентарний номер</w:t>
            </w:r>
          </w:p>
        </w:tc>
        <w:tc>
          <w:tcPr>
            <w:tcW w:w="3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Назва</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Марка, модель</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Дата введення в експлуатацію</w:t>
            </w:r>
          </w:p>
        </w:tc>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Комплектація, опис</w:t>
            </w:r>
          </w:p>
        </w:tc>
        <w:tc>
          <w:tcPr>
            <w:tcW w:w="5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Фізичний стан обладнання та придатні</w:t>
            </w:r>
            <w:r w:rsidRPr="00C93159">
              <w:rPr>
                <w:sz w:val="20"/>
                <w:szCs w:val="20"/>
              </w:rPr>
              <w:lastRenderedPageBreak/>
              <w:t>сть для використання</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lastRenderedPageBreak/>
              <w:t>Розрахунковий строк експлуатації</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Інші фактори</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Вартість, визначена незале</w:t>
            </w:r>
            <w:r w:rsidRPr="00C93159">
              <w:rPr>
                <w:sz w:val="20"/>
                <w:szCs w:val="20"/>
              </w:rPr>
              <w:lastRenderedPageBreak/>
              <w:t>жним оцінювачем</w:t>
            </w:r>
          </w:p>
        </w:tc>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lastRenderedPageBreak/>
              <w:t>Дата незалежної оцінки</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Об'єктивність оцінки</w:t>
            </w:r>
          </w:p>
        </w:tc>
      </w:tr>
      <w:tr w:rsidR="00C93159" w:rsidRPr="00C93159" w:rsidTr="00C93159">
        <w:trPr>
          <w:tblCellSpacing w:w="22"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lastRenderedPageBreak/>
              <w:t>1</w:t>
            </w:r>
          </w:p>
        </w:tc>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w:t>
            </w:r>
          </w:p>
        </w:tc>
        <w:tc>
          <w:tcPr>
            <w:tcW w:w="3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3</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4</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5</w:t>
            </w:r>
          </w:p>
        </w:tc>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6</w:t>
            </w:r>
          </w:p>
        </w:tc>
        <w:tc>
          <w:tcPr>
            <w:tcW w:w="5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7</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8</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9</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10</w:t>
            </w:r>
          </w:p>
        </w:tc>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11</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12</w:t>
            </w:r>
          </w:p>
        </w:tc>
      </w:tr>
    </w:tbl>
    <w:p w:rsidR="00C93159" w:rsidRPr="00C93159" w:rsidRDefault="00C93159" w:rsidP="00C93159">
      <w:pPr>
        <w:rPr>
          <w:lang w:val="uk-UA"/>
        </w:rPr>
      </w:pPr>
      <w:r w:rsidRPr="00C93159">
        <w:rPr>
          <w:lang w:val="uk-UA"/>
        </w:rPr>
        <w:br w:type="textWrapping" w:clear="all"/>
      </w:r>
    </w:p>
    <w:p w:rsidR="00C93159" w:rsidRPr="00C93159" w:rsidRDefault="00C93159" w:rsidP="00C93159">
      <w:pPr>
        <w:pStyle w:val="3"/>
        <w:jc w:val="center"/>
        <w:rPr>
          <w:lang w:val="uk-UA"/>
        </w:rPr>
      </w:pPr>
      <w:r w:rsidRPr="00C93159">
        <w:rPr>
          <w:lang w:val="uk-UA"/>
        </w:rPr>
        <w:t>Таблиця 10. Суттєві характеристики дебіторської заборгованості</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064"/>
        <w:gridCol w:w="1247"/>
        <w:gridCol w:w="1233"/>
        <w:gridCol w:w="729"/>
        <w:gridCol w:w="589"/>
        <w:gridCol w:w="549"/>
        <w:gridCol w:w="826"/>
        <w:gridCol w:w="882"/>
        <w:gridCol w:w="1196"/>
        <w:gridCol w:w="1218"/>
      </w:tblGrid>
      <w:tr w:rsidR="00C93159" w:rsidRPr="00C93159" w:rsidTr="00C93159">
        <w:trPr>
          <w:tblCellSpacing w:w="22" w:type="dxa"/>
        </w:trPr>
        <w:tc>
          <w:tcPr>
            <w:tcW w:w="450" w:type="pct"/>
            <w:vMerge w:val="restar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Унікальний код запису</w:t>
            </w:r>
          </w:p>
        </w:tc>
        <w:tc>
          <w:tcPr>
            <w:tcW w:w="4550" w:type="pct"/>
            <w:gridSpan w:val="9"/>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center"/>
            </w:pPr>
            <w:r w:rsidRPr="00C93159">
              <w:rPr>
                <w:sz w:val="20"/>
                <w:szCs w:val="20"/>
              </w:rPr>
              <w:t>БОРЖНИК</w:t>
            </w:r>
          </w:p>
        </w:tc>
      </w:tr>
      <w:tr w:rsidR="00C93159" w:rsidRPr="00C93159" w:rsidTr="00C93159">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5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ЄДРПОУ / реєстраційний номер облікової картки платника податків позичальника</w:t>
            </w:r>
          </w:p>
        </w:tc>
        <w:tc>
          <w:tcPr>
            <w:tcW w:w="5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найменування / П. І. Б. позичальника</w:t>
            </w:r>
          </w:p>
        </w:tc>
        <w:tc>
          <w:tcPr>
            <w:tcW w:w="2050" w:type="pct"/>
            <w:gridSpan w:val="4"/>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місцезнаходження позичальника</w:t>
            </w:r>
          </w:p>
        </w:tc>
        <w:tc>
          <w:tcPr>
            <w:tcW w:w="4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ознака інсайдера</w:t>
            </w:r>
          </w:p>
        </w:tc>
        <w:tc>
          <w:tcPr>
            <w:tcW w:w="5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вид діяльності позичальника (КВЕД)</w:t>
            </w:r>
          </w:p>
        </w:tc>
        <w:tc>
          <w:tcPr>
            <w:tcW w:w="5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клас позичальника</w:t>
            </w:r>
          </w:p>
        </w:tc>
      </w:tr>
      <w:tr w:rsidR="00C93159" w:rsidRPr="00C93159" w:rsidTr="00C93159">
        <w:trPr>
          <w:trHeight w:val="285"/>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3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область</w:t>
            </w:r>
          </w:p>
        </w:tc>
        <w:tc>
          <w:tcPr>
            <w:tcW w:w="3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район</w:t>
            </w:r>
          </w:p>
        </w:tc>
        <w:tc>
          <w:tcPr>
            <w:tcW w:w="2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місто</w:t>
            </w:r>
          </w:p>
        </w:tc>
        <w:tc>
          <w:tcPr>
            <w:tcW w:w="11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вулиця, будинок, корпус, квартира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r>
      <w:tr w:rsidR="00C93159" w:rsidRPr="00C93159" w:rsidTr="00C93159">
        <w:trPr>
          <w:trHeight w:val="285"/>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r>
      <w:tr w:rsidR="00C93159" w:rsidRPr="00C93159" w:rsidTr="00C93159">
        <w:trPr>
          <w:tblCellSpacing w:w="22"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w:t>
            </w:r>
          </w:p>
        </w:tc>
        <w:tc>
          <w:tcPr>
            <w:tcW w:w="5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w:t>
            </w:r>
          </w:p>
        </w:tc>
        <w:tc>
          <w:tcPr>
            <w:tcW w:w="5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3</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4</w:t>
            </w:r>
          </w:p>
        </w:tc>
        <w:tc>
          <w:tcPr>
            <w:tcW w:w="3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5</w:t>
            </w:r>
          </w:p>
        </w:tc>
        <w:tc>
          <w:tcPr>
            <w:tcW w:w="2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6</w:t>
            </w:r>
          </w:p>
        </w:tc>
        <w:tc>
          <w:tcPr>
            <w:tcW w:w="11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7</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8</w:t>
            </w:r>
          </w:p>
        </w:tc>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9</w:t>
            </w:r>
          </w:p>
        </w:tc>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10</w:t>
            </w:r>
          </w:p>
        </w:tc>
      </w:tr>
    </w:tbl>
    <w:p w:rsidR="00C93159" w:rsidRPr="00C93159" w:rsidRDefault="00C93159" w:rsidP="00C93159">
      <w:pPr>
        <w:rPr>
          <w:lang w:val="uk-UA"/>
        </w:rPr>
      </w:pPr>
      <w:r w:rsidRPr="00C93159">
        <w:rPr>
          <w:lang w:val="uk-UA"/>
        </w:rPr>
        <w:br w:type="textWrapping" w:clear="all"/>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07"/>
        <w:gridCol w:w="937"/>
        <w:gridCol w:w="784"/>
        <w:gridCol w:w="955"/>
        <w:gridCol w:w="784"/>
        <w:gridCol w:w="829"/>
        <w:gridCol w:w="981"/>
        <w:gridCol w:w="1198"/>
        <w:gridCol w:w="1118"/>
        <w:gridCol w:w="1140"/>
      </w:tblGrid>
      <w:tr w:rsidR="00C93159" w:rsidRPr="00C93159" w:rsidTr="00C93159">
        <w:trPr>
          <w:tblCellSpacing w:w="22" w:type="dxa"/>
        </w:trPr>
        <w:tc>
          <w:tcPr>
            <w:tcW w:w="5000" w:type="pct"/>
            <w:gridSpan w:val="10"/>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БОРГ</w:t>
            </w:r>
          </w:p>
        </w:tc>
      </w:tr>
      <w:tr w:rsidR="00C93159" w:rsidRPr="00C93159" w:rsidTr="00C93159">
        <w:trPr>
          <w:trHeight w:val="285"/>
          <w:tblCellSpacing w:w="22"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N договору</w:t>
            </w:r>
          </w:p>
        </w:tc>
        <w:tc>
          <w:tcPr>
            <w:tcW w:w="5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унікальний код</w:t>
            </w:r>
          </w:p>
        </w:tc>
        <w:tc>
          <w:tcPr>
            <w:tcW w:w="4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дата договору</w:t>
            </w:r>
          </w:p>
        </w:tc>
        <w:tc>
          <w:tcPr>
            <w:tcW w:w="5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балансовий рахунок</w:t>
            </w:r>
          </w:p>
        </w:tc>
        <w:tc>
          <w:tcPr>
            <w:tcW w:w="4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предмет договору (назва, опис тощо)</w:t>
            </w:r>
          </w:p>
        </w:tc>
        <w:tc>
          <w:tcPr>
            <w:tcW w:w="4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 xml:space="preserve">код валюти </w:t>
            </w:r>
            <w:r w:rsidRPr="00C93159">
              <w:rPr>
                <w:sz w:val="20"/>
                <w:szCs w:val="20"/>
              </w:rPr>
              <w:br/>
              <w:t>(довідник НБУ)</w:t>
            </w:r>
          </w:p>
        </w:tc>
        <w:tc>
          <w:tcPr>
            <w:tcW w:w="5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дата виникнення боргу</w:t>
            </w:r>
          </w:p>
        </w:tc>
        <w:tc>
          <w:tcPr>
            <w:tcW w:w="6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балансова вартість заборгованості (грн еквівалент)</w:t>
            </w:r>
          </w:p>
        </w:tc>
        <w:tc>
          <w:tcPr>
            <w:tcW w:w="6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дата виникнення прострочення</w:t>
            </w:r>
          </w:p>
        </w:tc>
        <w:tc>
          <w:tcPr>
            <w:tcW w:w="6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кількість днів прострочення</w:t>
            </w:r>
          </w:p>
        </w:tc>
      </w:tr>
      <w:tr w:rsidR="00C93159" w:rsidRPr="00C93159" w:rsidTr="00C93159">
        <w:trPr>
          <w:trHeight w:val="285"/>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r>
      <w:tr w:rsidR="00C93159" w:rsidRPr="00C93159" w:rsidTr="00C93159">
        <w:trPr>
          <w:trHeight w:val="285"/>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r>
      <w:tr w:rsidR="00C93159" w:rsidRPr="00C93159" w:rsidTr="00C93159">
        <w:trPr>
          <w:tblCellSpacing w:w="22"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11</w:t>
            </w:r>
          </w:p>
        </w:tc>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12</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13</w:t>
            </w:r>
          </w:p>
        </w:tc>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14</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15</w:t>
            </w:r>
          </w:p>
        </w:tc>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16</w:t>
            </w:r>
          </w:p>
        </w:tc>
        <w:tc>
          <w:tcPr>
            <w:tcW w:w="5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17</w:t>
            </w:r>
          </w:p>
        </w:tc>
        <w:tc>
          <w:tcPr>
            <w:tcW w:w="6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18</w:t>
            </w:r>
          </w:p>
        </w:tc>
        <w:tc>
          <w:tcPr>
            <w:tcW w:w="6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19</w:t>
            </w:r>
          </w:p>
        </w:tc>
        <w:tc>
          <w:tcPr>
            <w:tcW w:w="6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20</w:t>
            </w:r>
          </w:p>
        </w:tc>
      </w:tr>
    </w:tbl>
    <w:p w:rsidR="00C93159" w:rsidRPr="00C93159" w:rsidRDefault="00C93159" w:rsidP="00C93159">
      <w:pPr>
        <w:rPr>
          <w:lang w:val="uk-UA"/>
        </w:rPr>
      </w:pPr>
      <w:r w:rsidRPr="00C93159">
        <w:rPr>
          <w:lang w:val="uk-UA"/>
        </w:rPr>
        <w:br w:type="textWrapping" w:clear="all"/>
      </w:r>
    </w:p>
    <w:tbl>
      <w:tblPr>
        <w:tblW w:w="375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56"/>
        <w:gridCol w:w="534"/>
        <w:gridCol w:w="534"/>
        <w:gridCol w:w="534"/>
        <w:gridCol w:w="534"/>
        <w:gridCol w:w="534"/>
        <w:gridCol w:w="1457"/>
        <w:gridCol w:w="1408"/>
        <w:gridCol w:w="1430"/>
      </w:tblGrid>
      <w:tr w:rsidR="00C93159" w:rsidRPr="00C93159" w:rsidTr="00C93159">
        <w:trPr>
          <w:tblCellSpacing w:w="22" w:type="dxa"/>
        </w:trPr>
        <w:tc>
          <w:tcPr>
            <w:tcW w:w="5000" w:type="pct"/>
            <w:gridSpan w:val="9"/>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pPr>
            <w:r w:rsidRPr="00C93159">
              <w:rPr>
                <w:sz w:val="20"/>
                <w:szCs w:val="20"/>
              </w:rPr>
              <w:t> </w:t>
            </w:r>
          </w:p>
        </w:tc>
      </w:tr>
      <w:tr w:rsidR="00C93159" w:rsidRPr="00C93159" w:rsidTr="00C93159">
        <w:trPr>
          <w:tblCellSpacing w:w="22" w:type="dxa"/>
        </w:trPr>
        <w:tc>
          <w:tcPr>
            <w:tcW w:w="5000" w:type="pct"/>
            <w:gridSpan w:val="9"/>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pPr>
            <w:r w:rsidRPr="00C93159">
              <w:rPr>
                <w:sz w:val="20"/>
                <w:szCs w:val="20"/>
              </w:rPr>
              <w:t>план-графік надходжень в погашення кредиту (грн еквівалент)</w:t>
            </w:r>
          </w:p>
        </w:tc>
      </w:tr>
      <w:tr w:rsidR="00C93159" w:rsidRPr="00C93159" w:rsidTr="00C93159">
        <w:trPr>
          <w:tblCellSpacing w:w="22" w:type="dxa"/>
        </w:trPr>
        <w:tc>
          <w:tcPr>
            <w:tcW w:w="2100" w:type="pct"/>
            <w:gridSpan w:val="6"/>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план-графік погашення (тіло + % % + комісії)</w:t>
            </w:r>
          </w:p>
        </w:tc>
        <w:tc>
          <w:tcPr>
            <w:tcW w:w="11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планова дата наступного платежу за основною заборгованістю</w:t>
            </w:r>
          </w:p>
        </w:tc>
        <w:tc>
          <w:tcPr>
            <w:tcW w:w="9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ознака поточної заборгованості</w:t>
            </w:r>
          </w:p>
        </w:tc>
        <w:tc>
          <w:tcPr>
            <w:tcW w:w="9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планова дата погашення заборгованості</w:t>
            </w:r>
          </w:p>
        </w:tc>
      </w:tr>
      <w:tr w:rsidR="00C93159" w:rsidRPr="00C93159" w:rsidTr="00C93159">
        <w:trPr>
          <w:tblCellSpacing w:w="22"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2015</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2016</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2017</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2018</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2019</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2020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r>
      <w:tr w:rsidR="00C93159" w:rsidRPr="00C93159" w:rsidTr="00C93159">
        <w:trPr>
          <w:tblCellSpacing w:w="22"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21</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22</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23</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24</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25</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26</w:t>
            </w:r>
          </w:p>
        </w:tc>
        <w:tc>
          <w:tcPr>
            <w:tcW w:w="11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27</w:t>
            </w:r>
          </w:p>
        </w:tc>
        <w:tc>
          <w:tcPr>
            <w:tcW w:w="9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28</w:t>
            </w:r>
          </w:p>
        </w:tc>
        <w:tc>
          <w:tcPr>
            <w:tcW w:w="90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29</w:t>
            </w:r>
          </w:p>
        </w:tc>
      </w:tr>
    </w:tbl>
    <w:p w:rsidR="00C93159" w:rsidRPr="00C93159" w:rsidRDefault="00C93159" w:rsidP="00C93159">
      <w:pPr>
        <w:rPr>
          <w:lang w:val="uk-UA"/>
        </w:rPr>
      </w:pPr>
      <w:r w:rsidRPr="00C93159">
        <w:rPr>
          <w:lang w:val="uk-UA"/>
        </w:rPr>
        <w:br w:type="textWrapping" w:clear="all"/>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37"/>
        <w:gridCol w:w="815"/>
        <w:gridCol w:w="814"/>
        <w:gridCol w:w="814"/>
        <w:gridCol w:w="814"/>
        <w:gridCol w:w="901"/>
        <w:gridCol w:w="747"/>
        <w:gridCol w:w="881"/>
        <w:gridCol w:w="894"/>
        <w:gridCol w:w="1119"/>
        <w:gridCol w:w="897"/>
      </w:tblGrid>
      <w:tr w:rsidR="00C93159" w:rsidRPr="00C93159" w:rsidTr="00C93159">
        <w:trPr>
          <w:tblCellSpacing w:w="22" w:type="dxa"/>
        </w:trPr>
        <w:tc>
          <w:tcPr>
            <w:tcW w:w="5000" w:type="pct"/>
            <w:gridSpan w:val="11"/>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center"/>
            </w:pPr>
            <w:r w:rsidRPr="00C93159">
              <w:rPr>
                <w:sz w:val="20"/>
                <w:szCs w:val="20"/>
              </w:rPr>
              <w:t>ЗАБЕЗПЕЧЕННЯ</w:t>
            </w:r>
          </w:p>
        </w:tc>
      </w:tr>
      <w:tr w:rsidR="00C93159" w:rsidRPr="00C93159" w:rsidTr="00C93159">
        <w:trPr>
          <w:trHeight w:val="285"/>
          <w:tblCellSpacing w:w="22" w:type="dxa"/>
        </w:trPr>
        <w:tc>
          <w:tcPr>
            <w:tcW w:w="4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 xml:space="preserve">код забезпечення за довідником НБУ </w:t>
            </w:r>
            <w:r w:rsidRPr="00C93159">
              <w:rPr>
                <w:sz w:val="20"/>
                <w:szCs w:val="20"/>
              </w:rPr>
              <w:lastRenderedPageBreak/>
              <w:t>S031</w:t>
            </w:r>
          </w:p>
        </w:tc>
        <w:tc>
          <w:tcPr>
            <w:tcW w:w="4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lastRenderedPageBreak/>
              <w:t xml:space="preserve">балансова вартість забезпечення (грн </w:t>
            </w:r>
            <w:r w:rsidRPr="00C93159">
              <w:rPr>
                <w:sz w:val="20"/>
                <w:szCs w:val="20"/>
              </w:rPr>
              <w:lastRenderedPageBreak/>
              <w:t>еквівалент)</w:t>
            </w:r>
          </w:p>
        </w:tc>
        <w:tc>
          <w:tcPr>
            <w:tcW w:w="3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lastRenderedPageBreak/>
              <w:t>дата незалежної оцінки забезпечення</w:t>
            </w:r>
          </w:p>
        </w:tc>
        <w:tc>
          <w:tcPr>
            <w:tcW w:w="4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 xml:space="preserve">оціночна вартість забезпечення (грн </w:t>
            </w:r>
            <w:r w:rsidRPr="00C93159">
              <w:rPr>
                <w:sz w:val="20"/>
                <w:szCs w:val="20"/>
              </w:rPr>
              <w:lastRenderedPageBreak/>
              <w:t>еквівалент)</w:t>
            </w:r>
          </w:p>
        </w:tc>
        <w:tc>
          <w:tcPr>
            <w:tcW w:w="4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lastRenderedPageBreak/>
              <w:t>текстовий опис забезпечення</w:t>
            </w:r>
          </w:p>
        </w:tc>
        <w:tc>
          <w:tcPr>
            <w:tcW w:w="4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опис предмета спору щодо стягнення заборгов</w:t>
            </w:r>
            <w:r w:rsidRPr="00C93159">
              <w:rPr>
                <w:sz w:val="20"/>
                <w:szCs w:val="20"/>
              </w:rPr>
              <w:lastRenderedPageBreak/>
              <w:t>аності</w:t>
            </w:r>
          </w:p>
        </w:tc>
        <w:tc>
          <w:tcPr>
            <w:tcW w:w="4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lastRenderedPageBreak/>
              <w:t xml:space="preserve">стадія претезійно- позовної роботи (код): </w:t>
            </w:r>
            <w:r w:rsidRPr="00C93159">
              <w:rPr>
                <w:sz w:val="20"/>
                <w:szCs w:val="20"/>
              </w:rPr>
              <w:lastRenderedPageBreak/>
              <w:t>0 - немає предмета спору; 1 - софт-колекшн, 2 - хард-колекшн, претензія; 3 - позов у першій інстанції; 4 - апеляція; 5 - касація; 6 - державна виконавча служба, договірне стягнення; 7 - подальше звернення стягнення неможливе)</w:t>
            </w:r>
          </w:p>
        </w:tc>
        <w:tc>
          <w:tcPr>
            <w:tcW w:w="4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lastRenderedPageBreak/>
              <w:t>результат останнього судового розгляд</w:t>
            </w:r>
            <w:r w:rsidRPr="00C93159">
              <w:rPr>
                <w:sz w:val="20"/>
                <w:szCs w:val="20"/>
              </w:rPr>
              <w:lastRenderedPageBreak/>
              <w:t xml:space="preserve">у </w:t>
            </w:r>
            <w:r w:rsidRPr="00C93159">
              <w:rPr>
                <w:sz w:val="20"/>
                <w:szCs w:val="20"/>
              </w:rPr>
              <w:br/>
              <w:t xml:space="preserve">(0 - на користь банку; </w:t>
            </w:r>
            <w:r w:rsidRPr="00C93159">
              <w:rPr>
                <w:sz w:val="20"/>
                <w:szCs w:val="20"/>
              </w:rPr>
              <w:br/>
              <w:t>1 - на користь позичальника)</w:t>
            </w:r>
          </w:p>
        </w:tc>
        <w:tc>
          <w:tcPr>
            <w:tcW w:w="4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lastRenderedPageBreak/>
              <w:t>ознака внесення у державні реєстри інформа</w:t>
            </w:r>
            <w:r w:rsidRPr="00C93159">
              <w:rPr>
                <w:sz w:val="20"/>
                <w:szCs w:val="20"/>
              </w:rPr>
              <w:lastRenderedPageBreak/>
              <w:t xml:space="preserve">ції про обтяження на предмет застави (забезпечення) </w:t>
            </w:r>
            <w:r w:rsidRPr="00C93159">
              <w:rPr>
                <w:sz w:val="20"/>
                <w:szCs w:val="20"/>
              </w:rPr>
              <w:br/>
              <w:t xml:space="preserve">(0 - є інформація у державних реєстрах, </w:t>
            </w:r>
            <w:r w:rsidRPr="00C93159">
              <w:rPr>
                <w:sz w:val="20"/>
                <w:szCs w:val="20"/>
              </w:rPr>
              <w:br/>
              <w:t>1 - відсутня інформація у державних реєстрах)</w:t>
            </w:r>
          </w:p>
        </w:tc>
        <w:tc>
          <w:tcPr>
            <w:tcW w:w="7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lastRenderedPageBreak/>
              <w:t>ознака, що банк є єдиним заставодержателем або заставодер</w:t>
            </w:r>
            <w:r w:rsidRPr="00C93159">
              <w:rPr>
                <w:sz w:val="20"/>
                <w:szCs w:val="20"/>
              </w:rPr>
              <w:lastRenderedPageBreak/>
              <w:t xml:space="preserve">жателем першої черги </w:t>
            </w:r>
            <w:r w:rsidRPr="00C93159">
              <w:rPr>
                <w:sz w:val="20"/>
                <w:szCs w:val="20"/>
              </w:rPr>
              <w:br/>
              <w:t xml:space="preserve">(0 - перший / єдиний заставодержатель, </w:t>
            </w:r>
            <w:r w:rsidRPr="00C93159">
              <w:rPr>
                <w:sz w:val="20"/>
                <w:szCs w:val="20"/>
              </w:rPr>
              <w:br/>
              <w:t>1 - не перший заставодержатель)</w:t>
            </w:r>
          </w:p>
        </w:tc>
        <w:tc>
          <w:tcPr>
            <w:tcW w:w="4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lastRenderedPageBreak/>
              <w:t xml:space="preserve">ЄДРПОУ / реєстраційний номер облікової </w:t>
            </w:r>
            <w:r w:rsidRPr="00C93159">
              <w:rPr>
                <w:sz w:val="20"/>
                <w:szCs w:val="20"/>
              </w:rPr>
              <w:lastRenderedPageBreak/>
              <w:t>картки платника податків особи - власника активів, переданих у забезпечення, поручителя, гаранта</w:t>
            </w:r>
          </w:p>
        </w:tc>
      </w:tr>
      <w:tr w:rsidR="00C93159" w:rsidRPr="00C93159" w:rsidTr="00C93159">
        <w:trPr>
          <w:trHeight w:val="285"/>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r>
      <w:tr w:rsidR="00C93159" w:rsidRPr="00C93159" w:rsidTr="00C93159">
        <w:trPr>
          <w:trHeight w:val="285"/>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r>
      <w:tr w:rsidR="00C93159" w:rsidRPr="00C93159" w:rsidTr="00C93159">
        <w:trPr>
          <w:tblCellSpacing w:w="22"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lastRenderedPageBreak/>
              <w:t>30</w:t>
            </w:r>
          </w:p>
        </w:tc>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31</w:t>
            </w:r>
          </w:p>
        </w:tc>
        <w:tc>
          <w:tcPr>
            <w:tcW w:w="3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32</w:t>
            </w:r>
          </w:p>
        </w:tc>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33</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34</w:t>
            </w:r>
          </w:p>
        </w:tc>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35</w:t>
            </w:r>
          </w:p>
        </w:tc>
        <w:tc>
          <w:tcPr>
            <w:tcW w:w="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36</w:t>
            </w:r>
          </w:p>
        </w:tc>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37</w:t>
            </w:r>
          </w:p>
        </w:tc>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38</w:t>
            </w:r>
          </w:p>
        </w:tc>
        <w:tc>
          <w:tcPr>
            <w:tcW w:w="7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39</w:t>
            </w:r>
          </w:p>
        </w:tc>
        <w:tc>
          <w:tcPr>
            <w:tcW w:w="4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40</w:t>
            </w:r>
          </w:p>
        </w:tc>
      </w:tr>
    </w:tbl>
    <w:p w:rsidR="00C93159" w:rsidRPr="00C93159" w:rsidRDefault="00C93159" w:rsidP="00C93159">
      <w:pPr>
        <w:rPr>
          <w:lang w:val="uk-UA"/>
        </w:rPr>
      </w:pPr>
      <w:r w:rsidRPr="00C93159">
        <w:rPr>
          <w:lang w:val="uk-UA"/>
        </w:rPr>
        <w:br w:type="textWrapping" w:clear="all"/>
      </w:r>
    </w:p>
    <w:tbl>
      <w:tblPr>
        <w:tblW w:w="175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827"/>
        <w:gridCol w:w="1052"/>
        <w:gridCol w:w="1497"/>
      </w:tblGrid>
      <w:tr w:rsidR="00C93159" w:rsidRPr="00C93159" w:rsidTr="00C93159">
        <w:trPr>
          <w:tblCellSpacing w:w="22" w:type="dxa"/>
        </w:trPr>
        <w:tc>
          <w:tcPr>
            <w:tcW w:w="5000" w:type="pct"/>
            <w:gridSpan w:val="3"/>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pPr>
            <w:r w:rsidRPr="00C93159">
              <w:rPr>
                <w:sz w:val="20"/>
                <w:szCs w:val="20"/>
              </w:rPr>
              <w:t>ІНШІ ДАНІ</w:t>
            </w:r>
          </w:p>
        </w:tc>
      </w:tr>
      <w:tr w:rsidR="00C93159" w:rsidRPr="00C93159" w:rsidTr="00C93159">
        <w:trPr>
          <w:trHeight w:val="285"/>
          <w:tblCellSpacing w:w="22" w:type="dxa"/>
        </w:trPr>
        <w:tc>
          <w:tcPr>
            <w:tcW w:w="19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ЄДРПОУ / реєстраційний номер облікової картки платника податків заставоутримувача, якому передано заборгованість у забезпечення за зобов'язаннями банку (кредиту рефінансування тощо)</w:t>
            </w:r>
          </w:p>
        </w:tc>
        <w:tc>
          <w:tcPr>
            <w:tcW w:w="140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примітки (коментарі щодо наведених даних)</w:t>
            </w:r>
          </w:p>
        </w:tc>
        <w:tc>
          <w:tcPr>
            <w:tcW w:w="1650" w:type="pct"/>
            <w:vMerge w:val="restar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jc w:val="center"/>
            </w:pPr>
            <w:r w:rsidRPr="00C93159">
              <w:rPr>
                <w:sz w:val="20"/>
                <w:szCs w:val="20"/>
              </w:rPr>
              <w:t>інше (додаткова інформація, що є важливою для оцінки вартості заборгованості)</w:t>
            </w:r>
          </w:p>
        </w:tc>
      </w:tr>
      <w:tr w:rsidR="00C93159" w:rsidRPr="00C93159" w:rsidTr="00C93159">
        <w:trPr>
          <w:trHeight w:val="285"/>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r>
      <w:tr w:rsidR="00C93159" w:rsidRPr="00C93159" w:rsidTr="00C93159">
        <w:trPr>
          <w:trHeight w:val="285"/>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c>
          <w:tcPr>
            <w:tcW w:w="0" w:type="auto"/>
            <w:vMerge/>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tc>
      </w:tr>
      <w:tr w:rsidR="00C93159" w:rsidRPr="00C93159" w:rsidTr="00C93159">
        <w:trPr>
          <w:tblCellSpacing w:w="22" w:type="dxa"/>
        </w:trPr>
        <w:tc>
          <w:tcPr>
            <w:tcW w:w="19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lastRenderedPageBreak/>
              <w:t>41</w:t>
            </w:r>
          </w:p>
        </w:tc>
        <w:tc>
          <w:tcPr>
            <w:tcW w:w="140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42</w:t>
            </w:r>
          </w:p>
        </w:tc>
        <w:tc>
          <w:tcPr>
            <w:tcW w:w="16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rPr>
                <w:sz w:val="20"/>
                <w:szCs w:val="20"/>
              </w:rPr>
              <w:t>43</w:t>
            </w:r>
          </w:p>
        </w:tc>
      </w:tr>
    </w:tbl>
    <w:p w:rsidR="00C93159" w:rsidRPr="00C93159" w:rsidRDefault="00C93159" w:rsidP="00C93159">
      <w:pPr>
        <w:rPr>
          <w:lang w:val="uk-UA"/>
        </w:rPr>
      </w:pPr>
      <w:r w:rsidRPr="00C93159">
        <w:rPr>
          <w:lang w:val="uk-UA"/>
        </w:rPr>
        <w:br w:type="textWrapping" w:clear="all"/>
      </w:r>
    </w:p>
    <w:p w:rsidR="00C93159" w:rsidRPr="00C93159" w:rsidRDefault="00C93159" w:rsidP="00C93159">
      <w:pPr>
        <w:pStyle w:val="a3"/>
        <w:jc w:val="both"/>
        <w:rPr>
          <w:lang w:val="uk-UA"/>
        </w:rPr>
      </w:pPr>
      <w:r w:rsidRPr="00C93159">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C93159" w:rsidRPr="00C93159" w:rsidTr="00C93159">
        <w:trPr>
          <w:tblCellSpacing w:w="22" w:type="dxa"/>
        </w:trPr>
        <w:tc>
          <w:tcPr>
            <w:tcW w:w="5000" w:type="pct"/>
            <w:hideMark/>
          </w:tcPr>
          <w:p w:rsidR="00C93159" w:rsidRPr="00C93159" w:rsidRDefault="00C93159">
            <w:pPr>
              <w:pStyle w:val="a3"/>
            </w:pPr>
            <w:r w:rsidRPr="00C93159">
              <w:t>Додаток 2</w:t>
            </w:r>
            <w:r w:rsidRPr="00C93159">
              <w:br/>
              <w:t>до Методики оцінки активів банку, віднесеного до категорії проблемних або неплатоспроможних</w:t>
            </w:r>
            <w:r w:rsidRPr="00C93159">
              <w:br/>
              <w:t>(пункт 2 розділу III)</w:t>
            </w:r>
          </w:p>
        </w:tc>
      </w:tr>
    </w:tbl>
    <w:p w:rsidR="00C93159" w:rsidRPr="00C93159" w:rsidRDefault="00C93159" w:rsidP="00C93159">
      <w:pPr>
        <w:pStyle w:val="a3"/>
        <w:jc w:val="both"/>
        <w:rPr>
          <w:lang w:val="uk-UA"/>
        </w:rPr>
      </w:pPr>
      <w:r w:rsidRPr="00C93159">
        <w:rPr>
          <w:lang w:val="uk-UA"/>
        </w:rPr>
        <w:br w:type="textWrapping" w:clear="all"/>
      </w:r>
    </w:p>
    <w:p w:rsidR="00C93159" w:rsidRPr="00C93159" w:rsidRDefault="00C93159" w:rsidP="00C93159">
      <w:pPr>
        <w:pStyle w:val="3"/>
        <w:jc w:val="center"/>
        <w:rPr>
          <w:lang w:val="uk-UA"/>
        </w:rPr>
      </w:pPr>
      <w:r w:rsidRPr="00C93159">
        <w:rPr>
          <w:lang w:val="uk-UA"/>
        </w:rPr>
        <w:t>Типи застави</w:t>
      </w:r>
    </w:p>
    <w:p w:rsidR="00C93159" w:rsidRPr="00C93159" w:rsidRDefault="00C93159" w:rsidP="00C93159">
      <w:pPr>
        <w:pStyle w:val="a3"/>
        <w:jc w:val="both"/>
        <w:rPr>
          <w:lang w:val="uk-UA"/>
        </w:rPr>
      </w:pPr>
      <w:r w:rsidRPr="00C93159">
        <w:rPr>
          <w:lang w:val="uk-UA"/>
        </w:rPr>
        <w:t>Інформація по кожному кредиту містить код застави, визначений за довідником Кодів забезпечення Національного банку України.</w:t>
      </w:r>
    </w:p>
    <w:p w:rsidR="00C93159" w:rsidRPr="00C93159" w:rsidRDefault="00C93159" w:rsidP="00C93159">
      <w:pPr>
        <w:pStyle w:val="a3"/>
        <w:jc w:val="both"/>
        <w:rPr>
          <w:lang w:val="uk-UA"/>
        </w:rPr>
      </w:pPr>
      <w:r w:rsidRPr="00C93159">
        <w:rPr>
          <w:lang w:val="uk-UA"/>
        </w:rPr>
        <w:t>Для спрощення аналізу кредити поділяються на чотири типи - забезпечені кредити фізичним особам (споживчі), забезпечені кредити юридичним особам (комерційні), незабезпечені кредити та кредити, забезпечені фінансовими гарантіями. У разі наявності за кредитом декількох видів застави тип кредиту визначається таким, що відповідає заставі з найбільшою оціночною вартістю.</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852"/>
        <w:gridCol w:w="7681"/>
      </w:tblGrid>
      <w:tr w:rsidR="00C93159" w:rsidRPr="00C93159" w:rsidTr="00C93159">
        <w:trPr>
          <w:tblCellSpacing w:w="22" w:type="dxa"/>
        </w:trPr>
        <w:tc>
          <w:tcPr>
            <w:tcW w:w="9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t>Тип</w:t>
            </w:r>
          </w:p>
        </w:tc>
        <w:tc>
          <w:tcPr>
            <w:tcW w:w="40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jc w:val="center"/>
            </w:pPr>
            <w:r w:rsidRPr="00C93159">
              <w:t>Код застави</w:t>
            </w:r>
          </w:p>
        </w:tc>
      </w:tr>
      <w:tr w:rsidR="00C93159" w:rsidRPr="00C93159" w:rsidTr="00C93159">
        <w:trPr>
          <w:tblCellSpacing w:w="22" w:type="dxa"/>
        </w:trPr>
        <w:tc>
          <w:tcPr>
            <w:tcW w:w="9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pPr>
            <w:r w:rsidRPr="00C93159">
              <w:t>Споживчі</w:t>
            </w:r>
          </w:p>
        </w:tc>
        <w:tc>
          <w:tcPr>
            <w:tcW w:w="40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pPr>
            <w:r w:rsidRPr="00C93159">
              <w:t>25, 26, 31, 35, 38, 41, 42</w:t>
            </w:r>
          </w:p>
        </w:tc>
      </w:tr>
      <w:tr w:rsidR="00C93159" w:rsidRPr="00C93159" w:rsidTr="00C93159">
        <w:trPr>
          <w:tblCellSpacing w:w="22" w:type="dxa"/>
        </w:trPr>
        <w:tc>
          <w:tcPr>
            <w:tcW w:w="9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pPr>
            <w:r w:rsidRPr="00C93159">
              <w:t>Комерційні</w:t>
            </w:r>
          </w:p>
        </w:tc>
        <w:tc>
          <w:tcPr>
            <w:tcW w:w="40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pPr>
            <w:r w:rsidRPr="00C93159">
              <w:t>25, 26, 31, 35, 37, 38, 43, 44, 50, 51, 56</w:t>
            </w:r>
          </w:p>
        </w:tc>
      </w:tr>
      <w:tr w:rsidR="00C93159" w:rsidRPr="00C93159" w:rsidTr="00C93159">
        <w:trPr>
          <w:tblCellSpacing w:w="22" w:type="dxa"/>
        </w:trPr>
        <w:tc>
          <w:tcPr>
            <w:tcW w:w="9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pPr>
            <w:r w:rsidRPr="00C93159">
              <w:t>Незабезпечені</w:t>
            </w:r>
          </w:p>
        </w:tc>
        <w:tc>
          <w:tcPr>
            <w:tcW w:w="40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pPr>
            <w:r w:rsidRPr="00C93159">
              <w:t>24, 28, 29, 30, 32, 33, 36, 45, 52, 53, 54, 55, 90</w:t>
            </w:r>
          </w:p>
        </w:tc>
      </w:tr>
      <w:tr w:rsidR="00C93159" w:rsidRPr="00C93159" w:rsidTr="00C93159">
        <w:trPr>
          <w:tblCellSpacing w:w="22" w:type="dxa"/>
        </w:trPr>
        <w:tc>
          <w:tcPr>
            <w:tcW w:w="9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pPr>
            <w:r w:rsidRPr="00C93159">
              <w:t>Забезпечені фінансовими гарантіями</w:t>
            </w:r>
          </w:p>
        </w:tc>
        <w:tc>
          <w:tcPr>
            <w:tcW w:w="4050" w:type="pct"/>
            <w:tcBorders>
              <w:top w:val="outset" w:sz="6" w:space="0" w:color="auto"/>
              <w:left w:val="outset" w:sz="6" w:space="0" w:color="auto"/>
              <w:bottom w:val="outset" w:sz="6" w:space="0" w:color="auto"/>
              <w:right w:val="outset" w:sz="6" w:space="0" w:color="auto"/>
            </w:tcBorders>
            <w:hideMark/>
          </w:tcPr>
          <w:p w:rsidR="00C93159" w:rsidRPr="00C93159" w:rsidRDefault="00C93159">
            <w:pPr>
              <w:pStyle w:val="a3"/>
            </w:pPr>
            <w:r w:rsidRPr="00C93159">
              <w:t>11, 15, 18, 19, 20, 21, 23, 31, 34, 36, 39, 57, 58, 59, 60, 61, 62, 63, 64, 65</w:t>
            </w:r>
          </w:p>
        </w:tc>
      </w:tr>
    </w:tbl>
    <w:p w:rsidR="00C93159" w:rsidRPr="00C93159" w:rsidRDefault="00C93159" w:rsidP="00C93159">
      <w:pPr>
        <w:pStyle w:val="a3"/>
        <w:jc w:val="both"/>
        <w:rPr>
          <w:lang w:val="uk-UA"/>
        </w:rPr>
      </w:pPr>
      <w:r w:rsidRPr="00C93159">
        <w:rPr>
          <w:lang w:val="uk-UA"/>
        </w:rPr>
        <w:br w:type="textWrapping" w:clear="all"/>
      </w:r>
    </w:p>
    <w:p w:rsidR="00C93159" w:rsidRPr="00C93159" w:rsidRDefault="00C93159" w:rsidP="00C93159">
      <w:pPr>
        <w:pStyle w:val="a3"/>
        <w:jc w:val="both"/>
        <w:rPr>
          <w:lang w:val="uk-UA"/>
        </w:rPr>
      </w:pPr>
      <w:r w:rsidRPr="00C93159">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C93159" w:rsidRPr="00C93159" w:rsidTr="00C93159">
        <w:trPr>
          <w:tblCellSpacing w:w="22" w:type="dxa"/>
        </w:trPr>
        <w:tc>
          <w:tcPr>
            <w:tcW w:w="5000" w:type="pct"/>
            <w:hideMark/>
          </w:tcPr>
          <w:p w:rsidR="00C93159" w:rsidRPr="00C93159" w:rsidRDefault="00C93159">
            <w:pPr>
              <w:pStyle w:val="a3"/>
            </w:pPr>
            <w:r w:rsidRPr="00C93159">
              <w:t>Додаток 3</w:t>
            </w:r>
            <w:r w:rsidRPr="00C93159">
              <w:br/>
              <w:t>до Методики оцінки активів банку, віднесеного до категорії проблемних або неплатоспроможних</w:t>
            </w:r>
            <w:r w:rsidRPr="00C93159">
              <w:br/>
              <w:t>(пункт 2 розділу III)</w:t>
            </w:r>
          </w:p>
        </w:tc>
      </w:tr>
    </w:tbl>
    <w:p w:rsidR="00C93159" w:rsidRPr="00C93159" w:rsidRDefault="00C93159" w:rsidP="00C93159">
      <w:pPr>
        <w:pStyle w:val="a3"/>
        <w:jc w:val="both"/>
        <w:rPr>
          <w:lang w:val="uk-UA"/>
        </w:rPr>
      </w:pPr>
      <w:r w:rsidRPr="00C93159">
        <w:rPr>
          <w:lang w:val="uk-UA"/>
        </w:rPr>
        <w:br w:type="textWrapping" w:clear="all"/>
      </w:r>
    </w:p>
    <w:p w:rsidR="00C93159" w:rsidRPr="00C93159" w:rsidRDefault="00C93159" w:rsidP="00C93159">
      <w:pPr>
        <w:pStyle w:val="3"/>
        <w:jc w:val="center"/>
        <w:rPr>
          <w:lang w:val="uk-UA"/>
        </w:rPr>
      </w:pPr>
      <w:r w:rsidRPr="00C93159">
        <w:rPr>
          <w:lang w:val="uk-UA"/>
        </w:rPr>
        <w:t>Коди видів забезпечення відповідно до класифікатора Національного банку України "KL_S031"</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59"/>
        <w:gridCol w:w="8974"/>
      </w:tblGrid>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lastRenderedPageBreak/>
              <w:t>Код</w:t>
            </w:r>
          </w:p>
        </w:tc>
        <w:tc>
          <w:tcPr>
            <w:tcW w:w="47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pPr>
            <w:r w:rsidRPr="00C93159">
              <w:t>Вид забезпечення</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t>11</w:t>
            </w:r>
          </w:p>
        </w:tc>
        <w:tc>
          <w:tcPr>
            <w:tcW w:w="47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pPr>
            <w:r w:rsidRPr="00C93159">
              <w:t>Гарантії Кабінету Міністрів України</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t>15</w:t>
            </w:r>
          </w:p>
        </w:tc>
        <w:tc>
          <w:tcPr>
            <w:tcW w:w="47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pPr>
            <w:r w:rsidRPr="00C93159">
              <w:t>Майнові права на грошові кошти, розміщені на вкладному (депозитному) рахунку в банку з рейтингом не нижче "А", іменні ощадні (депозитні) сертифікати</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t>18</w:t>
            </w:r>
          </w:p>
        </w:tc>
        <w:tc>
          <w:tcPr>
            <w:tcW w:w="47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pPr>
            <w:r w:rsidRPr="00C93159">
              <w:t>Майнові права на грошові кошти, розміщені на вкладному (депозитному) рахунку банку з рейтингом не нижче ніж "інвестиційний клас"</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t>19</w:t>
            </w:r>
          </w:p>
        </w:tc>
        <w:tc>
          <w:tcPr>
            <w:tcW w:w="47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pPr>
            <w:r w:rsidRPr="00C93159">
              <w:t>Цінні папери, емітовані Національним банком України</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t>20</w:t>
            </w:r>
          </w:p>
        </w:tc>
        <w:tc>
          <w:tcPr>
            <w:tcW w:w="47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pPr>
            <w:r w:rsidRPr="00C93159">
              <w:t>Облігації Державної іпотечної установи, розміщення яких здійснено під гарантію Кабінету Міністрів України</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t>21</w:t>
            </w:r>
          </w:p>
        </w:tc>
        <w:tc>
          <w:tcPr>
            <w:tcW w:w="47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pPr>
            <w:r w:rsidRPr="00C93159">
              <w:t>Банківські метали, що зберігаються в банку-кредиторі, майнові права на банківські метали, які розміщені на вкладному (депозитному) рахунку в банку-кредиторі на строк не менший, ніж строк користування активом</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t>23</w:t>
            </w:r>
          </w:p>
        </w:tc>
        <w:tc>
          <w:tcPr>
            <w:tcW w:w="47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pPr>
            <w:r w:rsidRPr="00C93159">
              <w:t>Цінні папери, емітовані центральними органами виконавчої влади України</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t>24</w:t>
            </w:r>
          </w:p>
        </w:tc>
        <w:tc>
          <w:tcPr>
            <w:tcW w:w="47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pPr>
            <w:r w:rsidRPr="00C93159">
              <w:t>Цінні папери емітентів з рейтингом не нижче ніж "інвестиційний клас"</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t>25</w:t>
            </w:r>
          </w:p>
        </w:tc>
        <w:tc>
          <w:tcPr>
            <w:tcW w:w="47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pPr>
            <w:r w:rsidRPr="00C93159">
              <w:t>Нерухоме майно, що належить до житлового фонду</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t>26</w:t>
            </w:r>
          </w:p>
        </w:tc>
        <w:tc>
          <w:tcPr>
            <w:tcW w:w="47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pPr>
            <w:r w:rsidRPr="00C93159">
              <w:t>Майнові права на нерухоме майно, що належатиме до житлового фонду</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t>28</w:t>
            </w:r>
          </w:p>
        </w:tc>
        <w:tc>
          <w:tcPr>
            <w:tcW w:w="47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pPr>
            <w:r w:rsidRPr="00C93159">
              <w:t>Товари в обороті або переробці</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t>29</w:t>
            </w:r>
          </w:p>
        </w:tc>
        <w:tc>
          <w:tcPr>
            <w:tcW w:w="47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pPr>
            <w:r w:rsidRPr="00C93159">
              <w:t>Майнові права на інше майно</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t>30</w:t>
            </w:r>
          </w:p>
        </w:tc>
        <w:tc>
          <w:tcPr>
            <w:tcW w:w="47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pPr>
            <w:r w:rsidRPr="00C93159">
              <w:t>Інше рухоме майно</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t>31</w:t>
            </w:r>
          </w:p>
        </w:tc>
        <w:tc>
          <w:tcPr>
            <w:tcW w:w="47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pPr>
            <w:r w:rsidRPr="00C93159">
              <w:t>Інше нерухоме майно</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t>32</w:t>
            </w:r>
          </w:p>
        </w:tc>
        <w:tc>
          <w:tcPr>
            <w:tcW w:w="47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both"/>
            </w:pPr>
            <w:r w:rsidRPr="00C93159">
              <w:t>Майнові права на інші об'єкти застави</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t>33</w:t>
            </w:r>
          </w:p>
        </w:tc>
        <w:tc>
          <w:tcPr>
            <w:tcW w:w="47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pPr>
            <w:r w:rsidRPr="00C93159">
              <w:t>Інші види забезпечення</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t>34</w:t>
            </w:r>
          </w:p>
        </w:tc>
        <w:tc>
          <w:tcPr>
            <w:tcW w:w="47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pPr>
            <w:r w:rsidRPr="00C93159">
              <w:t>Порука</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t>35</w:t>
            </w:r>
          </w:p>
        </w:tc>
        <w:tc>
          <w:tcPr>
            <w:tcW w:w="47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pPr>
            <w:r w:rsidRPr="00C93159">
              <w:t>Легкові транспортні засоби</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t>36</w:t>
            </w:r>
          </w:p>
        </w:tc>
        <w:tc>
          <w:tcPr>
            <w:tcW w:w="47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pPr>
            <w:r w:rsidRPr="00C93159">
              <w:t>Грошове покриття, розміщене в банку-кредиторі на строк не менше, ніж строк користування активом</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t>37</w:t>
            </w:r>
          </w:p>
        </w:tc>
        <w:tc>
          <w:tcPr>
            <w:tcW w:w="47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both"/>
            </w:pPr>
            <w:r w:rsidRPr="00C93159">
              <w:t>Нерухоме майно, що належить до нежитлового фонду</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t>38</w:t>
            </w:r>
          </w:p>
        </w:tc>
        <w:tc>
          <w:tcPr>
            <w:tcW w:w="47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pPr>
            <w:r w:rsidRPr="00C93159">
              <w:t>Транспортні засоби (крім легкових автомобілів)</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t>39</w:t>
            </w:r>
          </w:p>
        </w:tc>
        <w:tc>
          <w:tcPr>
            <w:tcW w:w="47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pPr>
            <w:r w:rsidRPr="00C93159">
              <w:t>Іпотечні облігації інших емітентів</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t>40</w:t>
            </w:r>
          </w:p>
        </w:tc>
        <w:tc>
          <w:tcPr>
            <w:tcW w:w="47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pPr>
            <w:r w:rsidRPr="00C93159">
              <w:t>Кілька видів забезпечення (без іпотеки)</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t>41</w:t>
            </w:r>
          </w:p>
        </w:tc>
        <w:tc>
          <w:tcPr>
            <w:tcW w:w="47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pPr>
            <w:r w:rsidRPr="00C93159">
              <w:t>Кілька видів забезпечення, серед яких вартість нерухомого майна житлового фонду є найбільшою</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t>42</w:t>
            </w:r>
          </w:p>
        </w:tc>
        <w:tc>
          <w:tcPr>
            <w:tcW w:w="47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pPr>
            <w:r w:rsidRPr="00C93159">
              <w:t>Кілька видів забезпечення, серед яких вартість майнових прав на майбутнє нерухоме майно житлового фонду є найбільшою</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t>43</w:t>
            </w:r>
          </w:p>
        </w:tc>
        <w:tc>
          <w:tcPr>
            <w:tcW w:w="47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pPr>
            <w:r w:rsidRPr="00C93159">
              <w:t>Кілька видів забезпечення, серед яких вартість іншого нерухомого майна є найбільшою</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t>44</w:t>
            </w:r>
          </w:p>
        </w:tc>
        <w:tc>
          <w:tcPr>
            <w:tcW w:w="47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pPr>
            <w:r w:rsidRPr="00C93159">
              <w:t>Кілька видів забезпечення, серед яких вартість майнових прав на інше майбутнє нерухоме майно є найбільшою</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lastRenderedPageBreak/>
              <w:t>45</w:t>
            </w:r>
          </w:p>
        </w:tc>
        <w:tc>
          <w:tcPr>
            <w:tcW w:w="47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pPr>
            <w:r w:rsidRPr="00C93159">
              <w:t>Кілька видів забезпечення, серед яких вартість іпотеки є меншою, ніж вартість інших видів забезпечення</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t>50</w:t>
            </w:r>
          </w:p>
        </w:tc>
        <w:tc>
          <w:tcPr>
            <w:tcW w:w="47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pPr>
            <w:r w:rsidRPr="00C93159">
              <w:t>Об'єкти у формі цілісного майнового комплексу</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t>51</w:t>
            </w:r>
          </w:p>
        </w:tc>
        <w:tc>
          <w:tcPr>
            <w:tcW w:w="47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pPr>
            <w:r w:rsidRPr="00C93159">
              <w:t>Устаткування</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t>52</w:t>
            </w:r>
          </w:p>
        </w:tc>
        <w:tc>
          <w:tcPr>
            <w:tcW w:w="47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pPr>
            <w:r w:rsidRPr="00C93159">
              <w:t>Цінні папери, унесені до біржового реєстру</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t>53</w:t>
            </w:r>
          </w:p>
        </w:tc>
        <w:tc>
          <w:tcPr>
            <w:tcW w:w="47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pPr>
            <w:r w:rsidRPr="00C93159">
              <w:t>Цінні папери, емітовані органами місцевого самоврядування</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t>54</w:t>
            </w:r>
          </w:p>
        </w:tc>
        <w:tc>
          <w:tcPr>
            <w:tcW w:w="47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pPr>
            <w:r w:rsidRPr="00C93159">
              <w:t>Інвестиційні сертифікати</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t>55</w:t>
            </w:r>
          </w:p>
        </w:tc>
        <w:tc>
          <w:tcPr>
            <w:tcW w:w="47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pPr>
            <w:r w:rsidRPr="00C93159">
              <w:t>Біологічні активи</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t>56</w:t>
            </w:r>
          </w:p>
        </w:tc>
        <w:tc>
          <w:tcPr>
            <w:tcW w:w="47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pPr>
            <w:r w:rsidRPr="00C93159">
              <w:t>Майнові права на нерухоме майно, що належатиме до нежитлового фонду</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t>57</w:t>
            </w:r>
          </w:p>
        </w:tc>
        <w:tc>
          <w:tcPr>
            <w:tcW w:w="47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pPr>
            <w:r w:rsidRPr="00C93159">
              <w:t>Державні цінні папери за операціями репо</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t>58</w:t>
            </w:r>
          </w:p>
        </w:tc>
        <w:tc>
          <w:tcPr>
            <w:tcW w:w="47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pPr>
            <w:r w:rsidRPr="00C93159">
              <w:t>Іпотечні облігації, емітовані фінансовою установою, більше ніж 50 відсотків корпоративних прав якої належить державі та/або державним банкам</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t>59</w:t>
            </w:r>
          </w:p>
        </w:tc>
        <w:tc>
          <w:tcPr>
            <w:tcW w:w="47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pPr>
            <w:r w:rsidRPr="00C93159">
              <w:t>Іменні ощадні (депозитні) сертифікати, випущені банком-кредитором, майнові права на грошові кошти, розміщені на вкладному (депозитному) рахунку в банку-кредиторі на строк не менше, ніж строк користування активом</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t>60</w:t>
            </w:r>
          </w:p>
        </w:tc>
        <w:tc>
          <w:tcPr>
            <w:tcW w:w="47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pPr>
            <w:r w:rsidRPr="00C93159">
              <w:t>Гарантії банків України, забезпечені грошовим покриттям на строк не менше, ніж строк користування активом</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t>61</w:t>
            </w:r>
          </w:p>
        </w:tc>
        <w:tc>
          <w:tcPr>
            <w:tcW w:w="47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pPr>
            <w:r w:rsidRPr="00C93159">
              <w:t>Гарантії урядів країн, що мають кредитний рейтинг не нижчий, ніж "А-"</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t>62</w:t>
            </w:r>
          </w:p>
        </w:tc>
        <w:tc>
          <w:tcPr>
            <w:tcW w:w="47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pPr>
            <w:r w:rsidRPr="00C93159">
              <w:t>Гарантії банків та інших установ, що мають кредитний рейтинг не нижчий, ніж "А-"</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t>63</w:t>
            </w:r>
          </w:p>
        </w:tc>
        <w:tc>
          <w:tcPr>
            <w:tcW w:w="47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pPr>
            <w:r w:rsidRPr="00C93159">
              <w:t>Гарантії міжнародних багатосторонніх банків</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t>64</w:t>
            </w:r>
          </w:p>
        </w:tc>
        <w:tc>
          <w:tcPr>
            <w:tcW w:w="47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pPr>
            <w:r w:rsidRPr="00C93159">
              <w:t>Гарантії урядів країн, що мають кредитний рейтинг не нижчий, ніж "ВВВ-"</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t>65</w:t>
            </w:r>
          </w:p>
        </w:tc>
        <w:tc>
          <w:tcPr>
            <w:tcW w:w="47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pPr>
            <w:r w:rsidRPr="00C93159">
              <w:t>Гарантії банків, що мають кредитний рейтинг не нижчий, ніж "ВВВ-"</w:t>
            </w:r>
          </w:p>
        </w:tc>
      </w:tr>
      <w:tr w:rsidR="00C93159" w:rsidRPr="00C93159" w:rsidTr="00C93159">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C93159" w:rsidRPr="00C93159" w:rsidRDefault="00C93159">
            <w:pPr>
              <w:pStyle w:val="a3"/>
              <w:jc w:val="right"/>
            </w:pPr>
            <w:r w:rsidRPr="00C93159">
              <w:t>90</w:t>
            </w:r>
          </w:p>
        </w:tc>
        <w:tc>
          <w:tcPr>
            <w:tcW w:w="4750" w:type="pct"/>
            <w:tcBorders>
              <w:top w:val="outset" w:sz="6" w:space="0" w:color="auto"/>
              <w:left w:val="outset" w:sz="6" w:space="0" w:color="auto"/>
              <w:bottom w:val="outset" w:sz="6" w:space="0" w:color="auto"/>
              <w:right w:val="outset" w:sz="6" w:space="0" w:color="auto"/>
            </w:tcBorders>
            <w:vAlign w:val="center"/>
            <w:hideMark/>
          </w:tcPr>
          <w:p w:rsidR="00C93159" w:rsidRPr="00C93159" w:rsidRDefault="00C93159">
            <w:pPr>
              <w:pStyle w:val="a3"/>
            </w:pPr>
            <w:r w:rsidRPr="00C93159">
              <w:t>Без забезпечення (бланковий)</w:t>
            </w:r>
          </w:p>
        </w:tc>
      </w:tr>
    </w:tbl>
    <w:p w:rsidR="00C93159" w:rsidRPr="00C93159" w:rsidRDefault="00C93159" w:rsidP="00C93159">
      <w:pPr>
        <w:rPr>
          <w:lang w:val="uk-UA"/>
        </w:rPr>
      </w:pPr>
      <w:r w:rsidRPr="00C93159">
        <w:rPr>
          <w:lang w:val="uk-UA"/>
        </w:rPr>
        <w:br w:type="textWrapping" w:clear="all"/>
      </w:r>
    </w:p>
    <w:p w:rsidR="00471F62" w:rsidRPr="00C93159" w:rsidRDefault="00471F62"/>
    <w:sectPr w:rsidR="00471F62" w:rsidRPr="00C93159"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C93159"/>
    <w:rsid w:val="0000013B"/>
    <w:rsid w:val="00000305"/>
    <w:rsid w:val="00000757"/>
    <w:rsid w:val="00000A33"/>
    <w:rsid w:val="00000AC6"/>
    <w:rsid w:val="00000B72"/>
    <w:rsid w:val="00000E7B"/>
    <w:rsid w:val="000014F0"/>
    <w:rsid w:val="0000171A"/>
    <w:rsid w:val="00001B61"/>
    <w:rsid w:val="00001D03"/>
    <w:rsid w:val="00001E78"/>
    <w:rsid w:val="00002B30"/>
    <w:rsid w:val="00003170"/>
    <w:rsid w:val="00003D7F"/>
    <w:rsid w:val="00003F6C"/>
    <w:rsid w:val="000045ED"/>
    <w:rsid w:val="00004622"/>
    <w:rsid w:val="00004647"/>
    <w:rsid w:val="00004BB4"/>
    <w:rsid w:val="0000505C"/>
    <w:rsid w:val="0000507E"/>
    <w:rsid w:val="000058FA"/>
    <w:rsid w:val="000059A5"/>
    <w:rsid w:val="00005D21"/>
    <w:rsid w:val="000064B3"/>
    <w:rsid w:val="00006674"/>
    <w:rsid w:val="00006692"/>
    <w:rsid w:val="000069C6"/>
    <w:rsid w:val="00006B63"/>
    <w:rsid w:val="00007170"/>
    <w:rsid w:val="00007369"/>
    <w:rsid w:val="000079E4"/>
    <w:rsid w:val="000079E7"/>
    <w:rsid w:val="0001000A"/>
    <w:rsid w:val="00010113"/>
    <w:rsid w:val="000103BE"/>
    <w:rsid w:val="00010BC1"/>
    <w:rsid w:val="00010DD0"/>
    <w:rsid w:val="00010E20"/>
    <w:rsid w:val="00011077"/>
    <w:rsid w:val="00011537"/>
    <w:rsid w:val="0001188A"/>
    <w:rsid w:val="00011A84"/>
    <w:rsid w:val="00011EE2"/>
    <w:rsid w:val="00012082"/>
    <w:rsid w:val="00012186"/>
    <w:rsid w:val="000123E4"/>
    <w:rsid w:val="0001278B"/>
    <w:rsid w:val="00012C8E"/>
    <w:rsid w:val="00012E57"/>
    <w:rsid w:val="00013645"/>
    <w:rsid w:val="0001397A"/>
    <w:rsid w:val="000139C8"/>
    <w:rsid w:val="000140BE"/>
    <w:rsid w:val="000140FB"/>
    <w:rsid w:val="0001424A"/>
    <w:rsid w:val="0001463E"/>
    <w:rsid w:val="0001486B"/>
    <w:rsid w:val="00014A4C"/>
    <w:rsid w:val="000152AF"/>
    <w:rsid w:val="000156B4"/>
    <w:rsid w:val="00015C9D"/>
    <w:rsid w:val="00015CF4"/>
    <w:rsid w:val="00015DAB"/>
    <w:rsid w:val="00015EAD"/>
    <w:rsid w:val="00016065"/>
    <w:rsid w:val="000163E6"/>
    <w:rsid w:val="000165C4"/>
    <w:rsid w:val="0001706D"/>
    <w:rsid w:val="00017193"/>
    <w:rsid w:val="0001721A"/>
    <w:rsid w:val="00017579"/>
    <w:rsid w:val="0001769A"/>
    <w:rsid w:val="00017C77"/>
    <w:rsid w:val="00017D8A"/>
    <w:rsid w:val="00020ADD"/>
    <w:rsid w:val="00020FD4"/>
    <w:rsid w:val="00021712"/>
    <w:rsid w:val="000219F5"/>
    <w:rsid w:val="00021ADF"/>
    <w:rsid w:val="00021CBE"/>
    <w:rsid w:val="0002239C"/>
    <w:rsid w:val="00022465"/>
    <w:rsid w:val="00022488"/>
    <w:rsid w:val="000226AD"/>
    <w:rsid w:val="000227B8"/>
    <w:rsid w:val="00022BCF"/>
    <w:rsid w:val="00022DD8"/>
    <w:rsid w:val="00023784"/>
    <w:rsid w:val="00023C08"/>
    <w:rsid w:val="00024ECD"/>
    <w:rsid w:val="00024F18"/>
    <w:rsid w:val="00025078"/>
    <w:rsid w:val="00025776"/>
    <w:rsid w:val="00025B19"/>
    <w:rsid w:val="00025FF1"/>
    <w:rsid w:val="000260FE"/>
    <w:rsid w:val="00026100"/>
    <w:rsid w:val="00026890"/>
    <w:rsid w:val="00027131"/>
    <w:rsid w:val="000271FE"/>
    <w:rsid w:val="00027301"/>
    <w:rsid w:val="0002775E"/>
    <w:rsid w:val="00027DF8"/>
    <w:rsid w:val="00027FF2"/>
    <w:rsid w:val="000301C6"/>
    <w:rsid w:val="000316A2"/>
    <w:rsid w:val="000317C3"/>
    <w:rsid w:val="00031AAD"/>
    <w:rsid w:val="0003201B"/>
    <w:rsid w:val="00032457"/>
    <w:rsid w:val="0003248D"/>
    <w:rsid w:val="0003256E"/>
    <w:rsid w:val="00032782"/>
    <w:rsid w:val="00032B1F"/>
    <w:rsid w:val="000331CE"/>
    <w:rsid w:val="0003360C"/>
    <w:rsid w:val="000336D8"/>
    <w:rsid w:val="000339A4"/>
    <w:rsid w:val="00033A12"/>
    <w:rsid w:val="00033CAD"/>
    <w:rsid w:val="00034151"/>
    <w:rsid w:val="000346C5"/>
    <w:rsid w:val="00034AE9"/>
    <w:rsid w:val="00034BF2"/>
    <w:rsid w:val="00034F66"/>
    <w:rsid w:val="00035797"/>
    <w:rsid w:val="000358D5"/>
    <w:rsid w:val="0003592E"/>
    <w:rsid w:val="0003602E"/>
    <w:rsid w:val="00036365"/>
    <w:rsid w:val="000366CA"/>
    <w:rsid w:val="000367A7"/>
    <w:rsid w:val="0003764A"/>
    <w:rsid w:val="000376AB"/>
    <w:rsid w:val="000378D0"/>
    <w:rsid w:val="00040116"/>
    <w:rsid w:val="00040666"/>
    <w:rsid w:val="0004074C"/>
    <w:rsid w:val="00040BFC"/>
    <w:rsid w:val="0004218D"/>
    <w:rsid w:val="00042904"/>
    <w:rsid w:val="00042A5A"/>
    <w:rsid w:val="00042B14"/>
    <w:rsid w:val="00042BD7"/>
    <w:rsid w:val="00042D3A"/>
    <w:rsid w:val="00042E74"/>
    <w:rsid w:val="00043BD3"/>
    <w:rsid w:val="000440A3"/>
    <w:rsid w:val="000444BB"/>
    <w:rsid w:val="00044A85"/>
    <w:rsid w:val="00045A1A"/>
    <w:rsid w:val="00045AA9"/>
    <w:rsid w:val="00046458"/>
    <w:rsid w:val="00046EFF"/>
    <w:rsid w:val="00047700"/>
    <w:rsid w:val="00047B8D"/>
    <w:rsid w:val="00047C05"/>
    <w:rsid w:val="00047CAE"/>
    <w:rsid w:val="00050104"/>
    <w:rsid w:val="000503D1"/>
    <w:rsid w:val="00050749"/>
    <w:rsid w:val="000507FC"/>
    <w:rsid w:val="00050CB2"/>
    <w:rsid w:val="000521F3"/>
    <w:rsid w:val="000529C1"/>
    <w:rsid w:val="00052D08"/>
    <w:rsid w:val="000530D9"/>
    <w:rsid w:val="000532C7"/>
    <w:rsid w:val="00053578"/>
    <w:rsid w:val="000537A0"/>
    <w:rsid w:val="0005391F"/>
    <w:rsid w:val="00053C62"/>
    <w:rsid w:val="0005485E"/>
    <w:rsid w:val="0005487B"/>
    <w:rsid w:val="00054EA8"/>
    <w:rsid w:val="00055081"/>
    <w:rsid w:val="0005531B"/>
    <w:rsid w:val="00055A91"/>
    <w:rsid w:val="00055B4A"/>
    <w:rsid w:val="00055E27"/>
    <w:rsid w:val="0005607A"/>
    <w:rsid w:val="000565A7"/>
    <w:rsid w:val="0005677E"/>
    <w:rsid w:val="00056B2F"/>
    <w:rsid w:val="00056C55"/>
    <w:rsid w:val="00056FEC"/>
    <w:rsid w:val="00057262"/>
    <w:rsid w:val="00057777"/>
    <w:rsid w:val="000577ED"/>
    <w:rsid w:val="00057E88"/>
    <w:rsid w:val="00057F0A"/>
    <w:rsid w:val="00057F5F"/>
    <w:rsid w:val="0006005D"/>
    <w:rsid w:val="00060833"/>
    <w:rsid w:val="000609A8"/>
    <w:rsid w:val="00060B99"/>
    <w:rsid w:val="00060BF8"/>
    <w:rsid w:val="00060C62"/>
    <w:rsid w:val="00060E7B"/>
    <w:rsid w:val="00060F64"/>
    <w:rsid w:val="00060F94"/>
    <w:rsid w:val="00061073"/>
    <w:rsid w:val="000611E5"/>
    <w:rsid w:val="00061269"/>
    <w:rsid w:val="0006182B"/>
    <w:rsid w:val="00061B3B"/>
    <w:rsid w:val="00061BA1"/>
    <w:rsid w:val="00061C14"/>
    <w:rsid w:val="00061E76"/>
    <w:rsid w:val="0006218A"/>
    <w:rsid w:val="000625F0"/>
    <w:rsid w:val="00062625"/>
    <w:rsid w:val="000626C9"/>
    <w:rsid w:val="00062CA7"/>
    <w:rsid w:val="00063ACE"/>
    <w:rsid w:val="00063CA8"/>
    <w:rsid w:val="0006419B"/>
    <w:rsid w:val="00064202"/>
    <w:rsid w:val="00064576"/>
    <w:rsid w:val="00065060"/>
    <w:rsid w:val="00065090"/>
    <w:rsid w:val="000652A3"/>
    <w:rsid w:val="00065593"/>
    <w:rsid w:val="000655EA"/>
    <w:rsid w:val="0006584D"/>
    <w:rsid w:val="00065944"/>
    <w:rsid w:val="000659AA"/>
    <w:rsid w:val="000659E9"/>
    <w:rsid w:val="00065F17"/>
    <w:rsid w:val="00066562"/>
    <w:rsid w:val="00066A85"/>
    <w:rsid w:val="0006716C"/>
    <w:rsid w:val="00067454"/>
    <w:rsid w:val="000676D1"/>
    <w:rsid w:val="00067EB6"/>
    <w:rsid w:val="0007018D"/>
    <w:rsid w:val="00070A24"/>
    <w:rsid w:val="00071112"/>
    <w:rsid w:val="0007131F"/>
    <w:rsid w:val="00071498"/>
    <w:rsid w:val="000715DA"/>
    <w:rsid w:val="00071683"/>
    <w:rsid w:val="000718BE"/>
    <w:rsid w:val="00071EE2"/>
    <w:rsid w:val="0007208D"/>
    <w:rsid w:val="00072128"/>
    <w:rsid w:val="00072137"/>
    <w:rsid w:val="00072169"/>
    <w:rsid w:val="00072479"/>
    <w:rsid w:val="000728BD"/>
    <w:rsid w:val="00072CC3"/>
    <w:rsid w:val="000731CC"/>
    <w:rsid w:val="00073581"/>
    <w:rsid w:val="000737CB"/>
    <w:rsid w:val="000737DF"/>
    <w:rsid w:val="00073900"/>
    <w:rsid w:val="00073B4C"/>
    <w:rsid w:val="00073DDD"/>
    <w:rsid w:val="00073F51"/>
    <w:rsid w:val="00074035"/>
    <w:rsid w:val="00074105"/>
    <w:rsid w:val="00074153"/>
    <w:rsid w:val="00074288"/>
    <w:rsid w:val="0007444D"/>
    <w:rsid w:val="00074CCC"/>
    <w:rsid w:val="00075657"/>
    <w:rsid w:val="00075CFF"/>
    <w:rsid w:val="00075D03"/>
    <w:rsid w:val="00075DA8"/>
    <w:rsid w:val="00076812"/>
    <w:rsid w:val="00076BEE"/>
    <w:rsid w:val="000771F0"/>
    <w:rsid w:val="0007731B"/>
    <w:rsid w:val="000775B4"/>
    <w:rsid w:val="00077A3F"/>
    <w:rsid w:val="00080133"/>
    <w:rsid w:val="00080282"/>
    <w:rsid w:val="0008062A"/>
    <w:rsid w:val="00080C59"/>
    <w:rsid w:val="0008115C"/>
    <w:rsid w:val="000811B4"/>
    <w:rsid w:val="00081427"/>
    <w:rsid w:val="000818C5"/>
    <w:rsid w:val="0008205E"/>
    <w:rsid w:val="00082DB0"/>
    <w:rsid w:val="000833ED"/>
    <w:rsid w:val="000835FD"/>
    <w:rsid w:val="00083774"/>
    <w:rsid w:val="00083BF3"/>
    <w:rsid w:val="00083CD5"/>
    <w:rsid w:val="000841A5"/>
    <w:rsid w:val="00084566"/>
    <w:rsid w:val="00084751"/>
    <w:rsid w:val="00084A26"/>
    <w:rsid w:val="00084D92"/>
    <w:rsid w:val="00085206"/>
    <w:rsid w:val="00085256"/>
    <w:rsid w:val="000853BC"/>
    <w:rsid w:val="00085864"/>
    <w:rsid w:val="00085C8C"/>
    <w:rsid w:val="00085D6C"/>
    <w:rsid w:val="000862BD"/>
    <w:rsid w:val="000865DC"/>
    <w:rsid w:val="000866CA"/>
    <w:rsid w:val="000867C5"/>
    <w:rsid w:val="000870E7"/>
    <w:rsid w:val="00087727"/>
    <w:rsid w:val="00087A44"/>
    <w:rsid w:val="00087DCC"/>
    <w:rsid w:val="0009019F"/>
    <w:rsid w:val="000902C7"/>
    <w:rsid w:val="000906AF"/>
    <w:rsid w:val="00090829"/>
    <w:rsid w:val="00090870"/>
    <w:rsid w:val="00090A06"/>
    <w:rsid w:val="00090ACC"/>
    <w:rsid w:val="00090CC8"/>
    <w:rsid w:val="00090E59"/>
    <w:rsid w:val="000912E9"/>
    <w:rsid w:val="0009156C"/>
    <w:rsid w:val="00091761"/>
    <w:rsid w:val="00091A75"/>
    <w:rsid w:val="000926B9"/>
    <w:rsid w:val="0009273B"/>
    <w:rsid w:val="00092C91"/>
    <w:rsid w:val="00092CDA"/>
    <w:rsid w:val="000930DF"/>
    <w:rsid w:val="00093AE0"/>
    <w:rsid w:val="00093F11"/>
    <w:rsid w:val="00093F26"/>
    <w:rsid w:val="00094E75"/>
    <w:rsid w:val="00095C68"/>
    <w:rsid w:val="00096079"/>
    <w:rsid w:val="00096B0D"/>
    <w:rsid w:val="00096D59"/>
    <w:rsid w:val="00096D6D"/>
    <w:rsid w:val="00097181"/>
    <w:rsid w:val="000972E6"/>
    <w:rsid w:val="0009742E"/>
    <w:rsid w:val="0009760B"/>
    <w:rsid w:val="00097A95"/>
    <w:rsid w:val="000A030D"/>
    <w:rsid w:val="000A06EA"/>
    <w:rsid w:val="000A12B5"/>
    <w:rsid w:val="000A14BA"/>
    <w:rsid w:val="000A1B09"/>
    <w:rsid w:val="000A1BE6"/>
    <w:rsid w:val="000A1E6F"/>
    <w:rsid w:val="000A25CB"/>
    <w:rsid w:val="000A26A2"/>
    <w:rsid w:val="000A27AF"/>
    <w:rsid w:val="000A2AB3"/>
    <w:rsid w:val="000A2F1A"/>
    <w:rsid w:val="000A38BB"/>
    <w:rsid w:val="000A3A28"/>
    <w:rsid w:val="000A3C1F"/>
    <w:rsid w:val="000A3CB6"/>
    <w:rsid w:val="000A407A"/>
    <w:rsid w:val="000A44E7"/>
    <w:rsid w:val="000A49A2"/>
    <w:rsid w:val="000A4A99"/>
    <w:rsid w:val="000A4EF3"/>
    <w:rsid w:val="000A56E6"/>
    <w:rsid w:val="000A6019"/>
    <w:rsid w:val="000A613D"/>
    <w:rsid w:val="000A63C8"/>
    <w:rsid w:val="000A63EA"/>
    <w:rsid w:val="000A6A74"/>
    <w:rsid w:val="000A6A93"/>
    <w:rsid w:val="000A6B06"/>
    <w:rsid w:val="000A70FF"/>
    <w:rsid w:val="000A7BF9"/>
    <w:rsid w:val="000A7E86"/>
    <w:rsid w:val="000B05A2"/>
    <w:rsid w:val="000B05E5"/>
    <w:rsid w:val="000B0D53"/>
    <w:rsid w:val="000B0E54"/>
    <w:rsid w:val="000B2248"/>
    <w:rsid w:val="000B2E77"/>
    <w:rsid w:val="000B2FB9"/>
    <w:rsid w:val="000B330F"/>
    <w:rsid w:val="000B3DC7"/>
    <w:rsid w:val="000B40EE"/>
    <w:rsid w:val="000B436D"/>
    <w:rsid w:val="000B459B"/>
    <w:rsid w:val="000B46A1"/>
    <w:rsid w:val="000B4787"/>
    <w:rsid w:val="000B4FA4"/>
    <w:rsid w:val="000B522C"/>
    <w:rsid w:val="000B54A7"/>
    <w:rsid w:val="000B5ACB"/>
    <w:rsid w:val="000B5DE7"/>
    <w:rsid w:val="000B66AB"/>
    <w:rsid w:val="000B68E6"/>
    <w:rsid w:val="000B6C49"/>
    <w:rsid w:val="000B70B3"/>
    <w:rsid w:val="000B7422"/>
    <w:rsid w:val="000B7568"/>
    <w:rsid w:val="000B7C9D"/>
    <w:rsid w:val="000B7D30"/>
    <w:rsid w:val="000C0A86"/>
    <w:rsid w:val="000C0E23"/>
    <w:rsid w:val="000C0E6B"/>
    <w:rsid w:val="000C13BD"/>
    <w:rsid w:val="000C21CA"/>
    <w:rsid w:val="000C225F"/>
    <w:rsid w:val="000C2482"/>
    <w:rsid w:val="000C2558"/>
    <w:rsid w:val="000C2636"/>
    <w:rsid w:val="000C2AFE"/>
    <w:rsid w:val="000C2E04"/>
    <w:rsid w:val="000C2F9E"/>
    <w:rsid w:val="000C32FA"/>
    <w:rsid w:val="000C3410"/>
    <w:rsid w:val="000C3508"/>
    <w:rsid w:val="000C3E47"/>
    <w:rsid w:val="000C4205"/>
    <w:rsid w:val="000C42C0"/>
    <w:rsid w:val="000C47F1"/>
    <w:rsid w:val="000C5060"/>
    <w:rsid w:val="000C50E4"/>
    <w:rsid w:val="000C5604"/>
    <w:rsid w:val="000C56EA"/>
    <w:rsid w:val="000C57CB"/>
    <w:rsid w:val="000C5928"/>
    <w:rsid w:val="000C5B47"/>
    <w:rsid w:val="000C5E65"/>
    <w:rsid w:val="000C6540"/>
    <w:rsid w:val="000C6CC5"/>
    <w:rsid w:val="000C7056"/>
    <w:rsid w:val="000C7813"/>
    <w:rsid w:val="000C798A"/>
    <w:rsid w:val="000C7A28"/>
    <w:rsid w:val="000C7DAC"/>
    <w:rsid w:val="000C7DF8"/>
    <w:rsid w:val="000D0EAA"/>
    <w:rsid w:val="000D0F87"/>
    <w:rsid w:val="000D0FF3"/>
    <w:rsid w:val="000D1522"/>
    <w:rsid w:val="000D18DC"/>
    <w:rsid w:val="000D1B8D"/>
    <w:rsid w:val="000D1C87"/>
    <w:rsid w:val="000D1E8D"/>
    <w:rsid w:val="000D208A"/>
    <w:rsid w:val="000D20DA"/>
    <w:rsid w:val="000D22F8"/>
    <w:rsid w:val="000D2CCA"/>
    <w:rsid w:val="000D3295"/>
    <w:rsid w:val="000D33BB"/>
    <w:rsid w:val="000D3533"/>
    <w:rsid w:val="000D3A87"/>
    <w:rsid w:val="000D3C93"/>
    <w:rsid w:val="000D3CBD"/>
    <w:rsid w:val="000D3D18"/>
    <w:rsid w:val="000D4AC2"/>
    <w:rsid w:val="000D4DBD"/>
    <w:rsid w:val="000D50FC"/>
    <w:rsid w:val="000D5298"/>
    <w:rsid w:val="000D52C8"/>
    <w:rsid w:val="000D5710"/>
    <w:rsid w:val="000D59DA"/>
    <w:rsid w:val="000D62F2"/>
    <w:rsid w:val="000D65C7"/>
    <w:rsid w:val="000D6796"/>
    <w:rsid w:val="000D6947"/>
    <w:rsid w:val="000D6B74"/>
    <w:rsid w:val="000D722B"/>
    <w:rsid w:val="000D7584"/>
    <w:rsid w:val="000D76E0"/>
    <w:rsid w:val="000D7BFB"/>
    <w:rsid w:val="000D7E6D"/>
    <w:rsid w:val="000D7F00"/>
    <w:rsid w:val="000E028E"/>
    <w:rsid w:val="000E0302"/>
    <w:rsid w:val="000E040D"/>
    <w:rsid w:val="000E0616"/>
    <w:rsid w:val="000E0887"/>
    <w:rsid w:val="000E0B6F"/>
    <w:rsid w:val="000E0F7D"/>
    <w:rsid w:val="000E10AD"/>
    <w:rsid w:val="000E128D"/>
    <w:rsid w:val="000E163A"/>
    <w:rsid w:val="000E21C4"/>
    <w:rsid w:val="000E2F74"/>
    <w:rsid w:val="000E3640"/>
    <w:rsid w:val="000E379E"/>
    <w:rsid w:val="000E37C4"/>
    <w:rsid w:val="000E3B70"/>
    <w:rsid w:val="000E3F6D"/>
    <w:rsid w:val="000E3F90"/>
    <w:rsid w:val="000E44FD"/>
    <w:rsid w:val="000E4743"/>
    <w:rsid w:val="000E4817"/>
    <w:rsid w:val="000E4968"/>
    <w:rsid w:val="000E4B9C"/>
    <w:rsid w:val="000E4CAF"/>
    <w:rsid w:val="000E55EA"/>
    <w:rsid w:val="000E622D"/>
    <w:rsid w:val="000E653F"/>
    <w:rsid w:val="000E6854"/>
    <w:rsid w:val="000E68D8"/>
    <w:rsid w:val="000E6D9D"/>
    <w:rsid w:val="000E6FDB"/>
    <w:rsid w:val="000E77CA"/>
    <w:rsid w:val="000E7CED"/>
    <w:rsid w:val="000F07DE"/>
    <w:rsid w:val="000F08AA"/>
    <w:rsid w:val="000F08B0"/>
    <w:rsid w:val="000F0E1A"/>
    <w:rsid w:val="000F0E4E"/>
    <w:rsid w:val="000F111A"/>
    <w:rsid w:val="000F1342"/>
    <w:rsid w:val="000F1400"/>
    <w:rsid w:val="000F144E"/>
    <w:rsid w:val="000F17AC"/>
    <w:rsid w:val="000F17E4"/>
    <w:rsid w:val="000F1858"/>
    <w:rsid w:val="000F1885"/>
    <w:rsid w:val="000F2291"/>
    <w:rsid w:val="000F23CD"/>
    <w:rsid w:val="000F2B8B"/>
    <w:rsid w:val="000F3680"/>
    <w:rsid w:val="000F3EF8"/>
    <w:rsid w:val="000F41AF"/>
    <w:rsid w:val="000F43D8"/>
    <w:rsid w:val="000F4D5C"/>
    <w:rsid w:val="000F57A2"/>
    <w:rsid w:val="000F5ED9"/>
    <w:rsid w:val="000F5FEF"/>
    <w:rsid w:val="000F60B7"/>
    <w:rsid w:val="000F619E"/>
    <w:rsid w:val="000F6CA7"/>
    <w:rsid w:val="000F70CC"/>
    <w:rsid w:val="000F765B"/>
    <w:rsid w:val="000F7AF5"/>
    <w:rsid w:val="000F7BC4"/>
    <w:rsid w:val="000F7C8C"/>
    <w:rsid w:val="000F7FF7"/>
    <w:rsid w:val="00100122"/>
    <w:rsid w:val="0010085A"/>
    <w:rsid w:val="00100E72"/>
    <w:rsid w:val="00101248"/>
    <w:rsid w:val="001013F7"/>
    <w:rsid w:val="0010151E"/>
    <w:rsid w:val="0010175A"/>
    <w:rsid w:val="0010192D"/>
    <w:rsid w:val="00101C17"/>
    <w:rsid w:val="00101F94"/>
    <w:rsid w:val="0010209B"/>
    <w:rsid w:val="00102312"/>
    <w:rsid w:val="0010271E"/>
    <w:rsid w:val="00102B9A"/>
    <w:rsid w:val="00102F36"/>
    <w:rsid w:val="00102FB1"/>
    <w:rsid w:val="0010300B"/>
    <w:rsid w:val="00103057"/>
    <w:rsid w:val="00103226"/>
    <w:rsid w:val="001032D2"/>
    <w:rsid w:val="001034E6"/>
    <w:rsid w:val="001038AC"/>
    <w:rsid w:val="001039C1"/>
    <w:rsid w:val="00103CC5"/>
    <w:rsid w:val="00103F32"/>
    <w:rsid w:val="0010403C"/>
    <w:rsid w:val="00104646"/>
    <w:rsid w:val="001054A7"/>
    <w:rsid w:val="001054E6"/>
    <w:rsid w:val="001056C4"/>
    <w:rsid w:val="00105EAF"/>
    <w:rsid w:val="00106063"/>
    <w:rsid w:val="001060B1"/>
    <w:rsid w:val="0010627C"/>
    <w:rsid w:val="0010641F"/>
    <w:rsid w:val="00106916"/>
    <w:rsid w:val="00107F85"/>
    <w:rsid w:val="0011018C"/>
    <w:rsid w:val="0011031F"/>
    <w:rsid w:val="0011032C"/>
    <w:rsid w:val="00110EAF"/>
    <w:rsid w:val="00110EB9"/>
    <w:rsid w:val="0011145D"/>
    <w:rsid w:val="00111685"/>
    <w:rsid w:val="00111D25"/>
    <w:rsid w:val="00111E7D"/>
    <w:rsid w:val="00112016"/>
    <w:rsid w:val="00112131"/>
    <w:rsid w:val="001122F3"/>
    <w:rsid w:val="001123FA"/>
    <w:rsid w:val="0011294C"/>
    <w:rsid w:val="00112AD5"/>
    <w:rsid w:val="00112DE3"/>
    <w:rsid w:val="00113203"/>
    <w:rsid w:val="00113204"/>
    <w:rsid w:val="00113DF3"/>
    <w:rsid w:val="00114264"/>
    <w:rsid w:val="00114396"/>
    <w:rsid w:val="001148AA"/>
    <w:rsid w:val="0011518E"/>
    <w:rsid w:val="001154BB"/>
    <w:rsid w:val="0011550C"/>
    <w:rsid w:val="0011561F"/>
    <w:rsid w:val="00115658"/>
    <w:rsid w:val="0011619A"/>
    <w:rsid w:val="00116412"/>
    <w:rsid w:val="00116AB9"/>
    <w:rsid w:val="00116C97"/>
    <w:rsid w:val="00117E9F"/>
    <w:rsid w:val="00117FBA"/>
    <w:rsid w:val="00120502"/>
    <w:rsid w:val="00120547"/>
    <w:rsid w:val="00120572"/>
    <w:rsid w:val="00120D49"/>
    <w:rsid w:val="00120E58"/>
    <w:rsid w:val="00120FFA"/>
    <w:rsid w:val="001219FC"/>
    <w:rsid w:val="001221E1"/>
    <w:rsid w:val="001234DA"/>
    <w:rsid w:val="0012353A"/>
    <w:rsid w:val="00123C18"/>
    <w:rsid w:val="00123D01"/>
    <w:rsid w:val="00123F94"/>
    <w:rsid w:val="001244D7"/>
    <w:rsid w:val="0012458F"/>
    <w:rsid w:val="00124C65"/>
    <w:rsid w:val="00124D52"/>
    <w:rsid w:val="00124E22"/>
    <w:rsid w:val="00124FEC"/>
    <w:rsid w:val="00125385"/>
    <w:rsid w:val="00125DEB"/>
    <w:rsid w:val="00126083"/>
    <w:rsid w:val="0012646E"/>
    <w:rsid w:val="001264CE"/>
    <w:rsid w:val="0012696B"/>
    <w:rsid w:val="00127049"/>
    <w:rsid w:val="001270A4"/>
    <w:rsid w:val="00127A12"/>
    <w:rsid w:val="00130ACC"/>
    <w:rsid w:val="0013146D"/>
    <w:rsid w:val="001315F5"/>
    <w:rsid w:val="0013167D"/>
    <w:rsid w:val="0013172B"/>
    <w:rsid w:val="0013231B"/>
    <w:rsid w:val="001324D5"/>
    <w:rsid w:val="001329CA"/>
    <w:rsid w:val="00132B7D"/>
    <w:rsid w:val="001330EC"/>
    <w:rsid w:val="00133148"/>
    <w:rsid w:val="00133892"/>
    <w:rsid w:val="00134456"/>
    <w:rsid w:val="00134945"/>
    <w:rsid w:val="00134E3D"/>
    <w:rsid w:val="00134FCB"/>
    <w:rsid w:val="0013537D"/>
    <w:rsid w:val="001354EA"/>
    <w:rsid w:val="001358AB"/>
    <w:rsid w:val="00135C1B"/>
    <w:rsid w:val="00135D1D"/>
    <w:rsid w:val="001363B8"/>
    <w:rsid w:val="001365E2"/>
    <w:rsid w:val="001367DD"/>
    <w:rsid w:val="00136DF7"/>
    <w:rsid w:val="00137391"/>
    <w:rsid w:val="001379E9"/>
    <w:rsid w:val="00137A06"/>
    <w:rsid w:val="00137EAE"/>
    <w:rsid w:val="00137F24"/>
    <w:rsid w:val="001405EB"/>
    <w:rsid w:val="001408CE"/>
    <w:rsid w:val="00140B09"/>
    <w:rsid w:val="0014114C"/>
    <w:rsid w:val="001413EF"/>
    <w:rsid w:val="001419C1"/>
    <w:rsid w:val="00141C9C"/>
    <w:rsid w:val="00141D16"/>
    <w:rsid w:val="00142BA9"/>
    <w:rsid w:val="00142BD1"/>
    <w:rsid w:val="00142E15"/>
    <w:rsid w:val="00143301"/>
    <w:rsid w:val="00143370"/>
    <w:rsid w:val="001435AF"/>
    <w:rsid w:val="00143CD5"/>
    <w:rsid w:val="00143E3D"/>
    <w:rsid w:val="00143FCA"/>
    <w:rsid w:val="001445BF"/>
    <w:rsid w:val="00144E3E"/>
    <w:rsid w:val="00145282"/>
    <w:rsid w:val="00145F02"/>
    <w:rsid w:val="00145F82"/>
    <w:rsid w:val="001463F6"/>
    <w:rsid w:val="00146DAA"/>
    <w:rsid w:val="00150474"/>
    <w:rsid w:val="0015049E"/>
    <w:rsid w:val="00150DFC"/>
    <w:rsid w:val="00151254"/>
    <w:rsid w:val="00151409"/>
    <w:rsid w:val="00151EE8"/>
    <w:rsid w:val="00152050"/>
    <w:rsid w:val="001520CE"/>
    <w:rsid w:val="0015247B"/>
    <w:rsid w:val="00152E41"/>
    <w:rsid w:val="001537A4"/>
    <w:rsid w:val="00153943"/>
    <w:rsid w:val="00153E0B"/>
    <w:rsid w:val="00153E60"/>
    <w:rsid w:val="0015455E"/>
    <w:rsid w:val="001547F4"/>
    <w:rsid w:val="00154EF0"/>
    <w:rsid w:val="00155046"/>
    <w:rsid w:val="0015519E"/>
    <w:rsid w:val="0015528F"/>
    <w:rsid w:val="00155CEF"/>
    <w:rsid w:val="00155DB6"/>
    <w:rsid w:val="00156028"/>
    <w:rsid w:val="001572EA"/>
    <w:rsid w:val="001579F2"/>
    <w:rsid w:val="00157ADE"/>
    <w:rsid w:val="00157C89"/>
    <w:rsid w:val="00157EE0"/>
    <w:rsid w:val="00160049"/>
    <w:rsid w:val="001602CC"/>
    <w:rsid w:val="0016051B"/>
    <w:rsid w:val="001614B7"/>
    <w:rsid w:val="00161B7D"/>
    <w:rsid w:val="00161C3A"/>
    <w:rsid w:val="00162564"/>
    <w:rsid w:val="00162676"/>
    <w:rsid w:val="00163439"/>
    <w:rsid w:val="001639AC"/>
    <w:rsid w:val="00163CA7"/>
    <w:rsid w:val="00163DEB"/>
    <w:rsid w:val="00164118"/>
    <w:rsid w:val="001642E8"/>
    <w:rsid w:val="00164A8F"/>
    <w:rsid w:val="00164CA0"/>
    <w:rsid w:val="0016581D"/>
    <w:rsid w:val="00165A11"/>
    <w:rsid w:val="00166253"/>
    <w:rsid w:val="001665D6"/>
    <w:rsid w:val="00167109"/>
    <w:rsid w:val="0016714D"/>
    <w:rsid w:val="0016716A"/>
    <w:rsid w:val="00167218"/>
    <w:rsid w:val="00167756"/>
    <w:rsid w:val="00167C72"/>
    <w:rsid w:val="00167C79"/>
    <w:rsid w:val="00167E1C"/>
    <w:rsid w:val="001706FD"/>
    <w:rsid w:val="00170875"/>
    <w:rsid w:val="00171387"/>
    <w:rsid w:val="00171C2D"/>
    <w:rsid w:val="001720FA"/>
    <w:rsid w:val="0017325D"/>
    <w:rsid w:val="00173422"/>
    <w:rsid w:val="001735A7"/>
    <w:rsid w:val="00173A92"/>
    <w:rsid w:val="00173E82"/>
    <w:rsid w:val="00174081"/>
    <w:rsid w:val="0017413C"/>
    <w:rsid w:val="0017425F"/>
    <w:rsid w:val="001743B0"/>
    <w:rsid w:val="00174447"/>
    <w:rsid w:val="00174D9F"/>
    <w:rsid w:val="00174DC6"/>
    <w:rsid w:val="00174F4F"/>
    <w:rsid w:val="00174FF6"/>
    <w:rsid w:val="00175257"/>
    <w:rsid w:val="00175978"/>
    <w:rsid w:val="00176CED"/>
    <w:rsid w:val="00176D63"/>
    <w:rsid w:val="001779AC"/>
    <w:rsid w:val="00177CC5"/>
    <w:rsid w:val="0018000A"/>
    <w:rsid w:val="001806DD"/>
    <w:rsid w:val="00180AF0"/>
    <w:rsid w:val="0018100D"/>
    <w:rsid w:val="001811DE"/>
    <w:rsid w:val="00181287"/>
    <w:rsid w:val="001812FA"/>
    <w:rsid w:val="00181C95"/>
    <w:rsid w:val="00181D2D"/>
    <w:rsid w:val="001821DB"/>
    <w:rsid w:val="001822C1"/>
    <w:rsid w:val="00182608"/>
    <w:rsid w:val="001826B5"/>
    <w:rsid w:val="0018281A"/>
    <w:rsid w:val="00182B34"/>
    <w:rsid w:val="00182F7D"/>
    <w:rsid w:val="00183797"/>
    <w:rsid w:val="001839C2"/>
    <w:rsid w:val="00183D61"/>
    <w:rsid w:val="00184980"/>
    <w:rsid w:val="00184A7E"/>
    <w:rsid w:val="00185377"/>
    <w:rsid w:val="00185678"/>
    <w:rsid w:val="00185C1B"/>
    <w:rsid w:val="001865E8"/>
    <w:rsid w:val="001866C5"/>
    <w:rsid w:val="001869F0"/>
    <w:rsid w:val="00186A5A"/>
    <w:rsid w:val="00186ACE"/>
    <w:rsid w:val="00186E25"/>
    <w:rsid w:val="00187340"/>
    <w:rsid w:val="001876DD"/>
    <w:rsid w:val="00187B44"/>
    <w:rsid w:val="00187F28"/>
    <w:rsid w:val="001904E2"/>
    <w:rsid w:val="00190685"/>
    <w:rsid w:val="0019069F"/>
    <w:rsid w:val="0019088C"/>
    <w:rsid w:val="001911DB"/>
    <w:rsid w:val="0019130C"/>
    <w:rsid w:val="001913D9"/>
    <w:rsid w:val="001918A0"/>
    <w:rsid w:val="001919E5"/>
    <w:rsid w:val="00191D86"/>
    <w:rsid w:val="00192017"/>
    <w:rsid w:val="0019205D"/>
    <w:rsid w:val="00192658"/>
    <w:rsid w:val="0019267A"/>
    <w:rsid w:val="0019275F"/>
    <w:rsid w:val="00192A53"/>
    <w:rsid w:val="001931CC"/>
    <w:rsid w:val="00193A91"/>
    <w:rsid w:val="00193A98"/>
    <w:rsid w:val="00193F88"/>
    <w:rsid w:val="0019446B"/>
    <w:rsid w:val="00194A88"/>
    <w:rsid w:val="00194BBE"/>
    <w:rsid w:val="00194DB8"/>
    <w:rsid w:val="001950F6"/>
    <w:rsid w:val="0019554B"/>
    <w:rsid w:val="001955AE"/>
    <w:rsid w:val="00195724"/>
    <w:rsid w:val="001958D3"/>
    <w:rsid w:val="00195A7D"/>
    <w:rsid w:val="00195CDE"/>
    <w:rsid w:val="001962AE"/>
    <w:rsid w:val="001963C3"/>
    <w:rsid w:val="00196687"/>
    <w:rsid w:val="0019671F"/>
    <w:rsid w:val="0019709F"/>
    <w:rsid w:val="001972A3"/>
    <w:rsid w:val="001973CA"/>
    <w:rsid w:val="00197609"/>
    <w:rsid w:val="001A0317"/>
    <w:rsid w:val="001A04BC"/>
    <w:rsid w:val="001A06B5"/>
    <w:rsid w:val="001A0CA4"/>
    <w:rsid w:val="001A1115"/>
    <w:rsid w:val="001A143A"/>
    <w:rsid w:val="001A1DA6"/>
    <w:rsid w:val="001A1E69"/>
    <w:rsid w:val="001A244F"/>
    <w:rsid w:val="001A2591"/>
    <w:rsid w:val="001A2741"/>
    <w:rsid w:val="001A2FB9"/>
    <w:rsid w:val="001A3480"/>
    <w:rsid w:val="001A3821"/>
    <w:rsid w:val="001A3CF3"/>
    <w:rsid w:val="001A4676"/>
    <w:rsid w:val="001A48AB"/>
    <w:rsid w:val="001A4A86"/>
    <w:rsid w:val="001A4F45"/>
    <w:rsid w:val="001A542D"/>
    <w:rsid w:val="001A58D6"/>
    <w:rsid w:val="001A5C1E"/>
    <w:rsid w:val="001A6252"/>
    <w:rsid w:val="001A6815"/>
    <w:rsid w:val="001A69B0"/>
    <w:rsid w:val="001A6D80"/>
    <w:rsid w:val="001A7028"/>
    <w:rsid w:val="001A7098"/>
    <w:rsid w:val="001A710B"/>
    <w:rsid w:val="001A738D"/>
    <w:rsid w:val="001A7763"/>
    <w:rsid w:val="001A77BF"/>
    <w:rsid w:val="001A7D83"/>
    <w:rsid w:val="001A7F97"/>
    <w:rsid w:val="001B03A4"/>
    <w:rsid w:val="001B113C"/>
    <w:rsid w:val="001B1143"/>
    <w:rsid w:val="001B11AC"/>
    <w:rsid w:val="001B12C8"/>
    <w:rsid w:val="001B1534"/>
    <w:rsid w:val="001B1A9A"/>
    <w:rsid w:val="001B1FE9"/>
    <w:rsid w:val="001B261F"/>
    <w:rsid w:val="001B27EA"/>
    <w:rsid w:val="001B2844"/>
    <w:rsid w:val="001B341E"/>
    <w:rsid w:val="001B371A"/>
    <w:rsid w:val="001B3D20"/>
    <w:rsid w:val="001B423F"/>
    <w:rsid w:val="001B44B6"/>
    <w:rsid w:val="001B4858"/>
    <w:rsid w:val="001B4DC8"/>
    <w:rsid w:val="001B4DFF"/>
    <w:rsid w:val="001B5265"/>
    <w:rsid w:val="001B5408"/>
    <w:rsid w:val="001B5572"/>
    <w:rsid w:val="001B5BA7"/>
    <w:rsid w:val="001B5BBF"/>
    <w:rsid w:val="001B5DA8"/>
    <w:rsid w:val="001B5F34"/>
    <w:rsid w:val="001B61CA"/>
    <w:rsid w:val="001B659B"/>
    <w:rsid w:val="001B665B"/>
    <w:rsid w:val="001B6774"/>
    <w:rsid w:val="001B6933"/>
    <w:rsid w:val="001B6BE6"/>
    <w:rsid w:val="001B6E6F"/>
    <w:rsid w:val="001B71F4"/>
    <w:rsid w:val="001B727D"/>
    <w:rsid w:val="001B72A3"/>
    <w:rsid w:val="001B788B"/>
    <w:rsid w:val="001B7BBD"/>
    <w:rsid w:val="001B7CB3"/>
    <w:rsid w:val="001B7D1E"/>
    <w:rsid w:val="001C00B0"/>
    <w:rsid w:val="001C07FD"/>
    <w:rsid w:val="001C0A4B"/>
    <w:rsid w:val="001C0EB6"/>
    <w:rsid w:val="001C1092"/>
    <w:rsid w:val="001C142F"/>
    <w:rsid w:val="001C168F"/>
    <w:rsid w:val="001C1A94"/>
    <w:rsid w:val="001C1C37"/>
    <w:rsid w:val="001C212C"/>
    <w:rsid w:val="001C2388"/>
    <w:rsid w:val="001C2AAA"/>
    <w:rsid w:val="001C2C48"/>
    <w:rsid w:val="001C2D93"/>
    <w:rsid w:val="001C32E1"/>
    <w:rsid w:val="001C34B1"/>
    <w:rsid w:val="001C3687"/>
    <w:rsid w:val="001C3963"/>
    <w:rsid w:val="001C3CEB"/>
    <w:rsid w:val="001C4995"/>
    <w:rsid w:val="001C4EEB"/>
    <w:rsid w:val="001C4F69"/>
    <w:rsid w:val="001C54FC"/>
    <w:rsid w:val="001C5928"/>
    <w:rsid w:val="001C593C"/>
    <w:rsid w:val="001C59E6"/>
    <w:rsid w:val="001C5F60"/>
    <w:rsid w:val="001C6013"/>
    <w:rsid w:val="001C62C1"/>
    <w:rsid w:val="001C6572"/>
    <w:rsid w:val="001C6788"/>
    <w:rsid w:val="001C6866"/>
    <w:rsid w:val="001C6CD3"/>
    <w:rsid w:val="001C6DBC"/>
    <w:rsid w:val="001C6E2B"/>
    <w:rsid w:val="001C7044"/>
    <w:rsid w:val="001C711D"/>
    <w:rsid w:val="001C76EB"/>
    <w:rsid w:val="001C7D87"/>
    <w:rsid w:val="001C7D92"/>
    <w:rsid w:val="001C7F6E"/>
    <w:rsid w:val="001D054A"/>
    <w:rsid w:val="001D0942"/>
    <w:rsid w:val="001D0AA2"/>
    <w:rsid w:val="001D0B1F"/>
    <w:rsid w:val="001D12F2"/>
    <w:rsid w:val="001D1751"/>
    <w:rsid w:val="001D1863"/>
    <w:rsid w:val="001D1AA3"/>
    <w:rsid w:val="001D1EFF"/>
    <w:rsid w:val="001D2080"/>
    <w:rsid w:val="001D24CE"/>
    <w:rsid w:val="001D3275"/>
    <w:rsid w:val="001D340E"/>
    <w:rsid w:val="001D36C1"/>
    <w:rsid w:val="001D378B"/>
    <w:rsid w:val="001D38B4"/>
    <w:rsid w:val="001D4993"/>
    <w:rsid w:val="001D4CC3"/>
    <w:rsid w:val="001D4F81"/>
    <w:rsid w:val="001D5360"/>
    <w:rsid w:val="001D55FE"/>
    <w:rsid w:val="001D58CA"/>
    <w:rsid w:val="001D5917"/>
    <w:rsid w:val="001D5D7C"/>
    <w:rsid w:val="001D5F8C"/>
    <w:rsid w:val="001D5FC8"/>
    <w:rsid w:val="001D71F4"/>
    <w:rsid w:val="001D7567"/>
    <w:rsid w:val="001D7671"/>
    <w:rsid w:val="001D7A09"/>
    <w:rsid w:val="001D7FB6"/>
    <w:rsid w:val="001E00E5"/>
    <w:rsid w:val="001E02D6"/>
    <w:rsid w:val="001E0521"/>
    <w:rsid w:val="001E05B3"/>
    <w:rsid w:val="001E1904"/>
    <w:rsid w:val="001E22E9"/>
    <w:rsid w:val="001E2BE0"/>
    <w:rsid w:val="001E2C43"/>
    <w:rsid w:val="001E2EC0"/>
    <w:rsid w:val="001E34D1"/>
    <w:rsid w:val="001E3562"/>
    <w:rsid w:val="001E3811"/>
    <w:rsid w:val="001E3891"/>
    <w:rsid w:val="001E3AF1"/>
    <w:rsid w:val="001E3B35"/>
    <w:rsid w:val="001E3BD1"/>
    <w:rsid w:val="001E4341"/>
    <w:rsid w:val="001E4559"/>
    <w:rsid w:val="001E45A5"/>
    <w:rsid w:val="001E4A4A"/>
    <w:rsid w:val="001E4AF1"/>
    <w:rsid w:val="001E4EA8"/>
    <w:rsid w:val="001E5A5A"/>
    <w:rsid w:val="001E5DE2"/>
    <w:rsid w:val="001E6827"/>
    <w:rsid w:val="001E6836"/>
    <w:rsid w:val="001E693A"/>
    <w:rsid w:val="001E6C3F"/>
    <w:rsid w:val="001E756C"/>
    <w:rsid w:val="001E7928"/>
    <w:rsid w:val="001E7AA4"/>
    <w:rsid w:val="001E7AC8"/>
    <w:rsid w:val="001E7F6C"/>
    <w:rsid w:val="001F045A"/>
    <w:rsid w:val="001F05A0"/>
    <w:rsid w:val="001F08B0"/>
    <w:rsid w:val="001F0D7F"/>
    <w:rsid w:val="001F1471"/>
    <w:rsid w:val="001F162C"/>
    <w:rsid w:val="001F1907"/>
    <w:rsid w:val="001F1B03"/>
    <w:rsid w:val="001F1CB8"/>
    <w:rsid w:val="001F2013"/>
    <w:rsid w:val="001F2258"/>
    <w:rsid w:val="001F24C4"/>
    <w:rsid w:val="001F390C"/>
    <w:rsid w:val="001F3C13"/>
    <w:rsid w:val="001F3F80"/>
    <w:rsid w:val="001F406A"/>
    <w:rsid w:val="001F432C"/>
    <w:rsid w:val="001F473C"/>
    <w:rsid w:val="001F4B9D"/>
    <w:rsid w:val="001F4C4E"/>
    <w:rsid w:val="001F4C71"/>
    <w:rsid w:val="001F4E54"/>
    <w:rsid w:val="001F4F50"/>
    <w:rsid w:val="001F5063"/>
    <w:rsid w:val="001F518E"/>
    <w:rsid w:val="001F532E"/>
    <w:rsid w:val="001F5391"/>
    <w:rsid w:val="001F55A8"/>
    <w:rsid w:val="001F602E"/>
    <w:rsid w:val="001F64CF"/>
    <w:rsid w:val="001F64E8"/>
    <w:rsid w:val="001F6A15"/>
    <w:rsid w:val="001F6F48"/>
    <w:rsid w:val="001F71BE"/>
    <w:rsid w:val="001F7261"/>
    <w:rsid w:val="001F72F8"/>
    <w:rsid w:val="001F737D"/>
    <w:rsid w:val="001F7D7C"/>
    <w:rsid w:val="001F7D7D"/>
    <w:rsid w:val="001F7E55"/>
    <w:rsid w:val="001F7E89"/>
    <w:rsid w:val="001F7FF5"/>
    <w:rsid w:val="002004A1"/>
    <w:rsid w:val="00200CA0"/>
    <w:rsid w:val="00200FB9"/>
    <w:rsid w:val="002011EB"/>
    <w:rsid w:val="0020180C"/>
    <w:rsid w:val="00201C3D"/>
    <w:rsid w:val="0020221B"/>
    <w:rsid w:val="002023A6"/>
    <w:rsid w:val="002023EE"/>
    <w:rsid w:val="00202583"/>
    <w:rsid w:val="0020264B"/>
    <w:rsid w:val="002028AA"/>
    <w:rsid w:val="002028C8"/>
    <w:rsid w:val="00202C3B"/>
    <w:rsid w:val="00203107"/>
    <w:rsid w:val="00203139"/>
    <w:rsid w:val="00203319"/>
    <w:rsid w:val="00203566"/>
    <w:rsid w:val="002035EA"/>
    <w:rsid w:val="00203796"/>
    <w:rsid w:val="002038D9"/>
    <w:rsid w:val="00203981"/>
    <w:rsid w:val="00203C23"/>
    <w:rsid w:val="00203D7F"/>
    <w:rsid w:val="002040CC"/>
    <w:rsid w:val="002041D8"/>
    <w:rsid w:val="0020427A"/>
    <w:rsid w:val="002049F6"/>
    <w:rsid w:val="00204BA5"/>
    <w:rsid w:val="00205231"/>
    <w:rsid w:val="002053E1"/>
    <w:rsid w:val="0020568E"/>
    <w:rsid w:val="002057E0"/>
    <w:rsid w:val="00205BFA"/>
    <w:rsid w:val="00205C4A"/>
    <w:rsid w:val="002063DD"/>
    <w:rsid w:val="00206762"/>
    <w:rsid w:val="002068AA"/>
    <w:rsid w:val="002068D2"/>
    <w:rsid w:val="002073D6"/>
    <w:rsid w:val="00207462"/>
    <w:rsid w:val="00207C5F"/>
    <w:rsid w:val="00207CDC"/>
    <w:rsid w:val="00207D43"/>
    <w:rsid w:val="00210B29"/>
    <w:rsid w:val="002114FB"/>
    <w:rsid w:val="00211551"/>
    <w:rsid w:val="00211A5E"/>
    <w:rsid w:val="00211B1F"/>
    <w:rsid w:val="00211CEF"/>
    <w:rsid w:val="00211DB2"/>
    <w:rsid w:val="00212154"/>
    <w:rsid w:val="00212E24"/>
    <w:rsid w:val="0021390B"/>
    <w:rsid w:val="00213ACB"/>
    <w:rsid w:val="00213BFC"/>
    <w:rsid w:val="00213C16"/>
    <w:rsid w:val="00213CB3"/>
    <w:rsid w:val="00213F45"/>
    <w:rsid w:val="00214EB8"/>
    <w:rsid w:val="002150A7"/>
    <w:rsid w:val="00215167"/>
    <w:rsid w:val="00215289"/>
    <w:rsid w:val="00215304"/>
    <w:rsid w:val="0021572A"/>
    <w:rsid w:val="00215B27"/>
    <w:rsid w:val="00215F6A"/>
    <w:rsid w:val="00216015"/>
    <w:rsid w:val="00216025"/>
    <w:rsid w:val="00216038"/>
    <w:rsid w:val="002162AA"/>
    <w:rsid w:val="0021698A"/>
    <w:rsid w:val="00216A29"/>
    <w:rsid w:val="0021704E"/>
    <w:rsid w:val="00217558"/>
    <w:rsid w:val="00217C24"/>
    <w:rsid w:val="00220010"/>
    <w:rsid w:val="0022008A"/>
    <w:rsid w:val="00220461"/>
    <w:rsid w:val="00220987"/>
    <w:rsid w:val="00220FC5"/>
    <w:rsid w:val="0022101F"/>
    <w:rsid w:val="00221240"/>
    <w:rsid w:val="00221AC0"/>
    <w:rsid w:val="002232CA"/>
    <w:rsid w:val="00223645"/>
    <w:rsid w:val="00223AD4"/>
    <w:rsid w:val="00223EDD"/>
    <w:rsid w:val="00223EED"/>
    <w:rsid w:val="00224185"/>
    <w:rsid w:val="0022418D"/>
    <w:rsid w:val="002245D4"/>
    <w:rsid w:val="002249E8"/>
    <w:rsid w:val="002253F4"/>
    <w:rsid w:val="002254DA"/>
    <w:rsid w:val="002254E2"/>
    <w:rsid w:val="00225650"/>
    <w:rsid w:val="0022572A"/>
    <w:rsid w:val="00225788"/>
    <w:rsid w:val="00225972"/>
    <w:rsid w:val="00225B19"/>
    <w:rsid w:val="0022622E"/>
    <w:rsid w:val="002269FB"/>
    <w:rsid w:val="00226A8B"/>
    <w:rsid w:val="00226EED"/>
    <w:rsid w:val="00227460"/>
    <w:rsid w:val="002275EE"/>
    <w:rsid w:val="00227F9C"/>
    <w:rsid w:val="00230229"/>
    <w:rsid w:val="00230275"/>
    <w:rsid w:val="00230B93"/>
    <w:rsid w:val="00230DAB"/>
    <w:rsid w:val="0023106B"/>
    <w:rsid w:val="0023195F"/>
    <w:rsid w:val="00231AEA"/>
    <w:rsid w:val="00231CBC"/>
    <w:rsid w:val="00231DB4"/>
    <w:rsid w:val="00232140"/>
    <w:rsid w:val="00232199"/>
    <w:rsid w:val="0023242F"/>
    <w:rsid w:val="002325F3"/>
    <w:rsid w:val="00232877"/>
    <w:rsid w:val="00232A10"/>
    <w:rsid w:val="00232A33"/>
    <w:rsid w:val="00232ED1"/>
    <w:rsid w:val="00233179"/>
    <w:rsid w:val="002348B2"/>
    <w:rsid w:val="00234C0B"/>
    <w:rsid w:val="00234E3D"/>
    <w:rsid w:val="002350C5"/>
    <w:rsid w:val="00235B35"/>
    <w:rsid w:val="00235D49"/>
    <w:rsid w:val="00235E3F"/>
    <w:rsid w:val="002368E9"/>
    <w:rsid w:val="00236DE0"/>
    <w:rsid w:val="002371F3"/>
    <w:rsid w:val="0024018D"/>
    <w:rsid w:val="00240AD3"/>
    <w:rsid w:val="00240BDD"/>
    <w:rsid w:val="00240D13"/>
    <w:rsid w:val="00240D1F"/>
    <w:rsid w:val="00240F2A"/>
    <w:rsid w:val="002411D3"/>
    <w:rsid w:val="0024129C"/>
    <w:rsid w:val="0024164D"/>
    <w:rsid w:val="00241965"/>
    <w:rsid w:val="00241A05"/>
    <w:rsid w:val="00241F22"/>
    <w:rsid w:val="00242068"/>
    <w:rsid w:val="00242160"/>
    <w:rsid w:val="002424FD"/>
    <w:rsid w:val="0024296D"/>
    <w:rsid w:val="002429C2"/>
    <w:rsid w:val="00242AC2"/>
    <w:rsid w:val="00242CCF"/>
    <w:rsid w:val="00242E7A"/>
    <w:rsid w:val="00242F6E"/>
    <w:rsid w:val="0024309D"/>
    <w:rsid w:val="00243394"/>
    <w:rsid w:val="00243421"/>
    <w:rsid w:val="00243759"/>
    <w:rsid w:val="002438DD"/>
    <w:rsid w:val="00244279"/>
    <w:rsid w:val="00244378"/>
    <w:rsid w:val="0024439B"/>
    <w:rsid w:val="0024472A"/>
    <w:rsid w:val="0024493C"/>
    <w:rsid w:val="00244A78"/>
    <w:rsid w:val="00244A81"/>
    <w:rsid w:val="00245155"/>
    <w:rsid w:val="002451FA"/>
    <w:rsid w:val="00245336"/>
    <w:rsid w:val="00245639"/>
    <w:rsid w:val="00245778"/>
    <w:rsid w:val="002458F4"/>
    <w:rsid w:val="00245914"/>
    <w:rsid w:val="00245D8A"/>
    <w:rsid w:val="00245EAF"/>
    <w:rsid w:val="0024601F"/>
    <w:rsid w:val="002465E4"/>
    <w:rsid w:val="00246B02"/>
    <w:rsid w:val="0024702A"/>
    <w:rsid w:val="0025023A"/>
    <w:rsid w:val="00250B96"/>
    <w:rsid w:val="00250D6F"/>
    <w:rsid w:val="00250F9F"/>
    <w:rsid w:val="00251041"/>
    <w:rsid w:val="00251128"/>
    <w:rsid w:val="002516E5"/>
    <w:rsid w:val="00251B77"/>
    <w:rsid w:val="00251C64"/>
    <w:rsid w:val="00251E94"/>
    <w:rsid w:val="00252095"/>
    <w:rsid w:val="002521CE"/>
    <w:rsid w:val="0025233D"/>
    <w:rsid w:val="00252367"/>
    <w:rsid w:val="00252985"/>
    <w:rsid w:val="002534CA"/>
    <w:rsid w:val="00253531"/>
    <w:rsid w:val="002537E3"/>
    <w:rsid w:val="00253AF9"/>
    <w:rsid w:val="00253B64"/>
    <w:rsid w:val="0025430A"/>
    <w:rsid w:val="002550EC"/>
    <w:rsid w:val="0025598A"/>
    <w:rsid w:val="00255B56"/>
    <w:rsid w:val="00255E67"/>
    <w:rsid w:val="00255EA5"/>
    <w:rsid w:val="00255F6F"/>
    <w:rsid w:val="002561BF"/>
    <w:rsid w:val="0025692A"/>
    <w:rsid w:val="00256C09"/>
    <w:rsid w:val="00256F93"/>
    <w:rsid w:val="0025725C"/>
    <w:rsid w:val="002572C3"/>
    <w:rsid w:val="00257A24"/>
    <w:rsid w:val="00257C30"/>
    <w:rsid w:val="00257D8B"/>
    <w:rsid w:val="0026011C"/>
    <w:rsid w:val="002603D2"/>
    <w:rsid w:val="00260A69"/>
    <w:rsid w:val="00260BAB"/>
    <w:rsid w:val="00260D3B"/>
    <w:rsid w:val="00260DCC"/>
    <w:rsid w:val="002611BB"/>
    <w:rsid w:val="002616B3"/>
    <w:rsid w:val="00261ADA"/>
    <w:rsid w:val="00261D2F"/>
    <w:rsid w:val="002624E4"/>
    <w:rsid w:val="00262988"/>
    <w:rsid w:val="00262B93"/>
    <w:rsid w:val="00262DCB"/>
    <w:rsid w:val="0026309C"/>
    <w:rsid w:val="002632EC"/>
    <w:rsid w:val="002638F7"/>
    <w:rsid w:val="00263AA4"/>
    <w:rsid w:val="00263CAA"/>
    <w:rsid w:val="00263E2D"/>
    <w:rsid w:val="00264592"/>
    <w:rsid w:val="002645B6"/>
    <w:rsid w:val="002650F8"/>
    <w:rsid w:val="00265179"/>
    <w:rsid w:val="00265EB5"/>
    <w:rsid w:val="00266010"/>
    <w:rsid w:val="002662C0"/>
    <w:rsid w:val="002663E0"/>
    <w:rsid w:val="002667A4"/>
    <w:rsid w:val="002669C3"/>
    <w:rsid w:val="00266B59"/>
    <w:rsid w:val="00266C48"/>
    <w:rsid w:val="0026749B"/>
    <w:rsid w:val="0026761F"/>
    <w:rsid w:val="00267669"/>
    <w:rsid w:val="002676ED"/>
    <w:rsid w:val="002678C2"/>
    <w:rsid w:val="002678D4"/>
    <w:rsid w:val="002700E1"/>
    <w:rsid w:val="0027081B"/>
    <w:rsid w:val="00270A92"/>
    <w:rsid w:val="00270DD9"/>
    <w:rsid w:val="002711F2"/>
    <w:rsid w:val="002716C8"/>
    <w:rsid w:val="002717E0"/>
    <w:rsid w:val="00271A2E"/>
    <w:rsid w:val="00271DDF"/>
    <w:rsid w:val="00271E5C"/>
    <w:rsid w:val="00271FC4"/>
    <w:rsid w:val="00272047"/>
    <w:rsid w:val="00272069"/>
    <w:rsid w:val="0027232C"/>
    <w:rsid w:val="00272AF0"/>
    <w:rsid w:val="00272BAE"/>
    <w:rsid w:val="00272C84"/>
    <w:rsid w:val="002733BA"/>
    <w:rsid w:val="00273573"/>
    <w:rsid w:val="00273703"/>
    <w:rsid w:val="00273C4D"/>
    <w:rsid w:val="00273D96"/>
    <w:rsid w:val="00273DD3"/>
    <w:rsid w:val="00273E1D"/>
    <w:rsid w:val="002742E2"/>
    <w:rsid w:val="0027459B"/>
    <w:rsid w:val="0027462C"/>
    <w:rsid w:val="00274780"/>
    <w:rsid w:val="00274AAF"/>
    <w:rsid w:val="002752A7"/>
    <w:rsid w:val="00275D52"/>
    <w:rsid w:val="00276175"/>
    <w:rsid w:val="002765D8"/>
    <w:rsid w:val="00276862"/>
    <w:rsid w:val="00276A11"/>
    <w:rsid w:val="0027724F"/>
    <w:rsid w:val="002772D3"/>
    <w:rsid w:val="002774B9"/>
    <w:rsid w:val="0027757F"/>
    <w:rsid w:val="00277D8A"/>
    <w:rsid w:val="00280297"/>
    <w:rsid w:val="00280C33"/>
    <w:rsid w:val="00280DE2"/>
    <w:rsid w:val="00280F8F"/>
    <w:rsid w:val="00281101"/>
    <w:rsid w:val="0028124B"/>
    <w:rsid w:val="0028193B"/>
    <w:rsid w:val="00281C65"/>
    <w:rsid w:val="00281EC0"/>
    <w:rsid w:val="0028231D"/>
    <w:rsid w:val="00282940"/>
    <w:rsid w:val="002830FF"/>
    <w:rsid w:val="00283267"/>
    <w:rsid w:val="002838C1"/>
    <w:rsid w:val="00283DBF"/>
    <w:rsid w:val="00284B71"/>
    <w:rsid w:val="00284DDE"/>
    <w:rsid w:val="002853A6"/>
    <w:rsid w:val="002855A0"/>
    <w:rsid w:val="0028567B"/>
    <w:rsid w:val="00285AF6"/>
    <w:rsid w:val="00286393"/>
    <w:rsid w:val="00286840"/>
    <w:rsid w:val="00286AE0"/>
    <w:rsid w:val="00286F3F"/>
    <w:rsid w:val="0028710F"/>
    <w:rsid w:val="002871BE"/>
    <w:rsid w:val="00287365"/>
    <w:rsid w:val="0028776A"/>
    <w:rsid w:val="0029021D"/>
    <w:rsid w:val="0029054F"/>
    <w:rsid w:val="00290812"/>
    <w:rsid w:val="002908FC"/>
    <w:rsid w:val="002909D9"/>
    <w:rsid w:val="00291221"/>
    <w:rsid w:val="00291773"/>
    <w:rsid w:val="00291886"/>
    <w:rsid w:val="00291C03"/>
    <w:rsid w:val="00292016"/>
    <w:rsid w:val="0029203E"/>
    <w:rsid w:val="002927F0"/>
    <w:rsid w:val="0029281B"/>
    <w:rsid w:val="00292D2D"/>
    <w:rsid w:val="0029309E"/>
    <w:rsid w:val="0029339E"/>
    <w:rsid w:val="0029355A"/>
    <w:rsid w:val="00293E9B"/>
    <w:rsid w:val="00293EDF"/>
    <w:rsid w:val="00294041"/>
    <w:rsid w:val="00294067"/>
    <w:rsid w:val="00294269"/>
    <w:rsid w:val="002945F2"/>
    <w:rsid w:val="002949CD"/>
    <w:rsid w:val="00294A3E"/>
    <w:rsid w:val="00294ACD"/>
    <w:rsid w:val="00294D56"/>
    <w:rsid w:val="00295DE5"/>
    <w:rsid w:val="00296323"/>
    <w:rsid w:val="00296324"/>
    <w:rsid w:val="0029641A"/>
    <w:rsid w:val="002965BB"/>
    <w:rsid w:val="002967C9"/>
    <w:rsid w:val="00296896"/>
    <w:rsid w:val="00296949"/>
    <w:rsid w:val="00296C2E"/>
    <w:rsid w:val="00296CEF"/>
    <w:rsid w:val="00296FD5"/>
    <w:rsid w:val="0029705D"/>
    <w:rsid w:val="002970DE"/>
    <w:rsid w:val="002971EB"/>
    <w:rsid w:val="00297424"/>
    <w:rsid w:val="002977B1"/>
    <w:rsid w:val="00297AF7"/>
    <w:rsid w:val="00297B8B"/>
    <w:rsid w:val="00297FF3"/>
    <w:rsid w:val="002A0200"/>
    <w:rsid w:val="002A0511"/>
    <w:rsid w:val="002A0826"/>
    <w:rsid w:val="002A09D7"/>
    <w:rsid w:val="002A0BF4"/>
    <w:rsid w:val="002A0E3B"/>
    <w:rsid w:val="002A1754"/>
    <w:rsid w:val="002A1800"/>
    <w:rsid w:val="002A19C6"/>
    <w:rsid w:val="002A1B04"/>
    <w:rsid w:val="002A1B89"/>
    <w:rsid w:val="002A1E26"/>
    <w:rsid w:val="002A295E"/>
    <w:rsid w:val="002A3328"/>
    <w:rsid w:val="002A3639"/>
    <w:rsid w:val="002A38BC"/>
    <w:rsid w:val="002A38CA"/>
    <w:rsid w:val="002A3990"/>
    <w:rsid w:val="002A3A6A"/>
    <w:rsid w:val="002A4458"/>
    <w:rsid w:val="002A4459"/>
    <w:rsid w:val="002A4B60"/>
    <w:rsid w:val="002A4CFF"/>
    <w:rsid w:val="002A4E8F"/>
    <w:rsid w:val="002A4F33"/>
    <w:rsid w:val="002A5406"/>
    <w:rsid w:val="002A58B2"/>
    <w:rsid w:val="002A5D54"/>
    <w:rsid w:val="002A6141"/>
    <w:rsid w:val="002A6271"/>
    <w:rsid w:val="002A63D4"/>
    <w:rsid w:val="002A6AB7"/>
    <w:rsid w:val="002A72FB"/>
    <w:rsid w:val="002A7398"/>
    <w:rsid w:val="002A789E"/>
    <w:rsid w:val="002A7A70"/>
    <w:rsid w:val="002B00A1"/>
    <w:rsid w:val="002B067C"/>
    <w:rsid w:val="002B08FE"/>
    <w:rsid w:val="002B095C"/>
    <w:rsid w:val="002B0A75"/>
    <w:rsid w:val="002B0BB5"/>
    <w:rsid w:val="002B1339"/>
    <w:rsid w:val="002B17E2"/>
    <w:rsid w:val="002B1A14"/>
    <w:rsid w:val="002B1DE8"/>
    <w:rsid w:val="002B1E1F"/>
    <w:rsid w:val="002B292A"/>
    <w:rsid w:val="002B2A7D"/>
    <w:rsid w:val="002B2C3F"/>
    <w:rsid w:val="002B31C7"/>
    <w:rsid w:val="002B35D3"/>
    <w:rsid w:val="002B35DE"/>
    <w:rsid w:val="002B3672"/>
    <w:rsid w:val="002B3BBB"/>
    <w:rsid w:val="002B400E"/>
    <w:rsid w:val="002B40E4"/>
    <w:rsid w:val="002B4FC5"/>
    <w:rsid w:val="002B5210"/>
    <w:rsid w:val="002B5235"/>
    <w:rsid w:val="002B55C8"/>
    <w:rsid w:val="002B568F"/>
    <w:rsid w:val="002B5A60"/>
    <w:rsid w:val="002B5C3B"/>
    <w:rsid w:val="002B610A"/>
    <w:rsid w:val="002B628B"/>
    <w:rsid w:val="002B62EC"/>
    <w:rsid w:val="002B6777"/>
    <w:rsid w:val="002B6815"/>
    <w:rsid w:val="002B6EFF"/>
    <w:rsid w:val="002B7214"/>
    <w:rsid w:val="002B7307"/>
    <w:rsid w:val="002B73B5"/>
    <w:rsid w:val="002B7454"/>
    <w:rsid w:val="002C00B3"/>
    <w:rsid w:val="002C0CFA"/>
    <w:rsid w:val="002C0D89"/>
    <w:rsid w:val="002C1509"/>
    <w:rsid w:val="002C1AEC"/>
    <w:rsid w:val="002C1EAE"/>
    <w:rsid w:val="002C204C"/>
    <w:rsid w:val="002C24FE"/>
    <w:rsid w:val="002C25FB"/>
    <w:rsid w:val="002C2763"/>
    <w:rsid w:val="002C276C"/>
    <w:rsid w:val="002C3099"/>
    <w:rsid w:val="002C3966"/>
    <w:rsid w:val="002C3FC4"/>
    <w:rsid w:val="002C464F"/>
    <w:rsid w:val="002C472D"/>
    <w:rsid w:val="002C4733"/>
    <w:rsid w:val="002C4767"/>
    <w:rsid w:val="002C491F"/>
    <w:rsid w:val="002C579A"/>
    <w:rsid w:val="002C5BC6"/>
    <w:rsid w:val="002C6234"/>
    <w:rsid w:val="002C6282"/>
    <w:rsid w:val="002C63A9"/>
    <w:rsid w:val="002C652D"/>
    <w:rsid w:val="002C68B8"/>
    <w:rsid w:val="002C6B0A"/>
    <w:rsid w:val="002D00D6"/>
    <w:rsid w:val="002D0375"/>
    <w:rsid w:val="002D038B"/>
    <w:rsid w:val="002D05B2"/>
    <w:rsid w:val="002D0C2E"/>
    <w:rsid w:val="002D138D"/>
    <w:rsid w:val="002D1825"/>
    <w:rsid w:val="002D1E30"/>
    <w:rsid w:val="002D368A"/>
    <w:rsid w:val="002D36F8"/>
    <w:rsid w:val="002D38D5"/>
    <w:rsid w:val="002D38E2"/>
    <w:rsid w:val="002D3D41"/>
    <w:rsid w:val="002D400F"/>
    <w:rsid w:val="002D4463"/>
    <w:rsid w:val="002D4B2E"/>
    <w:rsid w:val="002D4CDB"/>
    <w:rsid w:val="002D4F15"/>
    <w:rsid w:val="002D4FA7"/>
    <w:rsid w:val="002D5152"/>
    <w:rsid w:val="002D58A5"/>
    <w:rsid w:val="002D58F4"/>
    <w:rsid w:val="002D5C35"/>
    <w:rsid w:val="002D6CC5"/>
    <w:rsid w:val="002D6F3D"/>
    <w:rsid w:val="002D70D0"/>
    <w:rsid w:val="002D7471"/>
    <w:rsid w:val="002D7B63"/>
    <w:rsid w:val="002D7E6B"/>
    <w:rsid w:val="002E02A0"/>
    <w:rsid w:val="002E0821"/>
    <w:rsid w:val="002E0BD2"/>
    <w:rsid w:val="002E0D43"/>
    <w:rsid w:val="002E0F78"/>
    <w:rsid w:val="002E0FD6"/>
    <w:rsid w:val="002E1B55"/>
    <w:rsid w:val="002E1FE6"/>
    <w:rsid w:val="002E2324"/>
    <w:rsid w:val="002E242C"/>
    <w:rsid w:val="002E2607"/>
    <w:rsid w:val="002E28A5"/>
    <w:rsid w:val="002E2A51"/>
    <w:rsid w:val="002E2C2B"/>
    <w:rsid w:val="002E313A"/>
    <w:rsid w:val="002E336E"/>
    <w:rsid w:val="002E3594"/>
    <w:rsid w:val="002E3923"/>
    <w:rsid w:val="002E3941"/>
    <w:rsid w:val="002E3B2E"/>
    <w:rsid w:val="002E43D1"/>
    <w:rsid w:val="002E43EA"/>
    <w:rsid w:val="002E45F3"/>
    <w:rsid w:val="002E4B5E"/>
    <w:rsid w:val="002E4F99"/>
    <w:rsid w:val="002E4F9F"/>
    <w:rsid w:val="002E4FBA"/>
    <w:rsid w:val="002E5200"/>
    <w:rsid w:val="002E5813"/>
    <w:rsid w:val="002E586F"/>
    <w:rsid w:val="002E59A8"/>
    <w:rsid w:val="002E5AFA"/>
    <w:rsid w:val="002E6111"/>
    <w:rsid w:val="002E689F"/>
    <w:rsid w:val="002E69D9"/>
    <w:rsid w:val="002E6E0A"/>
    <w:rsid w:val="002E6EA6"/>
    <w:rsid w:val="002E716B"/>
    <w:rsid w:val="002E7261"/>
    <w:rsid w:val="002E73B2"/>
    <w:rsid w:val="002E759C"/>
    <w:rsid w:val="002E7976"/>
    <w:rsid w:val="002E7F8C"/>
    <w:rsid w:val="002F0111"/>
    <w:rsid w:val="002F03D2"/>
    <w:rsid w:val="002F0A52"/>
    <w:rsid w:val="002F0EB9"/>
    <w:rsid w:val="002F1207"/>
    <w:rsid w:val="002F16CA"/>
    <w:rsid w:val="002F18D3"/>
    <w:rsid w:val="002F1946"/>
    <w:rsid w:val="002F1A06"/>
    <w:rsid w:val="002F1B1B"/>
    <w:rsid w:val="002F221E"/>
    <w:rsid w:val="002F2385"/>
    <w:rsid w:val="002F2539"/>
    <w:rsid w:val="002F256D"/>
    <w:rsid w:val="002F27F0"/>
    <w:rsid w:val="002F2A21"/>
    <w:rsid w:val="002F2F14"/>
    <w:rsid w:val="002F30FD"/>
    <w:rsid w:val="002F3377"/>
    <w:rsid w:val="002F34A7"/>
    <w:rsid w:val="002F38D4"/>
    <w:rsid w:val="002F3C00"/>
    <w:rsid w:val="002F3EAF"/>
    <w:rsid w:val="002F4304"/>
    <w:rsid w:val="002F4457"/>
    <w:rsid w:val="002F4CAD"/>
    <w:rsid w:val="002F50EE"/>
    <w:rsid w:val="002F52A9"/>
    <w:rsid w:val="002F52B8"/>
    <w:rsid w:val="002F5513"/>
    <w:rsid w:val="002F5584"/>
    <w:rsid w:val="002F5855"/>
    <w:rsid w:val="002F5EB6"/>
    <w:rsid w:val="002F6A23"/>
    <w:rsid w:val="002F6A42"/>
    <w:rsid w:val="002F7563"/>
    <w:rsid w:val="002F7627"/>
    <w:rsid w:val="002F767B"/>
    <w:rsid w:val="002F78D9"/>
    <w:rsid w:val="002F7A1E"/>
    <w:rsid w:val="002F7B8B"/>
    <w:rsid w:val="002F7BEA"/>
    <w:rsid w:val="002F7D24"/>
    <w:rsid w:val="002F7E31"/>
    <w:rsid w:val="002F7EBC"/>
    <w:rsid w:val="00301434"/>
    <w:rsid w:val="00301512"/>
    <w:rsid w:val="00301E56"/>
    <w:rsid w:val="0030209C"/>
    <w:rsid w:val="00302A63"/>
    <w:rsid w:val="00302A8D"/>
    <w:rsid w:val="00302F28"/>
    <w:rsid w:val="003030F4"/>
    <w:rsid w:val="00303129"/>
    <w:rsid w:val="0030338F"/>
    <w:rsid w:val="00303695"/>
    <w:rsid w:val="00303903"/>
    <w:rsid w:val="003039A1"/>
    <w:rsid w:val="00303A4F"/>
    <w:rsid w:val="0030414C"/>
    <w:rsid w:val="00304FAD"/>
    <w:rsid w:val="00305602"/>
    <w:rsid w:val="0030582D"/>
    <w:rsid w:val="0030598B"/>
    <w:rsid w:val="00305E17"/>
    <w:rsid w:val="003065C8"/>
    <w:rsid w:val="0030696B"/>
    <w:rsid w:val="00306DB5"/>
    <w:rsid w:val="003071F0"/>
    <w:rsid w:val="00307251"/>
    <w:rsid w:val="003072D5"/>
    <w:rsid w:val="00307645"/>
    <w:rsid w:val="00307917"/>
    <w:rsid w:val="00307B5A"/>
    <w:rsid w:val="00307E19"/>
    <w:rsid w:val="00307F39"/>
    <w:rsid w:val="0031017F"/>
    <w:rsid w:val="0031024F"/>
    <w:rsid w:val="003102DF"/>
    <w:rsid w:val="00310741"/>
    <w:rsid w:val="00310BDA"/>
    <w:rsid w:val="00310D03"/>
    <w:rsid w:val="00310E81"/>
    <w:rsid w:val="0031194A"/>
    <w:rsid w:val="00311DCA"/>
    <w:rsid w:val="00311F66"/>
    <w:rsid w:val="00312167"/>
    <w:rsid w:val="003129C1"/>
    <w:rsid w:val="00312B6E"/>
    <w:rsid w:val="00312BCA"/>
    <w:rsid w:val="00312F6A"/>
    <w:rsid w:val="00313360"/>
    <w:rsid w:val="00313E35"/>
    <w:rsid w:val="00313E56"/>
    <w:rsid w:val="00314188"/>
    <w:rsid w:val="003143EE"/>
    <w:rsid w:val="00314534"/>
    <w:rsid w:val="00314A98"/>
    <w:rsid w:val="00314AC3"/>
    <w:rsid w:val="0031531A"/>
    <w:rsid w:val="003153DD"/>
    <w:rsid w:val="00315480"/>
    <w:rsid w:val="0031566C"/>
    <w:rsid w:val="0031570E"/>
    <w:rsid w:val="0031582C"/>
    <w:rsid w:val="003169D0"/>
    <w:rsid w:val="00316BD5"/>
    <w:rsid w:val="00316D61"/>
    <w:rsid w:val="0031702F"/>
    <w:rsid w:val="003176E7"/>
    <w:rsid w:val="00317BA4"/>
    <w:rsid w:val="003200AC"/>
    <w:rsid w:val="003202D0"/>
    <w:rsid w:val="00320C38"/>
    <w:rsid w:val="00320DF3"/>
    <w:rsid w:val="00320F74"/>
    <w:rsid w:val="00321065"/>
    <w:rsid w:val="00321475"/>
    <w:rsid w:val="003219D7"/>
    <w:rsid w:val="003224AB"/>
    <w:rsid w:val="003226F6"/>
    <w:rsid w:val="003228F9"/>
    <w:rsid w:val="00322CA6"/>
    <w:rsid w:val="00323248"/>
    <w:rsid w:val="00323A30"/>
    <w:rsid w:val="00323B8A"/>
    <w:rsid w:val="00324163"/>
    <w:rsid w:val="0032442C"/>
    <w:rsid w:val="003246BD"/>
    <w:rsid w:val="0032499B"/>
    <w:rsid w:val="00324C27"/>
    <w:rsid w:val="00324FC8"/>
    <w:rsid w:val="00325280"/>
    <w:rsid w:val="00325399"/>
    <w:rsid w:val="003254E5"/>
    <w:rsid w:val="003255D7"/>
    <w:rsid w:val="00325658"/>
    <w:rsid w:val="00325D1F"/>
    <w:rsid w:val="00325F48"/>
    <w:rsid w:val="00326110"/>
    <w:rsid w:val="0032613C"/>
    <w:rsid w:val="00326393"/>
    <w:rsid w:val="00326451"/>
    <w:rsid w:val="003267EC"/>
    <w:rsid w:val="0032684D"/>
    <w:rsid w:val="00326E68"/>
    <w:rsid w:val="00326E6B"/>
    <w:rsid w:val="0032725A"/>
    <w:rsid w:val="00327508"/>
    <w:rsid w:val="00327676"/>
    <w:rsid w:val="00327777"/>
    <w:rsid w:val="003277BC"/>
    <w:rsid w:val="003278CF"/>
    <w:rsid w:val="00327F39"/>
    <w:rsid w:val="00330007"/>
    <w:rsid w:val="0033071B"/>
    <w:rsid w:val="00331508"/>
    <w:rsid w:val="00331539"/>
    <w:rsid w:val="003315F2"/>
    <w:rsid w:val="00331714"/>
    <w:rsid w:val="00331BF6"/>
    <w:rsid w:val="0033228C"/>
    <w:rsid w:val="003323D1"/>
    <w:rsid w:val="0033272F"/>
    <w:rsid w:val="0033295E"/>
    <w:rsid w:val="00332C10"/>
    <w:rsid w:val="00333081"/>
    <w:rsid w:val="003338D3"/>
    <w:rsid w:val="003339E3"/>
    <w:rsid w:val="00333ECB"/>
    <w:rsid w:val="00333EE0"/>
    <w:rsid w:val="00333FDE"/>
    <w:rsid w:val="0033430A"/>
    <w:rsid w:val="0033432A"/>
    <w:rsid w:val="00334EAE"/>
    <w:rsid w:val="0033540D"/>
    <w:rsid w:val="00335729"/>
    <w:rsid w:val="00335830"/>
    <w:rsid w:val="003359BE"/>
    <w:rsid w:val="003359FA"/>
    <w:rsid w:val="00335B2D"/>
    <w:rsid w:val="0033607C"/>
    <w:rsid w:val="003360C8"/>
    <w:rsid w:val="00336351"/>
    <w:rsid w:val="00336368"/>
    <w:rsid w:val="003363D0"/>
    <w:rsid w:val="003365A2"/>
    <w:rsid w:val="0033687E"/>
    <w:rsid w:val="00336B67"/>
    <w:rsid w:val="00336DE7"/>
    <w:rsid w:val="00337069"/>
    <w:rsid w:val="00337216"/>
    <w:rsid w:val="003373F3"/>
    <w:rsid w:val="00337A6A"/>
    <w:rsid w:val="00337B3D"/>
    <w:rsid w:val="00337F1C"/>
    <w:rsid w:val="00337F33"/>
    <w:rsid w:val="00340330"/>
    <w:rsid w:val="00340622"/>
    <w:rsid w:val="00340BE6"/>
    <w:rsid w:val="00340EBF"/>
    <w:rsid w:val="00341B45"/>
    <w:rsid w:val="00342622"/>
    <w:rsid w:val="003427EE"/>
    <w:rsid w:val="00342BB5"/>
    <w:rsid w:val="0034372C"/>
    <w:rsid w:val="0034386D"/>
    <w:rsid w:val="00343D6A"/>
    <w:rsid w:val="0034424D"/>
    <w:rsid w:val="00344618"/>
    <w:rsid w:val="00344624"/>
    <w:rsid w:val="0034498A"/>
    <w:rsid w:val="00344A6E"/>
    <w:rsid w:val="00344D64"/>
    <w:rsid w:val="003450B3"/>
    <w:rsid w:val="0034605C"/>
    <w:rsid w:val="00346271"/>
    <w:rsid w:val="003462C5"/>
    <w:rsid w:val="0034712B"/>
    <w:rsid w:val="003471DD"/>
    <w:rsid w:val="003473FA"/>
    <w:rsid w:val="003476B2"/>
    <w:rsid w:val="003477EC"/>
    <w:rsid w:val="00347A91"/>
    <w:rsid w:val="00350CA1"/>
    <w:rsid w:val="00350F94"/>
    <w:rsid w:val="003514F2"/>
    <w:rsid w:val="003518CD"/>
    <w:rsid w:val="003518FF"/>
    <w:rsid w:val="00351AD8"/>
    <w:rsid w:val="00351C7B"/>
    <w:rsid w:val="00351CE1"/>
    <w:rsid w:val="00351CE7"/>
    <w:rsid w:val="0035238F"/>
    <w:rsid w:val="0035253D"/>
    <w:rsid w:val="00352F3B"/>
    <w:rsid w:val="00353378"/>
    <w:rsid w:val="0035337A"/>
    <w:rsid w:val="003533B2"/>
    <w:rsid w:val="0035355C"/>
    <w:rsid w:val="00353821"/>
    <w:rsid w:val="00353AB1"/>
    <w:rsid w:val="00353E30"/>
    <w:rsid w:val="0035436E"/>
    <w:rsid w:val="00354B4C"/>
    <w:rsid w:val="00354C60"/>
    <w:rsid w:val="00355D02"/>
    <w:rsid w:val="00355F00"/>
    <w:rsid w:val="0035608E"/>
    <w:rsid w:val="0035627A"/>
    <w:rsid w:val="00356480"/>
    <w:rsid w:val="00356491"/>
    <w:rsid w:val="0035692A"/>
    <w:rsid w:val="00357180"/>
    <w:rsid w:val="0035775D"/>
    <w:rsid w:val="00357B0D"/>
    <w:rsid w:val="00357EEB"/>
    <w:rsid w:val="00357FCF"/>
    <w:rsid w:val="00360610"/>
    <w:rsid w:val="00361041"/>
    <w:rsid w:val="00361377"/>
    <w:rsid w:val="00361463"/>
    <w:rsid w:val="00361BF0"/>
    <w:rsid w:val="00361C1F"/>
    <w:rsid w:val="0036210E"/>
    <w:rsid w:val="00362142"/>
    <w:rsid w:val="003624DA"/>
    <w:rsid w:val="00362979"/>
    <w:rsid w:val="003629E7"/>
    <w:rsid w:val="0036310E"/>
    <w:rsid w:val="003635A2"/>
    <w:rsid w:val="003635B1"/>
    <w:rsid w:val="00363890"/>
    <w:rsid w:val="00363909"/>
    <w:rsid w:val="00363ADC"/>
    <w:rsid w:val="00363E66"/>
    <w:rsid w:val="0036458D"/>
    <w:rsid w:val="00364E93"/>
    <w:rsid w:val="00364EF8"/>
    <w:rsid w:val="00364EFE"/>
    <w:rsid w:val="00365204"/>
    <w:rsid w:val="003652D5"/>
    <w:rsid w:val="00365B3D"/>
    <w:rsid w:val="00365C12"/>
    <w:rsid w:val="00365D72"/>
    <w:rsid w:val="00365ED4"/>
    <w:rsid w:val="00365F5B"/>
    <w:rsid w:val="003661C0"/>
    <w:rsid w:val="003664AC"/>
    <w:rsid w:val="003664D9"/>
    <w:rsid w:val="003664E3"/>
    <w:rsid w:val="00366828"/>
    <w:rsid w:val="00366C96"/>
    <w:rsid w:val="00367069"/>
    <w:rsid w:val="003670CB"/>
    <w:rsid w:val="003671FB"/>
    <w:rsid w:val="003671FE"/>
    <w:rsid w:val="00370087"/>
    <w:rsid w:val="00370387"/>
    <w:rsid w:val="0037084E"/>
    <w:rsid w:val="00370C0B"/>
    <w:rsid w:val="0037103C"/>
    <w:rsid w:val="00371367"/>
    <w:rsid w:val="003715C7"/>
    <w:rsid w:val="0037185A"/>
    <w:rsid w:val="00371BAD"/>
    <w:rsid w:val="00371BB7"/>
    <w:rsid w:val="00372182"/>
    <w:rsid w:val="003727CF"/>
    <w:rsid w:val="00372AA8"/>
    <w:rsid w:val="00372F85"/>
    <w:rsid w:val="00372FEF"/>
    <w:rsid w:val="00373052"/>
    <w:rsid w:val="0037339B"/>
    <w:rsid w:val="0037364D"/>
    <w:rsid w:val="003736A9"/>
    <w:rsid w:val="00373929"/>
    <w:rsid w:val="00373958"/>
    <w:rsid w:val="00373CC9"/>
    <w:rsid w:val="00374577"/>
    <w:rsid w:val="003745EF"/>
    <w:rsid w:val="00374C98"/>
    <w:rsid w:val="00374D29"/>
    <w:rsid w:val="003756DC"/>
    <w:rsid w:val="0037583F"/>
    <w:rsid w:val="00375BD5"/>
    <w:rsid w:val="003764AC"/>
    <w:rsid w:val="0037676A"/>
    <w:rsid w:val="003769B3"/>
    <w:rsid w:val="00376E8E"/>
    <w:rsid w:val="00376F3E"/>
    <w:rsid w:val="00377196"/>
    <w:rsid w:val="003777E1"/>
    <w:rsid w:val="00377838"/>
    <w:rsid w:val="00380E52"/>
    <w:rsid w:val="0038130F"/>
    <w:rsid w:val="00381327"/>
    <w:rsid w:val="00381334"/>
    <w:rsid w:val="003813CD"/>
    <w:rsid w:val="0038145B"/>
    <w:rsid w:val="00382633"/>
    <w:rsid w:val="003827A4"/>
    <w:rsid w:val="00382999"/>
    <w:rsid w:val="00382BB5"/>
    <w:rsid w:val="00382DCB"/>
    <w:rsid w:val="00382EE7"/>
    <w:rsid w:val="00383544"/>
    <w:rsid w:val="0038370A"/>
    <w:rsid w:val="003837BA"/>
    <w:rsid w:val="00383855"/>
    <w:rsid w:val="003838BD"/>
    <w:rsid w:val="00383989"/>
    <w:rsid w:val="00383AD8"/>
    <w:rsid w:val="00383EA9"/>
    <w:rsid w:val="0038404B"/>
    <w:rsid w:val="0038438B"/>
    <w:rsid w:val="00384EDA"/>
    <w:rsid w:val="00384EFD"/>
    <w:rsid w:val="003851D0"/>
    <w:rsid w:val="0038577B"/>
    <w:rsid w:val="00385EDC"/>
    <w:rsid w:val="00385F3A"/>
    <w:rsid w:val="00385FBF"/>
    <w:rsid w:val="00385FC1"/>
    <w:rsid w:val="00386036"/>
    <w:rsid w:val="00386267"/>
    <w:rsid w:val="0038631C"/>
    <w:rsid w:val="0038644A"/>
    <w:rsid w:val="00386B12"/>
    <w:rsid w:val="00386D0E"/>
    <w:rsid w:val="00386DBD"/>
    <w:rsid w:val="00386E5C"/>
    <w:rsid w:val="0038735E"/>
    <w:rsid w:val="003873F9"/>
    <w:rsid w:val="003875BE"/>
    <w:rsid w:val="00387FC4"/>
    <w:rsid w:val="00390B83"/>
    <w:rsid w:val="00391106"/>
    <w:rsid w:val="003914E0"/>
    <w:rsid w:val="0039155E"/>
    <w:rsid w:val="00391688"/>
    <w:rsid w:val="00391BFC"/>
    <w:rsid w:val="00391E21"/>
    <w:rsid w:val="00392438"/>
    <w:rsid w:val="00392758"/>
    <w:rsid w:val="00392B4B"/>
    <w:rsid w:val="00392D41"/>
    <w:rsid w:val="00392E63"/>
    <w:rsid w:val="0039311A"/>
    <w:rsid w:val="0039326B"/>
    <w:rsid w:val="003936C1"/>
    <w:rsid w:val="0039392D"/>
    <w:rsid w:val="00393DA0"/>
    <w:rsid w:val="00393E98"/>
    <w:rsid w:val="0039403B"/>
    <w:rsid w:val="00394843"/>
    <w:rsid w:val="00394AD7"/>
    <w:rsid w:val="00394E99"/>
    <w:rsid w:val="00395336"/>
    <w:rsid w:val="00395449"/>
    <w:rsid w:val="003954D7"/>
    <w:rsid w:val="00395670"/>
    <w:rsid w:val="003957FD"/>
    <w:rsid w:val="00395CBD"/>
    <w:rsid w:val="003961F0"/>
    <w:rsid w:val="003968D2"/>
    <w:rsid w:val="003969A5"/>
    <w:rsid w:val="003970C9"/>
    <w:rsid w:val="00397485"/>
    <w:rsid w:val="00397577"/>
    <w:rsid w:val="003976E5"/>
    <w:rsid w:val="00397838"/>
    <w:rsid w:val="00397955"/>
    <w:rsid w:val="003A06BE"/>
    <w:rsid w:val="003A0CD6"/>
    <w:rsid w:val="003A1321"/>
    <w:rsid w:val="003A1344"/>
    <w:rsid w:val="003A1963"/>
    <w:rsid w:val="003A1BF8"/>
    <w:rsid w:val="003A24B6"/>
    <w:rsid w:val="003A2670"/>
    <w:rsid w:val="003A26C7"/>
    <w:rsid w:val="003A2BF0"/>
    <w:rsid w:val="003A2D16"/>
    <w:rsid w:val="003A2F55"/>
    <w:rsid w:val="003A319E"/>
    <w:rsid w:val="003A3239"/>
    <w:rsid w:val="003A3968"/>
    <w:rsid w:val="003A3B0D"/>
    <w:rsid w:val="003A3BE7"/>
    <w:rsid w:val="003A3FDA"/>
    <w:rsid w:val="003A4480"/>
    <w:rsid w:val="003A47F3"/>
    <w:rsid w:val="003A49E7"/>
    <w:rsid w:val="003A4E1F"/>
    <w:rsid w:val="003A510B"/>
    <w:rsid w:val="003A521A"/>
    <w:rsid w:val="003A5888"/>
    <w:rsid w:val="003A58C9"/>
    <w:rsid w:val="003A5B5F"/>
    <w:rsid w:val="003A5B66"/>
    <w:rsid w:val="003A5D1A"/>
    <w:rsid w:val="003A5FC2"/>
    <w:rsid w:val="003A6153"/>
    <w:rsid w:val="003A65F9"/>
    <w:rsid w:val="003A6C1E"/>
    <w:rsid w:val="003A6F3B"/>
    <w:rsid w:val="003A72EE"/>
    <w:rsid w:val="003A7344"/>
    <w:rsid w:val="003A7809"/>
    <w:rsid w:val="003A7E96"/>
    <w:rsid w:val="003B03CA"/>
    <w:rsid w:val="003B04B4"/>
    <w:rsid w:val="003B067B"/>
    <w:rsid w:val="003B0828"/>
    <w:rsid w:val="003B0834"/>
    <w:rsid w:val="003B089D"/>
    <w:rsid w:val="003B0B53"/>
    <w:rsid w:val="003B13C9"/>
    <w:rsid w:val="003B143C"/>
    <w:rsid w:val="003B1468"/>
    <w:rsid w:val="003B14D0"/>
    <w:rsid w:val="003B1BEF"/>
    <w:rsid w:val="003B1CF6"/>
    <w:rsid w:val="003B214B"/>
    <w:rsid w:val="003B2256"/>
    <w:rsid w:val="003B232B"/>
    <w:rsid w:val="003B276A"/>
    <w:rsid w:val="003B2EF8"/>
    <w:rsid w:val="003B2F1E"/>
    <w:rsid w:val="003B320A"/>
    <w:rsid w:val="003B3704"/>
    <w:rsid w:val="003B3709"/>
    <w:rsid w:val="003B37F4"/>
    <w:rsid w:val="003B3E13"/>
    <w:rsid w:val="003B4744"/>
    <w:rsid w:val="003B4865"/>
    <w:rsid w:val="003B4B94"/>
    <w:rsid w:val="003B592C"/>
    <w:rsid w:val="003B59BE"/>
    <w:rsid w:val="003B59E8"/>
    <w:rsid w:val="003B5E3B"/>
    <w:rsid w:val="003B5FC9"/>
    <w:rsid w:val="003B62F4"/>
    <w:rsid w:val="003B64A4"/>
    <w:rsid w:val="003B6BC1"/>
    <w:rsid w:val="003B6CFA"/>
    <w:rsid w:val="003B6F87"/>
    <w:rsid w:val="003B7839"/>
    <w:rsid w:val="003B78A8"/>
    <w:rsid w:val="003B7901"/>
    <w:rsid w:val="003B791A"/>
    <w:rsid w:val="003C0544"/>
    <w:rsid w:val="003C0556"/>
    <w:rsid w:val="003C0D35"/>
    <w:rsid w:val="003C0EBA"/>
    <w:rsid w:val="003C0F97"/>
    <w:rsid w:val="003C10F9"/>
    <w:rsid w:val="003C13F6"/>
    <w:rsid w:val="003C21DF"/>
    <w:rsid w:val="003C2407"/>
    <w:rsid w:val="003C277B"/>
    <w:rsid w:val="003C27A5"/>
    <w:rsid w:val="003C2BB9"/>
    <w:rsid w:val="003C30B0"/>
    <w:rsid w:val="003C36FB"/>
    <w:rsid w:val="003C3C0E"/>
    <w:rsid w:val="003C3CE5"/>
    <w:rsid w:val="003C3EFD"/>
    <w:rsid w:val="003C40CA"/>
    <w:rsid w:val="003C424E"/>
    <w:rsid w:val="003C4D1A"/>
    <w:rsid w:val="003C4EFE"/>
    <w:rsid w:val="003C54CE"/>
    <w:rsid w:val="003C54E3"/>
    <w:rsid w:val="003C5AD8"/>
    <w:rsid w:val="003C5F1D"/>
    <w:rsid w:val="003C60FB"/>
    <w:rsid w:val="003C62DF"/>
    <w:rsid w:val="003C66C7"/>
    <w:rsid w:val="003C6A76"/>
    <w:rsid w:val="003C70F1"/>
    <w:rsid w:val="003C72E5"/>
    <w:rsid w:val="003C7859"/>
    <w:rsid w:val="003C7A2D"/>
    <w:rsid w:val="003D0030"/>
    <w:rsid w:val="003D0496"/>
    <w:rsid w:val="003D05CC"/>
    <w:rsid w:val="003D0718"/>
    <w:rsid w:val="003D0758"/>
    <w:rsid w:val="003D0A51"/>
    <w:rsid w:val="003D0F2F"/>
    <w:rsid w:val="003D1619"/>
    <w:rsid w:val="003D189A"/>
    <w:rsid w:val="003D1ACF"/>
    <w:rsid w:val="003D1FFB"/>
    <w:rsid w:val="003D2142"/>
    <w:rsid w:val="003D2463"/>
    <w:rsid w:val="003D2F0B"/>
    <w:rsid w:val="003D364B"/>
    <w:rsid w:val="003D3828"/>
    <w:rsid w:val="003D3BBA"/>
    <w:rsid w:val="003D3EC4"/>
    <w:rsid w:val="003D3EE3"/>
    <w:rsid w:val="003D44F0"/>
    <w:rsid w:val="003D4827"/>
    <w:rsid w:val="003D49C4"/>
    <w:rsid w:val="003D4A60"/>
    <w:rsid w:val="003D4AB3"/>
    <w:rsid w:val="003D53F5"/>
    <w:rsid w:val="003D55C2"/>
    <w:rsid w:val="003D570C"/>
    <w:rsid w:val="003D596E"/>
    <w:rsid w:val="003D5994"/>
    <w:rsid w:val="003D5B1D"/>
    <w:rsid w:val="003D60BB"/>
    <w:rsid w:val="003D6367"/>
    <w:rsid w:val="003D6443"/>
    <w:rsid w:val="003D67A2"/>
    <w:rsid w:val="003D6DC6"/>
    <w:rsid w:val="003D770B"/>
    <w:rsid w:val="003D7746"/>
    <w:rsid w:val="003D7807"/>
    <w:rsid w:val="003D7C1D"/>
    <w:rsid w:val="003D7EC3"/>
    <w:rsid w:val="003E05C6"/>
    <w:rsid w:val="003E0978"/>
    <w:rsid w:val="003E0F25"/>
    <w:rsid w:val="003E1474"/>
    <w:rsid w:val="003E148F"/>
    <w:rsid w:val="003E1F6B"/>
    <w:rsid w:val="003E215F"/>
    <w:rsid w:val="003E2434"/>
    <w:rsid w:val="003E24CB"/>
    <w:rsid w:val="003E2751"/>
    <w:rsid w:val="003E2CBF"/>
    <w:rsid w:val="003E2D3E"/>
    <w:rsid w:val="003E2D60"/>
    <w:rsid w:val="003E2E9C"/>
    <w:rsid w:val="003E2F0E"/>
    <w:rsid w:val="003E39D8"/>
    <w:rsid w:val="003E3CEA"/>
    <w:rsid w:val="003E3DCE"/>
    <w:rsid w:val="003E3DD1"/>
    <w:rsid w:val="003E3E8C"/>
    <w:rsid w:val="003E3EB7"/>
    <w:rsid w:val="003E40BB"/>
    <w:rsid w:val="003E41CB"/>
    <w:rsid w:val="003E422C"/>
    <w:rsid w:val="003E459C"/>
    <w:rsid w:val="003E4A45"/>
    <w:rsid w:val="003E4BC1"/>
    <w:rsid w:val="003E5473"/>
    <w:rsid w:val="003E5729"/>
    <w:rsid w:val="003E5836"/>
    <w:rsid w:val="003E5946"/>
    <w:rsid w:val="003E635F"/>
    <w:rsid w:val="003E73BC"/>
    <w:rsid w:val="003E76E1"/>
    <w:rsid w:val="003E7A9A"/>
    <w:rsid w:val="003F0B1B"/>
    <w:rsid w:val="003F0F0D"/>
    <w:rsid w:val="003F10E3"/>
    <w:rsid w:val="003F1192"/>
    <w:rsid w:val="003F1D4A"/>
    <w:rsid w:val="003F1F8A"/>
    <w:rsid w:val="003F25C7"/>
    <w:rsid w:val="003F2805"/>
    <w:rsid w:val="003F2F8A"/>
    <w:rsid w:val="003F3232"/>
    <w:rsid w:val="003F3385"/>
    <w:rsid w:val="003F33D1"/>
    <w:rsid w:val="003F35A9"/>
    <w:rsid w:val="003F3897"/>
    <w:rsid w:val="003F3C0C"/>
    <w:rsid w:val="003F3DAB"/>
    <w:rsid w:val="003F4236"/>
    <w:rsid w:val="003F456E"/>
    <w:rsid w:val="003F4636"/>
    <w:rsid w:val="003F4A68"/>
    <w:rsid w:val="003F4B49"/>
    <w:rsid w:val="003F5551"/>
    <w:rsid w:val="003F5675"/>
    <w:rsid w:val="003F585D"/>
    <w:rsid w:val="003F599A"/>
    <w:rsid w:val="003F5A84"/>
    <w:rsid w:val="003F5B32"/>
    <w:rsid w:val="003F5EDE"/>
    <w:rsid w:val="003F5EEE"/>
    <w:rsid w:val="003F61D7"/>
    <w:rsid w:val="003F6485"/>
    <w:rsid w:val="003F64F9"/>
    <w:rsid w:val="003F6B45"/>
    <w:rsid w:val="003F775B"/>
    <w:rsid w:val="003F79CC"/>
    <w:rsid w:val="003F7DDB"/>
    <w:rsid w:val="003F7FD9"/>
    <w:rsid w:val="00400257"/>
    <w:rsid w:val="00400503"/>
    <w:rsid w:val="004006FB"/>
    <w:rsid w:val="00400836"/>
    <w:rsid w:val="00401397"/>
    <w:rsid w:val="00401C07"/>
    <w:rsid w:val="00401E9E"/>
    <w:rsid w:val="00401ECA"/>
    <w:rsid w:val="004020DE"/>
    <w:rsid w:val="0040211C"/>
    <w:rsid w:val="00402617"/>
    <w:rsid w:val="0040279B"/>
    <w:rsid w:val="004027A3"/>
    <w:rsid w:val="0040292D"/>
    <w:rsid w:val="00402CD8"/>
    <w:rsid w:val="004033DB"/>
    <w:rsid w:val="00403688"/>
    <w:rsid w:val="0040378A"/>
    <w:rsid w:val="004038E7"/>
    <w:rsid w:val="00403A16"/>
    <w:rsid w:val="004043BE"/>
    <w:rsid w:val="00404F1F"/>
    <w:rsid w:val="00405DED"/>
    <w:rsid w:val="00406629"/>
    <w:rsid w:val="0040665B"/>
    <w:rsid w:val="0040669F"/>
    <w:rsid w:val="0040685C"/>
    <w:rsid w:val="00406FC2"/>
    <w:rsid w:val="00407528"/>
    <w:rsid w:val="004078EC"/>
    <w:rsid w:val="00407C2C"/>
    <w:rsid w:val="00407E4B"/>
    <w:rsid w:val="00410416"/>
    <w:rsid w:val="00411192"/>
    <w:rsid w:val="004111CA"/>
    <w:rsid w:val="0041172C"/>
    <w:rsid w:val="00411D03"/>
    <w:rsid w:val="00411D8C"/>
    <w:rsid w:val="00412119"/>
    <w:rsid w:val="00412B70"/>
    <w:rsid w:val="00412E15"/>
    <w:rsid w:val="004133F3"/>
    <w:rsid w:val="004133F6"/>
    <w:rsid w:val="00414539"/>
    <w:rsid w:val="00414E4F"/>
    <w:rsid w:val="00414F1D"/>
    <w:rsid w:val="0041517F"/>
    <w:rsid w:val="00415794"/>
    <w:rsid w:val="00415E0A"/>
    <w:rsid w:val="0041602B"/>
    <w:rsid w:val="004164F7"/>
    <w:rsid w:val="00416D57"/>
    <w:rsid w:val="00416F16"/>
    <w:rsid w:val="0041721B"/>
    <w:rsid w:val="00417691"/>
    <w:rsid w:val="00417B25"/>
    <w:rsid w:val="00417D3F"/>
    <w:rsid w:val="004202D5"/>
    <w:rsid w:val="0042052D"/>
    <w:rsid w:val="00420655"/>
    <w:rsid w:val="00420694"/>
    <w:rsid w:val="00421869"/>
    <w:rsid w:val="00421959"/>
    <w:rsid w:val="00421DB0"/>
    <w:rsid w:val="00422134"/>
    <w:rsid w:val="004223BE"/>
    <w:rsid w:val="00422548"/>
    <w:rsid w:val="0042271B"/>
    <w:rsid w:val="00422756"/>
    <w:rsid w:val="00422797"/>
    <w:rsid w:val="004228BE"/>
    <w:rsid w:val="00422923"/>
    <w:rsid w:val="00422A0B"/>
    <w:rsid w:val="0042306D"/>
    <w:rsid w:val="00423262"/>
    <w:rsid w:val="004232D9"/>
    <w:rsid w:val="0042347F"/>
    <w:rsid w:val="00423856"/>
    <w:rsid w:val="004239E2"/>
    <w:rsid w:val="00423BA6"/>
    <w:rsid w:val="00423BC1"/>
    <w:rsid w:val="004242F0"/>
    <w:rsid w:val="0042487B"/>
    <w:rsid w:val="00424932"/>
    <w:rsid w:val="00424DBA"/>
    <w:rsid w:val="00425077"/>
    <w:rsid w:val="00425336"/>
    <w:rsid w:val="004257D9"/>
    <w:rsid w:val="00425832"/>
    <w:rsid w:val="00425E80"/>
    <w:rsid w:val="0042691A"/>
    <w:rsid w:val="00426BE0"/>
    <w:rsid w:val="00426EF7"/>
    <w:rsid w:val="00426F0F"/>
    <w:rsid w:val="00427247"/>
    <w:rsid w:val="0042774F"/>
    <w:rsid w:val="00427939"/>
    <w:rsid w:val="00427F22"/>
    <w:rsid w:val="00427FE0"/>
    <w:rsid w:val="00430573"/>
    <w:rsid w:val="004305A1"/>
    <w:rsid w:val="004305E0"/>
    <w:rsid w:val="00430D0A"/>
    <w:rsid w:val="0043115B"/>
    <w:rsid w:val="004316F3"/>
    <w:rsid w:val="00431AEB"/>
    <w:rsid w:val="00431B74"/>
    <w:rsid w:val="0043204C"/>
    <w:rsid w:val="004320FC"/>
    <w:rsid w:val="004321A7"/>
    <w:rsid w:val="004322E5"/>
    <w:rsid w:val="00432DD2"/>
    <w:rsid w:val="00433149"/>
    <w:rsid w:val="00433388"/>
    <w:rsid w:val="004334AC"/>
    <w:rsid w:val="004339C0"/>
    <w:rsid w:val="00434071"/>
    <w:rsid w:val="00434517"/>
    <w:rsid w:val="00434567"/>
    <w:rsid w:val="0043457D"/>
    <w:rsid w:val="00434FF3"/>
    <w:rsid w:val="00435174"/>
    <w:rsid w:val="00435183"/>
    <w:rsid w:val="0043522C"/>
    <w:rsid w:val="00435275"/>
    <w:rsid w:val="0043551A"/>
    <w:rsid w:val="00435561"/>
    <w:rsid w:val="00435784"/>
    <w:rsid w:val="004358E1"/>
    <w:rsid w:val="00435D31"/>
    <w:rsid w:val="0043653E"/>
    <w:rsid w:val="004365B5"/>
    <w:rsid w:val="00436ACA"/>
    <w:rsid w:val="00436C08"/>
    <w:rsid w:val="0043701B"/>
    <w:rsid w:val="0043721E"/>
    <w:rsid w:val="004372BA"/>
    <w:rsid w:val="004374F2"/>
    <w:rsid w:val="0043791E"/>
    <w:rsid w:val="00437C8E"/>
    <w:rsid w:val="00440138"/>
    <w:rsid w:val="00440365"/>
    <w:rsid w:val="00440588"/>
    <w:rsid w:val="00440921"/>
    <w:rsid w:val="00440DE3"/>
    <w:rsid w:val="00440EE9"/>
    <w:rsid w:val="0044194D"/>
    <w:rsid w:val="00441D1B"/>
    <w:rsid w:val="004422DB"/>
    <w:rsid w:val="00442806"/>
    <w:rsid w:val="0044285D"/>
    <w:rsid w:val="00442B24"/>
    <w:rsid w:val="00442DF9"/>
    <w:rsid w:val="004431BC"/>
    <w:rsid w:val="004433D4"/>
    <w:rsid w:val="004434F8"/>
    <w:rsid w:val="00443A3A"/>
    <w:rsid w:val="0044455E"/>
    <w:rsid w:val="00444672"/>
    <w:rsid w:val="00444744"/>
    <w:rsid w:val="00445305"/>
    <w:rsid w:val="00445D70"/>
    <w:rsid w:val="00446073"/>
    <w:rsid w:val="004460CA"/>
    <w:rsid w:val="00446414"/>
    <w:rsid w:val="00446982"/>
    <w:rsid w:val="00446CA1"/>
    <w:rsid w:val="00446D16"/>
    <w:rsid w:val="00447167"/>
    <w:rsid w:val="00447211"/>
    <w:rsid w:val="004472C4"/>
    <w:rsid w:val="0044732E"/>
    <w:rsid w:val="004475D1"/>
    <w:rsid w:val="00447D3D"/>
    <w:rsid w:val="00450146"/>
    <w:rsid w:val="0045014B"/>
    <w:rsid w:val="004501E0"/>
    <w:rsid w:val="00450B93"/>
    <w:rsid w:val="004519C3"/>
    <w:rsid w:val="004520FA"/>
    <w:rsid w:val="00452152"/>
    <w:rsid w:val="004524D8"/>
    <w:rsid w:val="004525BD"/>
    <w:rsid w:val="004529D3"/>
    <w:rsid w:val="00452AA2"/>
    <w:rsid w:val="00452E88"/>
    <w:rsid w:val="004533D5"/>
    <w:rsid w:val="0045354E"/>
    <w:rsid w:val="00453A1B"/>
    <w:rsid w:val="00453BBC"/>
    <w:rsid w:val="0045432A"/>
    <w:rsid w:val="00454491"/>
    <w:rsid w:val="004551EC"/>
    <w:rsid w:val="0045546E"/>
    <w:rsid w:val="0045575C"/>
    <w:rsid w:val="0045585D"/>
    <w:rsid w:val="00455AF7"/>
    <w:rsid w:val="00455CD6"/>
    <w:rsid w:val="004565ED"/>
    <w:rsid w:val="00456BE9"/>
    <w:rsid w:val="00456D86"/>
    <w:rsid w:val="00457637"/>
    <w:rsid w:val="0045767F"/>
    <w:rsid w:val="00457B1E"/>
    <w:rsid w:val="00457D53"/>
    <w:rsid w:val="00457E02"/>
    <w:rsid w:val="0046027A"/>
    <w:rsid w:val="004603B6"/>
    <w:rsid w:val="004604EC"/>
    <w:rsid w:val="0046095B"/>
    <w:rsid w:val="00460BFC"/>
    <w:rsid w:val="00460E4B"/>
    <w:rsid w:val="00460FCC"/>
    <w:rsid w:val="004610FA"/>
    <w:rsid w:val="0046181A"/>
    <w:rsid w:val="00461A7A"/>
    <w:rsid w:val="00461F29"/>
    <w:rsid w:val="004621ED"/>
    <w:rsid w:val="00462457"/>
    <w:rsid w:val="004626A2"/>
    <w:rsid w:val="00462EED"/>
    <w:rsid w:val="004632FA"/>
    <w:rsid w:val="0046337C"/>
    <w:rsid w:val="0046355F"/>
    <w:rsid w:val="00463BDD"/>
    <w:rsid w:val="00463DED"/>
    <w:rsid w:val="00464872"/>
    <w:rsid w:val="004648B8"/>
    <w:rsid w:val="00464AE9"/>
    <w:rsid w:val="00464C75"/>
    <w:rsid w:val="00464E03"/>
    <w:rsid w:val="0046528A"/>
    <w:rsid w:val="00465720"/>
    <w:rsid w:val="00465E03"/>
    <w:rsid w:val="004666F4"/>
    <w:rsid w:val="00466912"/>
    <w:rsid w:val="004670A0"/>
    <w:rsid w:val="00467B2B"/>
    <w:rsid w:val="0047002C"/>
    <w:rsid w:val="0047005B"/>
    <w:rsid w:val="0047084C"/>
    <w:rsid w:val="00470C71"/>
    <w:rsid w:val="00470EE7"/>
    <w:rsid w:val="00471085"/>
    <w:rsid w:val="004711EF"/>
    <w:rsid w:val="0047132B"/>
    <w:rsid w:val="00471566"/>
    <w:rsid w:val="00471753"/>
    <w:rsid w:val="004717DF"/>
    <w:rsid w:val="004718F0"/>
    <w:rsid w:val="00471AA1"/>
    <w:rsid w:val="00471AED"/>
    <w:rsid w:val="00471F62"/>
    <w:rsid w:val="00472560"/>
    <w:rsid w:val="00472BD3"/>
    <w:rsid w:val="00472CF7"/>
    <w:rsid w:val="00472E85"/>
    <w:rsid w:val="00473C38"/>
    <w:rsid w:val="004740AB"/>
    <w:rsid w:val="004740E9"/>
    <w:rsid w:val="004746AB"/>
    <w:rsid w:val="0047512E"/>
    <w:rsid w:val="004754C6"/>
    <w:rsid w:val="00475599"/>
    <w:rsid w:val="004756B6"/>
    <w:rsid w:val="0047578A"/>
    <w:rsid w:val="004759EC"/>
    <w:rsid w:val="00475B17"/>
    <w:rsid w:val="00475BD4"/>
    <w:rsid w:val="0047614D"/>
    <w:rsid w:val="0047635C"/>
    <w:rsid w:val="0047672F"/>
    <w:rsid w:val="00476D76"/>
    <w:rsid w:val="00476D81"/>
    <w:rsid w:val="00476E62"/>
    <w:rsid w:val="004772E4"/>
    <w:rsid w:val="004774E5"/>
    <w:rsid w:val="00477828"/>
    <w:rsid w:val="00477CA4"/>
    <w:rsid w:val="00477FCB"/>
    <w:rsid w:val="00480118"/>
    <w:rsid w:val="00480306"/>
    <w:rsid w:val="00480385"/>
    <w:rsid w:val="00480614"/>
    <w:rsid w:val="004806D6"/>
    <w:rsid w:val="00480A10"/>
    <w:rsid w:val="00480EDB"/>
    <w:rsid w:val="00480FBC"/>
    <w:rsid w:val="0048124A"/>
    <w:rsid w:val="00481422"/>
    <w:rsid w:val="0048174D"/>
    <w:rsid w:val="004819FB"/>
    <w:rsid w:val="00481E70"/>
    <w:rsid w:val="004821A9"/>
    <w:rsid w:val="004827BC"/>
    <w:rsid w:val="00482BDD"/>
    <w:rsid w:val="00482DF1"/>
    <w:rsid w:val="004834D6"/>
    <w:rsid w:val="00483918"/>
    <w:rsid w:val="00484032"/>
    <w:rsid w:val="0048469B"/>
    <w:rsid w:val="00484C09"/>
    <w:rsid w:val="00485B39"/>
    <w:rsid w:val="004864B9"/>
    <w:rsid w:val="004868F1"/>
    <w:rsid w:val="00486D45"/>
    <w:rsid w:val="00486EF2"/>
    <w:rsid w:val="00487054"/>
    <w:rsid w:val="00487139"/>
    <w:rsid w:val="00487633"/>
    <w:rsid w:val="00487D52"/>
    <w:rsid w:val="00487E42"/>
    <w:rsid w:val="00487FD5"/>
    <w:rsid w:val="0049055A"/>
    <w:rsid w:val="00490D5D"/>
    <w:rsid w:val="00490E78"/>
    <w:rsid w:val="0049106E"/>
    <w:rsid w:val="00491625"/>
    <w:rsid w:val="004918D8"/>
    <w:rsid w:val="00491983"/>
    <w:rsid w:val="004919ED"/>
    <w:rsid w:val="00491A45"/>
    <w:rsid w:val="00491B84"/>
    <w:rsid w:val="004922A7"/>
    <w:rsid w:val="004927BA"/>
    <w:rsid w:val="00492F33"/>
    <w:rsid w:val="00493A11"/>
    <w:rsid w:val="00493C3B"/>
    <w:rsid w:val="00493C3D"/>
    <w:rsid w:val="00493D65"/>
    <w:rsid w:val="00493DA7"/>
    <w:rsid w:val="00493E68"/>
    <w:rsid w:val="004952B5"/>
    <w:rsid w:val="004953C7"/>
    <w:rsid w:val="00495D9E"/>
    <w:rsid w:val="00495DCB"/>
    <w:rsid w:val="00496339"/>
    <w:rsid w:val="004967A3"/>
    <w:rsid w:val="00496A72"/>
    <w:rsid w:val="004975AE"/>
    <w:rsid w:val="004976C4"/>
    <w:rsid w:val="00497805"/>
    <w:rsid w:val="0049789E"/>
    <w:rsid w:val="00497964"/>
    <w:rsid w:val="00497CF0"/>
    <w:rsid w:val="004A0786"/>
    <w:rsid w:val="004A0A50"/>
    <w:rsid w:val="004A0C3B"/>
    <w:rsid w:val="004A0C6A"/>
    <w:rsid w:val="004A0D32"/>
    <w:rsid w:val="004A0DBD"/>
    <w:rsid w:val="004A149D"/>
    <w:rsid w:val="004A171A"/>
    <w:rsid w:val="004A19C6"/>
    <w:rsid w:val="004A1ADE"/>
    <w:rsid w:val="004A1EB8"/>
    <w:rsid w:val="004A1FBE"/>
    <w:rsid w:val="004A208C"/>
    <w:rsid w:val="004A298C"/>
    <w:rsid w:val="004A3048"/>
    <w:rsid w:val="004A3203"/>
    <w:rsid w:val="004A344E"/>
    <w:rsid w:val="004A3871"/>
    <w:rsid w:val="004A38E9"/>
    <w:rsid w:val="004A3D0B"/>
    <w:rsid w:val="004A3E61"/>
    <w:rsid w:val="004A406B"/>
    <w:rsid w:val="004A40EC"/>
    <w:rsid w:val="004A4AC4"/>
    <w:rsid w:val="004A519E"/>
    <w:rsid w:val="004A522F"/>
    <w:rsid w:val="004A5BD8"/>
    <w:rsid w:val="004A60C8"/>
    <w:rsid w:val="004A60D6"/>
    <w:rsid w:val="004A68E9"/>
    <w:rsid w:val="004A6D73"/>
    <w:rsid w:val="004A7958"/>
    <w:rsid w:val="004A7E12"/>
    <w:rsid w:val="004B016C"/>
    <w:rsid w:val="004B02C0"/>
    <w:rsid w:val="004B031F"/>
    <w:rsid w:val="004B0476"/>
    <w:rsid w:val="004B08D2"/>
    <w:rsid w:val="004B0D80"/>
    <w:rsid w:val="004B11F6"/>
    <w:rsid w:val="004B139C"/>
    <w:rsid w:val="004B1644"/>
    <w:rsid w:val="004B16B2"/>
    <w:rsid w:val="004B1789"/>
    <w:rsid w:val="004B183A"/>
    <w:rsid w:val="004B18ED"/>
    <w:rsid w:val="004B1A6C"/>
    <w:rsid w:val="004B1CEE"/>
    <w:rsid w:val="004B1E8E"/>
    <w:rsid w:val="004B38FB"/>
    <w:rsid w:val="004B3DC6"/>
    <w:rsid w:val="004B40B1"/>
    <w:rsid w:val="004B41F0"/>
    <w:rsid w:val="004B4A69"/>
    <w:rsid w:val="004B531A"/>
    <w:rsid w:val="004B54F1"/>
    <w:rsid w:val="004B57EC"/>
    <w:rsid w:val="004B584B"/>
    <w:rsid w:val="004B5925"/>
    <w:rsid w:val="004B5D96"/>
    <w:rsid w:val="004B65EF"/>
    <w:rsid w:val="004B6C6B"/>
    <w:rsid w:val="004B6CE4"/>
    <w:rsid w:val="004B72E1"/>
    <w:rsid w:val="004B793F"/>
    <w:rsid w:val="004B7E0E"/>
    <w:rsid w:val="004B7FDD"/>
    <w:rsid w:val="004C00E9"/>
    <w:rsid w:val="004C0135"/>
    <w:rsid w:val="004C04C7"/>
    <w:rsid w:val="004C05BC"/>
    <w:rsid w:val="004C083A"/>
    <w:rsid w:val="004C08EE"/>
    <w:rsid w:val="004C0A1C"/>
    <w:rsid w:val="004C0C26"/>
    <w:rsid w:val="004C0D55"/>
    <w:rsid w:val="004C0E93"/>
    <w:rsid w:val="004C152B"/>
    <w:rsid w:val="004C1634"/>
    <w:rsid w:val="004C1688"/>
    <w:rsid w:val="004C17AE"/>
    <w:rsid w:val="004C19BF"/>
    <w:rsid w:val="004C19D9"/>
    <w:rsid w:val="004C1B9A"/>
    <w:rsid w:val="004C1CED"/>
    <w:rsid w:val="004C1D24"/>
    <w:rsid w:val="004C1E9A"/>
    <w:rsid w:val="004C2102"/>
    <w:rsid w:val="004C248C"/>
    <w:rsid w:val="004C2842"/>
    <w:rsid w:val="004C2B1C"/>
    <w:rsid w:val="004C2B61"/>
    <w:rsid w:val="004C2BEB"/>
    <w:rsid w:val="004C2D29"/>
    <w:rsid w:val="004C2E0E"/>
    <w:rsid w:val="004C2F0C"/>
    <w:rsid w:val="004C2FA5"/>
    <w:rsid w:val="004C2FB4"/>
    <w:rsid w:val="004C30F2"/>
    <w:rsid w:val="004C49B3"/>
    <w:rsid w:val="004C532E"/>
    <w:rsid w:val="004C59A1"/>
    <w:rsid w:val="004C5B83"/>
    <w:rsid w:val="004C5F57"/>
    <w:rsid w:val="004C634C"/>
    <w:rsid w:val="004C6967"/>
    <w:rsid w:val="004C6D1F"/>
    <w:rsid w:val="004C7F00"/>
    <w:rsid w:val="004D0CFC"/>
    <w:rsid w:val="004D0F38"/>
    <w:rsid w:val="004D0F79"/>
    <w:rsid w:val="004D1332"/>
    <w:rsid w:val="004D13B7"/>
    <w:rsid w:val="004D15A4"/>
    <w:rsid w:val="004D1804"/>
    <w:rsid w:val="004D18E9"/>
    <w:rsid w:val="004D2085"/>
    <w:rsid w:val="004D20A5"/>
    <w:rsid w:val="004D225B"/>
    <w:rsid w:val="004D2426"/>
    <w:rsid w:val="004D2447"/>
    <w:rsid w:val="004D355F"/>
    <w:rsid w:val="004D3720"/>
    <w:rsid w:val="004D3740"/>
    <w:rsid w:val="004D4040"/>
    <w:rsid w:val="004D44D0"/>
    <w:rsid w:val="004D46C5"/>
    <w:rsid w:val="004D4732"/>
    <w:rsid w:val="004D493A"/>
    <w:rsid w:val="004D49C5"/>
    <w:rsid w:val="004D4A6A"/>
    <w:rsid w:val="004D4FFF"/>
    <w:rsid w:val="004D5449"/>
    <w:rsid w:val="004D55AD"/>
    <w:rsid w:val="004D579A"/>
    <w:rsid w:val="004D5A67"/>
    <w:rsid w:val="004D5BF2"/>
    <w:rsid w:val="004D5CFC"/>
    <w:rsid w:val="004D6333"/>
    <w:rsid w:val="004D6611"/>
    <w:rsid w:val="004D6D19"/>
    <w:rsid w:val="004D763B"/>
    <w:rsid w:val="004D77AF"/>
    <w:rsid w:val="004E0078"/>
    <w:rsid w:val="004E0595"/>
    <w:rsid w:val="004E09D8"/>
    <w:rsid w:val="004E0C97"/>
    <w:rsid w:val="004E0CD6"/>
    <w:rsid w:val="004E0DEA"/>
    <w:rsid w:val="004E0E59"/>
    <w:rsid w:val="004E10EF"/>
    <w:rsid w:val="004E1349"/>
    <w:rsid w:val="004E1997"/>
    <w:rsid w:val="004E19BA"/>
    <w:rsid w:val="004E1D26"/>
    <w:rsid w:val="004E20C6"/>
    <w:rsid w:val="004E22D0"/>
    <w:rsid w:val="004E2D32"/>
    <w:rsid w:val="004E3377"/>
    <w:rsid w:val="004E34FC"/>
    <w:rsid w:val="004E36A8"/>
    <w:rsid w:val="004E3739"/>
    <w:rsid w:val="004E38BD"/>
    <w:rsid w:val="004E39FF"/>
    <w:rsid w:val="004E472D"/>
    <w:rsid w:val="004E52A1"/>
    <w:rsid w:val="004E53B5"/>
    <w:rsid w:val="004E5435"/>
    <w:rsid w:val="004E55C7"/>
    <w:rsid w:val="004E5AAF"/>
    <w:rsid w:val="004E65DE"/>
    <w:rsid w:val="004E6AD9"/>
    <w:rsid w:val="004E6CCE"/>
    <w:rsid w:val="004E728C"/>
    <w:rsid w:val="004E7630"/>
    <w:rsid w:val="004E7AC8"/>
    <w:rsid w:val="004E7F52"/>
    <w:rsid w:val="004F0026"/>
    <w:rsid w:val="004F01C4"/>
    <w:rsid w:val="004F09CE"/>
    <w:rsid w:val="004F114E"/>
    <w:rsid w:val="004F1B1D"/>
    <w:rsid w:val="004F20CF"/>
    <w:rsid w:val="004F2558"/>
    <w:rsid w:val="004F26FB"/>
    <w:rsid w:val="004F2803"/>
    <w:rsid w:val="004F293B"/>
    <w:rsid w:val="004F2A4F"/>
    <w:rsid w:val="004F2B92"/>
    <w:rsid w:val="004F2F9D"/>
    <w:rsid w:val="004F3955"/>
    <w:rsid w:val="004F39EF"/>
    <w:rsid w:val="004F3B0B"/>
    <w:rsid w:val="004F3E9C"/>
    <w:rsid w:val="004F4103"/>
    <w:rsid w:val="004F4916"/>
    <w:rsid w:val="004F4982"/>
    <w:rsid w:val="004F4AD2"/>
    <w:rsid w:val="004F51EE"/>
    <w:rsid w:val="004F5724"/>
    <w:rsid w:val="004F5CA1"/>
    <w:rsid w:val="004F5E63"/>
    <w:rsid w:val="004F6081"/>
    <w:rsid w:val="004F64B9"/>
    <w:rsid w:val="004F66C4"/>
    <w:rsid w:val="004F6BB2"/>
    <w:rsid w:val="004F6CE8"/>
    <w:rsid w:val="004F7029"/>
    <w:rsid w:val="004F705B"/>
    <w:rsid w:val="004F7F9D"/>
    <w:rsid w:val="004F7FC7"/>
    <w:rsid w:val="005000E7"/>
    <w:rsid w:val="00500583"/>
    <w:rsid w:val="00500885"/>
    <w:rsid w:val="00500F48"/>
    <w:rsid w:val="00501716"/>
    <w:rsid w:val="0050191A"/>
    <w:rsid w:val="0050192C"/>
    <w:rsid w:val="005019D8"/>
    <w:rsid w:val="00501E32"/>
    <w:rsid w:val="0050215D"/>
    <w:rsid w:val="005021B0"/>
    <w:rsid w:val="0050223D"/>
    <w:rsid w:val="005027A5"/>
    <w:rsid w:val="00502A93"/>
    <w:rsid w:val="00502E51"/>
    <w:rsid w:val="005032EC"/>
    <w:rsid w:val="0050331B"/>
    <w:rsid w:val="005033E9"/>
    <w:rsid w:val="00503551"/>
    <w:rsid w:val="00503B57"/>
    <w:rsid w:val="00503DDF"/>
    <w:rsid w:val="00503FF8"/>
    <w:rsid w:val="0050401E"/>
    <w:rsid w:val="005043E9"/>
    <w:rsid w:val="005049BA"/>
    <w:rsid w:val="00504A1A"/>
    <w:rsid w:val="00505613"/>
    <w:rsid w:val="00505AA2"/>
    <w:rsid w:val="00506155"/>
    <w:rsid w:val="0050631E"/>
    <w:rsid w:val="005064E0"/>
    <w:rsid w:val="0050694B"/>
    <w:rsid w:val="00506BA1"/>
    <w:rsid w:val="005073B9"/>
    <w:rsid w:val="00507680"/>
    <w:rsid w:val="00507A1D"/>
    <w:rsid w:val="00507A6F"/>
    <w:rsid w:val="00507CAB"/>
    <w:rsid w:val="005101BD"/>
    <w:rsid w:val="00510362"/>
    <w:rsid w:val="00511007"/>
    <w:rsid w:val="00511259"/>
    <w:rsid w:val="0051128B"/>
    <w:rsid w:val="0051189A"/>
    <w:rsid w:val="005128E1"/>
    <w:rsid w:val="00512B0A"/>
    <w:rsid w:val="005130D9"/>
    <w:rsid w:val="005139FF"/>
    <w:rsid w:val="005150DC"/>
    <w:rsid w:val="005151FF"/>
    <w:rsid w:val="005153F8"/>
    <w:rsid w:val="005158F2"/>
    <w:rsid w:val="0051597E"/>
    <w:rsid w:val="00516194"/>
    <w:rsid w:val="00516448"/>
    <w:rsid w:val="0051646D"/>
    <w:rsid w:val="00516AA1"/>
    <w:rsid w:val="00516B68"/>
    <w:rsid w:val="005179FF"/>
    <w:rsid w:val="00517CBC"/>
    <w:rsid w:val="00520544"/>
    <w:rsid w:val="00520550"/>
    <w:rsid w:val="00520885"/>
    <w:rsid w:val="00520B11"/>
    <w:rsid w:val="00520B1D"/>
    <w:rsid w:val="00520B55"/>
    <w:rsid w:val="00520DC6"/>
    <w:rsid w:val="005210EF"/>
    <w:rsid w:val="00521337"/>
    <w:rsid w:val="005218C1"/>
    <w:rsid w:val="00521978"/>
    <w:rsid w:val="00521F56"/>
    <w:rsid w:val="005221CD"/>
    <w:rsid w:val="0052255C"/>
    <w:rsid w:val="00522931"/>
    <w:rsid w:val="00523474"/>
    <w:rsid w:val="005234F3"/>
    <w:rsid w:val="005235CE"/>
    <w:rsid w:val="00523D89"/>
    <w:rsid w:val="00523E34"/>
    <w:rsid w:val="00524228"/>
    <w:rsid w:val="0052425B"/>
    <w:rsid w:val="00524558"/>
    <w:rsid w:val="00524648"/>
    <w:rsid w:val="00524B17"/>
    <w:rsid w:val="0052511E"/>
    <w:rsid w:val="00525895"/>
    <w:rsid w:val="00525D08"/>
    <w:rsid w:val="00525F3E"/>
    <w:rsid w:val="00525FA3"/>
    <w:rsid w:val="00526277"/>
    <w:rsid w:val="00526451"/>
    <w:rsid w:val="005268D4"/>
    <w:rsid w:val="00526910"/>
    <w:rsid w:val="00526AD2"/>
    <w:rsid w:val="00526B49"/>
    <w:rsid w:val="00526D0E"/>
    <w:rsid w:val="00527897"/>
    <w:rsid w:val="005278D7"/>
    <w:rsid w:val="00527D21"/>
    <w:rsid w:val="005300E6"/>
    <w:rsid w:val="00530713"/>
    <w:rsid w:val="00530880"/>
    <w:rsid w:val="005308B2"/>
    <w:rsid w:val="00530A7D"/>
    <w:rsid w:val="00530D33"/>
    <w:rsid w:val="00530E5D"/>
    <w:rsid w:val="00531403"/>
    <w:rsid w:val="00531B98"/>
    <w:rsid w:val="00531CF8"/>
    <w:rsid w:val="00531E6C"/>
    <w:rsid w:val="00532330"/>
    <w:rsid w:val="00532676"/>
    <w:rsid w:val="005327FF"/>
    <w:rsid w:val="0053289C"/>
    <w:rsid w:val="00532D7F"/>
    <w:rsid w:val="0053374C"/>
    <w:rsid w:val="00533813"/>
    <w:rsid w:val="00533BF2"/>
    <w:rsid w:val="00533CC3"/>
    <w:rsid w:val="00534044"/>
    <w:rsid w:val="00534223"/>
    <w:rsid w:val="005347A4"/>
    <w:rsid w:val="005349C7"/>
    <w:rsid w:val="005349DD"/>
    <w:rsid w:val="00534E85"/>
    <w:rsid w:val="00535234"/>
    <w:rsid w:val="00535294"/>
    <w:rsid w:val="005353BD"/>
    <w:rsid w:val="005355A0"/>
    <w:rsid w:val="005355A9"/>
    <w:rsid w:val="005356C6"/>
    <w:rsid w:val="005357F9"/>
    <w:rsid w:val="00535ACC"/>
    <w:rsid w:val="00535C03"/>
    <w:rsid w:val="0053627D"/>
    <w:rsid w:val="005364F4"/>
    <w:rsid w:val="0053676A"/>
    <w:rsid w:val="005369B8"/>
    <w:rsid w:val="00536A6E"/>
    <w:rsid w:val="00536F30"/>
    <w:rsid w:val="0053717D"/>
    <w:rsid w:val="00537558"/>
    <w:rsid w:val="0053777E"/>
    <w:rsid w:val="00540673"/>
    <w:rsid w:val="00540707"/>
    <w:rsid w:val="00540999"/>
    <w:rsid w:val="00540A46"/>
    <w:rsid w:val="00540B3C"/>
    <w:rsid w:val="00540DF3"/>
    <w:rsid w:val="00540DFA"/>
    <w:rsid w:val="00540F6A"/>
    <w:rsid w:val="0054108E"/>
    <w:rsid w:val="005411C0"/>
    <w:rsid w:val="00541B9E"/>
    <w:rsid w:val="00541D2A"/>
    <w:rsid w:val="00541DED"/>
    <w:rsid w:val="00541FB6"/>
    <w:rsid w:val="00542377"/>
    <w:rsid w:val="0054255D"/>
    <w:rsid w:val="005427B9"/>
    <w:rsid w:val="00542D38"/>
    <w:rsid w:val="0054333B"/>
    <w:rsid w:val="00543714"/>
    <w:rsid w:val="005437DF"/>
    <w:rsid w:val="00544259"/>
    <w:rsid w:val="005447B0"/>
    <w:rsid w:val="005448C6"/>
    <w:rsid w:val="00544966"/>
    <w:rsid w:val="00544EDC"/>
    <w:rsid w:val="00545217"/>
    <w:rsid w:val="00545247"/>
    <w:rsid w:val="0054527B"/>
    <w:rsid w:val="00545974"/>
    <w:rsid w:val="00545C87"/>
    <w:rsid w:val="00545E0B"/>
    <w:rsid w:val="00546A24"/>
    <w:rsid w:val="00546DFF"/>
    <w:rsid w:val="0054740B"/>
    <w:rsid w:val="0054782F"/>
    <w:rsid w:val="00547862"/>
    <w:rsid w:val="00547A80"/>
    <w:rsid w:val="00550365"/>
    <w:rsid w:val="0055060D"/>
    <w:rsid w:val="00550896"/>
    <w:rsid w:val="00550C13"/>
    <w:rsid w:val="00550FBE"/>
    <w:rsid w:val="00552F94"/>
    <w:rsid w:val="0055309A"/>
    <w:rsid w:val="00553275"/>
    <w:rsid w:val="005532EE"/>
    <w:rsid w:val="00553535"/>
    <w:rsid w:val="00553688"/>
    <w:rsid w:val="00553AF5"/>
    <w:rsid w:val="00553E79"/>
    <w:rsid w:val="00553EBE"/>
    <w:rsid w:val="00554154"/>
    <w:rsid w:val="00554847"/>
    <w:rsid w:val="00554B3D"/>
    <w:rsid w:val="00554C82"/>
    <w:rsid w:val="00554E57"/>
    <w:rsid w:val="00555106"/>
    <w:rsid w:val="00555C6A"/>
    <w:rsid w:val="00555E15"/>
    <w:rsid w:val="00555F31"/>
    <w:rsid w:val="00556348"/>
    <w:rsid w:val="005569C7"/>
    <w:rsid w:val="005569D7"/>
    <w:rsid w:val="00556F18"/>
    <w:rsid w:val="005573B6"/>
    <w:rsid w:val="00560205"/>
    <w:rsid w:val="0056031A"/>
    <w:rsid w:val="005604DA"/>
    <w:rsid w:val="00560A9B"/>
    <w:rsid w:val="005616E6"/>
    <w:rsid w:val="00561987"/>
    <w:rsid w:val="00561A0A"/>
    <w:rsid w:val="00561A18"/>
    <w:rsid w:val="00561DD0"/>
    <w:rsid w:val="00562192"/>
    <w:rsid w:val="005623E4"/>
    <w:rsid w:val="005626EB"/>
    <w:rsid w:val="00562D1F"/>
    <w:rsid w:val="005630A0"/>
    <w:rsid w:val="005637D4"/>
    <w:rsid w:val="00563DF4"/>
    <w:rsid w:val="00563E81"/>
    <w:rsid w:val="00563F02"/>
    <w:rsid w:val="00563F94"/>
    <w:rsid w:val="00563F9F"/>
    <w:rsid w:val="00564527"/>
    <w:rsid w:val="005647F3"/>
    <w:rsid w:val="00564B5B"/>
    <w:rsid w:val="00564FDF"/>
    <w:rsid w:val="005651E3"/>
    <w:rsid w:val="00565998"/>
    <w:rsid w:val="005659FD"/>
    <w:rsid w:val="005659FF"/>
    <w:rsid w:val="00565B9F"/>
    <w:rsid w:val="005660EC"/>
    <w:rsid w:val="00566669"/>
    <w:rsid w:val="00566705"/>
    <w:rsid w:val="00566E06"/>
    <w:rsid w:val="00566EFE"/>
    <w:rsid w:val="00567E1F"/>
    <w:rsid w:val="00567E46"/>
    <w:rsid w:val="0057016F"/>
    <w:rsid w:val="00570304"/>
    <w:rsid w:val="005708A2"/>
    <w:rsid w:val="00570BBD"/>
    <w:rsid w:val="00570C3E"/>
    <w:rsid w:val="005712DD"/>
    <w:rsid w:val="0057175A"/>
    <w:rsid w:val="00571D16"/>
    <w:rsid w:val="00571E21"/>
    <w:rsid w:val="00572752"/>
    <w:rsid w:val="00572A34"/>
    <w:rsid w:val="00572B67"/>
    <w:rsid w:val="0057302D"/>
    <w:rsid w:val="00573085"/>
    <w:rsid w:val="00573395"/>
    <w:rsid w:val="0057343E"/>
    <w:rsid w:val="005734F9"/>
    <w:rsid w:val="0057355C"/>
    <w:rsid w:val="00573892"/>
    <w:rsid w:val="0057401A"/>
    <w:rsid w:val="005741AE"/>
    <w:rsid w:val="00574208"/>
    <w:rsid w:val="00574214"/>
    <w:rsid w:val="00574397"/>
    <w:rsid w:val="00574985"/>
    <w:rsid w:val="005749D8"/>
    <w:rsid w:val="0057503E"/>
    <w:rsid w:val="00575801"/>
    <w:rsid w:val="0057596F"/>
    <w:rsid w:val="00575AD3"/>
    <w:rsid w:val="00575D7A"/>
    <w:rsid w:val="00576FD9"/>
    <w:rsid w:val="00577230"/>
    <w:rsid w:val="005773F4"/>
    <w:rsid w:val="0057794A"/>
    <w:rsid w:val="00580661"/>
    <w:rsid w:val="00580691"/>
    <w:rsid w:val="00580845"/>
    <w:rsid w:val="0058165B"/>
    <w:rsid w:val="00581A0C"/>
    <w:rsid w:val="00581ADF"/>
    <w:rsid w:val="00581DAE"/>
    <w:rsid w:val="00582294"/>
    <w:rsid w:val="00582DAC"/>
    <w:rsid w:val="00582E46"/>
    <w:rsid w:val="00583828"/>
    <w:rsid w:val="005841CC"/>
    <w:rsid w:val="00584365"/>
    <w:rsid w:val="00584373"/>
    <w:rsid w:val="0058496F"/>
    <w:rsid w:val="0058497E"/>
    <w:rsid w:val="00584AB3"/>
    <w:rsid w:val="00584AF5"/>
    <w:rsid w:val="00584CF1"/>
    <w:rsid w:val="00585175"/>
    <w:rsid w:val="00585323"/>
    <w:rsid w:val="00585A78"/>
    <w:rsid w:val="00585A79"/>
    <w:rsid w:val="00585B39"/>
    <w:rsid w:val="00585E27"/>
    <w:rsid w:val="005860BA"/>
    <w:rsid w:val="0058628A"/>
    <w:rsid w:val="00586346"/>
    <w:rsid w:val="005863C6"/>
    <w:rsid w:val="00586B09"/>
    <w:rsid w:val="00586D81"/>
    <w:rsid w:val="00586D94"/>
    <w:rsid w:val="00586EDA"/>
    <w:rsid w:val="005878FE"/>
    <w:rsid w:val="00587B64"/>
    <w:rsid w:val="005907C9"/>
    <w:rsid w:val="005912CE"/>
    <w:rsid w:val="005914E8"/>
    <w:rsid w:val="00591520"/>
    <w:rsid w:val="005919B2"/>
    <w:rsid w:val="00591DDE"/>
    <w:rsid w:val="00592226"/>
    <w:rsid w:val="005929C2"/>
    <w:rsid w:val="00592C95"/>
    <w:rsid w:val="00592F52"/>
    <w:rsid w:val="00593079"/>
    <w:rsid w:val="0059365C"/>
    <w:rsid w:val="00593662"/>
    <w:rsid w:val="00593789"/>
    <w:rsid w:val="005939B0"/>
    <w:rsid w:val="00594130"/>
    <w:rsid w:val="00594594"/>
    <w:rsid w:val="005945BE"/>
    <w:rsid w:val="005946CE"/>
    <w:rsid w:val="005946E6"/>
    <w:rsid w:val="005946EF"/>
    <w:rsid w:val="00594705"/>
    <w:rsid w:val="00594BF4"/>
    <w:rsid w:val="00595720"/>
    <w:rsid w:val="005958A8"/>
    <w:rsid w:val="00595A88"/>
    <w:rsid w:val="00595AE9"/>
    <w:rsid w:val="00595B9C"/>
    <w:rsid w:val="00595BFA"/>
    <w:rsid w:val="00595D47"/>
    <w:rsid w:val="00596068"/>
    <w:rsid w:val="00596908"/>
    <w:rsid w:val="00596BF3"/>
    <w:rsid w:val="00596DBC"/>
    <w:rsid w:val="00596FB3"/>
    <w:rsid w:val="00597253"/>
    <w:rsid w:val="00597412"/>
    <w:rsid w:val="00597855"/>
    <w:rsid w:val="00597990"/>
    <w:rsid w:val="005A028A"/>
    <w:rsid w:val="005A03A5"/>
    <w:rsid w:val="005A049B"/>
    <w:rsid w:val="005A066F"/>
    <w:rsid w:val="005A07AF"/>
    <w:rsid w:val="005A0A1E"/>
    <w:rsid w:val="005A0E47"/>
    <w:rsid w:val="005A0EDF"/>
    <w:rsid w:val="005A143B"/>
    <w:rsid w:val="005A1995"/>
    <w:rsid w:val="005A1BA3"/>
    <w:rsid w:val="005A1DA7"/>
    <w:rsid w:val="005A2060"/>
    <w:rsid w:val="005A2070"/>
    <w:rsid w:val="005A2339"/>
    <w:rsid w:val="005A2411"/>
    <w:rsid w:val="005A256B"/>
    <w:rsid w:val="005A2E57"/>
    <w:rsid w:val="005A332E"/>
    <w:rsid w:val="005A336B"/>
    <w:rsid w:val="005A3573"/>
    <w:rsid w:val="005A395E"/>
    <w:rsid w:val="005A39CE"/>
    <w:rsid w:val="005A3B7B"/>
    <w:rsid w:val="005A3C57"/>
    <w:rsid w:val="005A436A"/>
    <w:rsid w:val="005A4630"/>
    <w:rsid w:val="005A4C11"/>
    <w:rsid w:val="005A4C13"/>
    <w:rsid w:val="005A4E19"/>
    <w:rsid w:val="005A4F51"/>
    <w:rsid w:val="005A5139"/>
    <w:rsid w:val="005A560E"/>
    <w:rsid w:val="005A5671"/>
    <w:rsid w:val="005A5CC5"/>
    <w:rsid w:val="005A6208"/>
    <w:rsid w:val="005A653B"/>
    <w:rsid w:val="005A6E17"/>
    <w:rsid w:val="005A6E4C"/>
    <w:rsid w:val="005A7137"/>
    <w:rsid w:val="005A72BC"/>
    <w:rsid w:val="005A7416"/>
    <w:rsid w:val="005A7C95"/>
    <w:rsid w:val="005A7D66"/>
    <w:rsid w:val="005A7DA7"/>
    <w:rsid w:val="005B15CB"/>
    <w:rsid w:val="005B161F"/>
    <w:rsid w:val="005B1B7F"/>
    <w:rsid w:val="005B1E0C"/>
    <w:rsid w:val="005B2180"/>
    <w:rsid w:val="005B2307"/>
    <w:rsid w:val="005B26DC"/>
    <w:rsid w:val="005B27D9"/>
    <w:rsid w:val="005B29A2"/>
    <w:rsid w:val="005B3EB3"/>
    <w:rsid w:val="005B443B"/>
    <w:rsid w:val="005B48E2"/>
    <w:rsid w:val="005B5162"/>
    <w:rsid w:val="005B5362"/>
    <w:rsid w:val="005B57C2"/>
    <w:rsid w:val="005B5816"/>
    <w:rsid w:val="005B5B3E"/>
    <w:rsid w:val="005B5CA5"/>
    <w:rsid w:val="005B6292"/>
    <w:rsid w:val="005B6919"/>
    <w:rsid w:val="005B6ACB"/>
    <w:rsid w:val="005B714C"/>
    <w:rsid w:val="005B792D"/>
    <w:rsid w:val="005B79FC"/>
    <w:rsid w:val="005B7E22"/>
    <w:rsid w:val="005C00C7"/>
    <w:rsid w:val="005C0459"/>
    <w:rsid w:val="005C0A39"/>
    <w:rsid w:val="005C0E96"/>
    <w:rsid w:val="005C1486"/>
    <w:rsid w:val="005C1709"/>
    <w:rsid w:val="005C1A9F"/>
    <w:rsid w:val="005C1BB8"/>
    <w:rsid w:val="005C1F4F"/>
    <w:rsid w:val="005C224F"/>
    <w:rsid w:val="005C27BD"/>
    <w:rsid w:val="005C2922"/>
    <w:rsid w:val="005C29B8"/>
    <w:rsid w:val="005C315B"/>
    <w:rsid w:val="005C39B6"/>
    <w:rsid w:val="005C3D36"/>
    <w:rsid w:val="005C3D90"/>
    <w:rsid w:val="005C3FE6"/>
    <w:rsid w:val="005C420E"/>
    <w:rsid w:val="005C457F"/>
    <w:rsid w:val="005C4950"/>
    <w:rsid w:val="005C4A73"/>
    <w:rsid w:val="005C4E03"/>
    <w:rsid w:val="005C5BD6"/>
    <w:rsid w:val="005C5BF4"/>
    <w:rsid w:val="005C5EB6"/>
    <w:rsid w:val="005C622E"/>
    <w:rsid w:val="005C680D"/>
    <w:rsid w:val="005C6C5B"/>
    <w:rsid w:val="005C6D21"/>
    <w:rsid w:val="005C6DAE"/>
    <w:rsid w:val="005C7016"/>
    <w:rsid w:val="005C79C3"/>
    <w:rsid w:val="005C7D76"/>
    <w:rsid w:val="005D0902"/>
    <w:rsid w:val="005D0D48"/>
    <w:rsid w:val="005D10F0"/>
    <w:rsid w:val="005D134F"/>
    <w:rsid w:val="005D1627"/>
    <w:rsid w:val="005D2112"/>
    <w:rsid w:val="005D259E"/>
    <w:rsid w:val="005D2A60"/>
    <w:rsid w:val="005D2B89"/>
    <w:rsid w:val="005D34FE"/>
    <w:rsid w:val="005D3B46"/>
    <w:rsid w:val="005D3E1B"/>
    <w:rsid w:val="005D40FE"/>
    <w:rsid w:val="005D450F"/>
    <w:rsid w:val="005D483B"/>
    <w:rsid w:val="005D4ADE"/>
    <w:rsid w:val="005D54CC"/>
    <w:rsid w:val="005D558D"/>
    <w:rsid w:val="005D5616"/>
    <w:rsid w:val="005D569D"/>
    <w:rsid w:val="005D66D2"/>
    <w:rsid w:val="005D6ABB"/>
    <w:rsid w:val="005D6D44"/>
    <w:rsid w:val="005E0037"/>
    <w:rsid w:val="005E055F"/>
    <w:rsid w:val="005E0D41"/>
    <w:rsid w:val="005E1407"/>
    <w:rsid w:val="005E2499"/>
    <w:rsid w:val="005E2FED"/>
    <w:rsid w:val="005E30E6"/>
    <w:rsid w:val="005E3411"/>
    <w:rsid w:val="005E367F"/>
    <w:rsid w:val="005E3BA4"/>
    <w:rsid w:val="005E4121"/>
    <w:rsid w:val="005E4180"/>
    <w:rsid w:val="005E4230"/>
    <w:rsid w:val="005E4604"/>
    <w:rsid w:val="005E46B7"/>
    <w:rsid w:val="005E4846"/>
    <w:rsid w:val="005E50F2"/>
    <w:rsid w:val="005E5583"/>
    <w:rsid w:val="005E55C5"/>
    <w:rsid w:val="005E578C"/>
    <w:rsid w:val="005E6040"/>
    <w:rsid w:val="005E612C"/>
    <w:rsid w:val="005E635F"/>
    <w:rsid w:val="005E6660"/>
    <w:rsid w:val="005E6D35"/>
    <w:rsid w:val="005E6F02"/>
    <w:rsid w:val="005E6F77"/>
    <w:rsid w:val="005E7153"/>
    <w:rsid w:val="005F059F"/>
    <w:rsid w:val="005F093A"/>
    <w:rsid w:val="005F0A48"/>
    <w:rsid w:val="005F11C6"/>
    <w:rsid w:val="005F1328"/>
    <w:rsid w:val="005F18FD"/>
    <w:rsid w:val="005F208C"/>
    <w:rsid w:val="005F22C9"/>
    <w:rsid w:val="005F2821"/>
    <w:rsid w:val="005F2DF5"/>
    <w:rsid w:val="005F31F1"/>
    <w:rsid w:val="005F329B"/>
    <w:rsid w:val="005F4597"/>
    <w:rsid w:val="005F47C5"/>
    <w:rsid w:val="005F4843"/>
    <w:rsid w:val="005F499C"/>
    <w:rsid w:val="005F4CEB"/>
    <w:rsid w:val="005F4F32"/>
    <w:rsid w:val="005F4F47"/>
    <w:rsid w:val="005F5743"/>
    <w:rsid w:val="005F684D"/>
    <w:rsid w:val="005F6F21"/>
    <w:rsid w:val="005F7102"/>
    <w:rsid w:val="005F790F"/>
    <w:rsid w:val="005F7E86"/>
    <w:rsid w:val="005F7FC9"/>
    <w:rsid w:val="0060086B"/>
    <w:rsid w:val="00600979"/>
    <w:rsid w:val="00600A2C"/>
    <w:rsid w:val="0060127B"/>
    <w:rsid w:val="0060136B"/>
    <w:rsid w:val="0060190B"/>
    <w:rsid w:val="00601C49"/>
    <w:rsid w:val="00601DD0"/>
    <w:rsid w:val="00601FBB"/>
    <w:rsid w:val="00602215"/>
    <w:rsid w:val="0060241D"/>
    <w:rsid w:val="00603D85"/>
    <w:rsid w:val="00603D92"/>
    <w:rsid w:val="00604017"/>
    <w:rsid w:val="00604032"/>
    <w:rsid w:val="0060456D"/>
    <w:rsid w:val="00604B61"/>
    <w:rsid w:val="00604D14"/>
    <w:rsid w:val="00604F96"/>
    <w:rsid w:val="0060504B"/>
    <w:rsid w:val="006058AF"/>
    <w:rsid w:val="006058CB"/>
    <w:rsid w:val="006058DB"/>
    <w:rsid w:val="00605D69"/>
    <w:rsid w:val="006060AE"/>
    <w:rsid w:val="0060620B"/>
    <w:rsid w:val="006065B9"/>
    <w:rsid w:val="0060674F"/>
    <w:rsid w:val="0060694E"/>
    <w:rsid w:val="00606A68"/>
    <w:rsid w:val="00606BF9"/>
    <w:rsid w:val="00606C4E"/>
    <w:rsid w:val="00607268"/>
    <w:rsid w:val="00607836"/>
    <w:rsid w:val="00607D58"/>
    <w:rsid w:val="00607E47"/>
    <w:rsid w:val="00607F52"/>
    <w:rsid w:val="006101C3"/>
    <w:rsid w:val="00610743"/>
    <w:rsid w:val="00610EEE"/>
    <w:rsid w:val="00611245"/>
    <w:rsid w:val="00611307"/>
    <w:rsid w:val="006115B1"/>
    <w:rsid w:val="00611B8A"/>
    <w:rsid w:val="00611C28"/>
    <w:rsid w:val="006125DC"/>
    <w:rsid w:val="0061285A"/>
    <w:rsid w:val="00612961"/>
    <w:rsid w:val="00612EDB"/>
    <w:rsid w:val="006133C6"/>
    <w:rsid w:val="0061352D"/>
    <w:rsid w:val="00613B5A"/>
    <w:rsid w:val="00613DF5"/>
    <w:rsid w:val="00614268"/>
    <w:rsid w:val="00614455"/>
    <w:rsid w:val="00614C06"/>
    <w:rsid w:val="00615B0E"/>
    <w:rsid w:val="00615C55"/>
    <w:rsid w:val="00615CA7"/>
    <w:rsid w:val="00615CBC"/>
    <w:rsid w:val="00615DDE"/>
    <w:rsid w:val="00615FE4"/>
    <w:rsid w:val="00616370"/>
    <w:rsid w:val="00616974"/>
    <w:rsid w:val="00616CD9"/>
    <w:rsid w:val="00617217"/>
    <w:rsid w:val="0061723F"/>
    <w:rsid w:val="00617B56"/>
    <w:rsid w:val="00617D56"/>
    <w:rsid w:val="00617EF1"/>
    <w:rsid w:val="00620A75"/>
    <w:rsid w:val="00620DA2"/>
    <w:rsid w:val="006214D1"/>
    <w:rsid w:val="0062180D"/>
    <w:rsid w:val="00621B47"/>
    <w:rsid w:val="00621E34"/>
    <w:rsid w:val="00621FC5"/>
    <w:rsid w:val="006221BF"/>
    <w:rsid w:val="00622B02"/>
    <w:rsid w:val="0062329F"/>
    <w:rsid w:val="00623902"/>
    <w:rsid w:val="00623E47"/>
    <w:rsid w:val="00623F8E"/>
    <w:rsid w:val="00624530"/>
    <w:rsid w:val="00624698"/>
    <w:rsid w:val="00624AB9"/>
    <w:rsid w:val="00624E5D"/>
    <w:rsid w:val="00624F67"/>
    <w:rsid w:val="00624FE0"/>
    <w:rsid w:val="0062502C"/>
    <w:rsid w:val="0062522A"/>
    <w:rsid w:val="00625241"/>
    <w:rsid w:val="006254AE"/>
    <w:rsid w:val="00625FEB"/>
    <w:rsid w:val="00626008"/>
    <w:rsid w:val="00626202"/>
    <w:rsid w:val="006262B7"/>
    <w:rsid w:val="00626822"/>
    <w:rsid w:val="00626A1A"/>
    <w:rsid w:val="00626CBE"/>
    <w:rsid w:val="0062751A"/>
    <w:rsid w:val="00627E39"/>
    <w:rsid w:val="00630282"/>
    <w:rsid w:val="006313BC"/>
    <w:rsid w:val="00631626"/>
    <w:rsid w:val="006316BD"/>
    <w:rsid w:val="00631B83"/>
    <w:rsid w:val="00631DE9"/>
    <w:rsid w:val="00632649"/>
    <w:rsid w:val="0063296A"/>
    <w:rsid w:val="0063310F"/>
    <w:rsid w:val="0063328B"/>
    <w:rsid w:val="006332C1"/>
    <w:rsid w:val="006332FA"/>
    <w:rsid w:val="006335A1"/>
    <w:rsid w:val="00633E65"/>
    <w:rsid w:val="0063410A"/>
    <w:rsid w:val="0063419A"/>
    <w:rsid w:val="00634621"/>
    <w:rsid w:val="0063465B"/>
    <w:rsid w:val="0063472A"/>
    <w:rsid w:val="00634CF5"/>
    <w:rsid w:val="00634E38"/>
    <w:rsid w:val="00635058"/>
    <w:rsid w:val="006352DB"/>
    <w:rsid w:val="006353B7"/>
    <w:rsid w:val="00635414"/>
    <w:rsid w:val="006354FF"/>
    <w:rsid w:val="006357A2"/>
    <w:rsid w:val="00635B9D"/>
    <w:rsid w:val="006363AB"/>
    <w:rsid w:val="00636645"/>
    <w:rsid w:val="00636951"/>
    <w:rsid w:val="00636FC5"/>
    <w:rsid w:val="00637209"/>
    <w:rsid w:val="0063773F"/>
    <w:rsid w:val="00637DCD"/>
    <w:rsid w:val="00637EA4"/>
    <w:rsid w:val="00637FA2"/>
    <w:rsid w:val="00640BF4"/>
    <w:rsid w:val="00640D0F"/>
    <w:rsid w:val="00641383"/>
    <w:rsid w:val="006414D2"/>
    <w:rsid w:val="00641A5C"/>
    <w:rsid w:val="00641AFA"/>
    <w:rsid w:val="00641CB3"/>
    <w:rsid w:val="00641CC8"/>
    <w:rsid w:val="00642296"/>
    <w:rsid w:val="00642455"/>
    <w:rsid w:val="00642683"/>
    <w:rsid w:val="006427AA"/>
    <w:rsid w:val="00642832"/>
    <w:rsid w:val="0064328E"/>
    <w:rsid w:val="006439BB"/>
    <w:rsid w:val="0064474A"/>
    <w:rsid w:val="006447DD"/>
    <w:rsid w:val="00644803"/>
    <w:rsid w:val="00644C0D"/>
    <w:rsid w:val="00644D51"/>
    <w:rsid w:val="0064509A"/>
    <w:rsid w:val="006452B3"/>
    <w:rsid w:val="006457BC"/>
    <w:rsid w:val="00645D4D"/>
    <w:rsid w:val="00646091"/>
    <w:rsid w:val="00646AB0"/>
    <w:rsid w:val="00646DF1"/>
    <w:rsid w:val="00646ECD"/>
    <w:rsid w:val="006474C3"/>
    <w:rsid w:val="006477DF"/>
    <w:rsid w:val="00647A94"/>
    <w:rsid w:val="00647C99"/>
    <w:rsid w:val="006502C6"/>
    <w:rsid w:val="00650342"/>
    <w:rsid w:val="006505F8"/>
    <w:rsid w:val="00650F9A"/>
    <w:rsid w:val="00651876"/>
    <w:rsid w:val="006519CD"/>
    <w:rsid w:val="00651A00"/>
    <w:rsid w:val="00652016"/>
    <w:rsid w:val="0065233A"/>
    <w:rsid w:val="006526CC"/>
    <w:rsid w:val="0065276B"/>
    <w:rsid w:val="00652C0D"/>
    <w:rsid w:val="00652D7C"/>
    <w:rsid w:val="006534F2"/>
    <w:rsid w:val="0065368C"/>
    <w:rsid w:val="00653A19"/>
    <w:rsid w:val="00653AA9"/>
    <w:rsid w:val="00653D3B"/>
    <w:rsid w:val="006542DF"/>
    <w:rsid w:val="00654BB4"/>
    <w:rsid w:val="00654BB6"/>
    <w:rsid w:val="00654CFD"/>
    <w:rsid w:val="00655337"/>
    <w:rsid w:val="00655763"/>
    <w:rsid w:val="00655A86"/>
    <w:rsid w:val="00655A99"/>
    <w:rsid w:val="0065601C"/>
    <w:rsid w:val="00656176"/>
    <w:rsid w:val="006562CC"/>
    <w:rsid w:val="0065633D"/>
    <w:rsid w:val="00656665"/>
    <w:rsid w:val="00656B05"/>
    <w:rsid w:val="00657000"/>
    <w:rsid w:val="006570C8"/>
    <w:rsid w:val="006573C4"/>
    <w:rsid w:val="006577A5"/>
    <w:rsid w:val="00657D21"/>
    <w:rsid w:val="00657FF1"/>
    <w:rsid w:val="00660024"/>
    <w:rsid w:val="006604AD"/>
    <w:rsid w:val="00660A80"/>
    <w:rsid w:val="00660B2A"/>
    <w:rsid w:val="006614BB"/>
    <w:rsid w:val="006626D9"/>
    <w:rsid w:val="00662AAB"/>
    <w:rsid w:val="00663326"/>
    <w:rsid w:val="006636F0"/>
    <w:rsid w:val="00663AFA"/>
    <w:rsid w:val="00663C66"/>
    <w:rsid w:val="00663DA4"/>
    <w:rsid w:val="006645ED"/>
    <w:rsid w:val="0066473D"/>
    <w:rsid w:val="00665446"/>
    <w:rsid w:val="006656B8"/>
    <w:rsid w:val="00665AA4"/>
    <w:rsid w:val="00665D3A"/>
    <w:rsid w:val="00665F3E"/>
    <w:rsid w:val="006661A0"/>
    <w:rsid w:val="00666A08"/>
    <w:rsid w:val="00666A88"/>
    <w:rsid w:val="00666F05"/>
    <w:rsid w:val="00666FE8"/>
    <w:rsid w:val="00667292"/>
    <w:rsid w:val="00667832"/>
    <w:rsid w:val="00670063"/>
    <w:rsid w:val="0067091A"/>
    <w:rsid w:val="00670B4F"/>
    <w:rsid w:val="00670FE7"/>
    <w:rsid w:val="00671672"/>
    <w:rsid w:val="00671750"/>
    <w:rsid w:val="006717A5"/>
    <w:rsid w:val="00671899"/>
    <w:rsid w:val="006718DE"/>
    <w:rsid w:val="00671CFE"/>
    <w:rsid w:val="00671EAB"/>
    <w:rsid w:val="006721BB"/>
    <w:rsid w:val="006721CB"/>
    <w:rsid w:val="006723E5"/>
    <w:rsid w:val="0067245A"/>
    <w:rsid w:val="00672F97"/>
    <w:rsid w:val="0067351E"/>
    <w:rsid w:val="00673650"/>
    <w:rsid w:val="006738CD"/>
    <w:rsid w:val="006739EF"/>
    <w:rsid w:val="00673D73"/>
    <w:rsid w:val="00674106"/>
    <w:rsid w:val="00674302"/>
    <w:rsid w:val="006745EC"/>
    <w:rsid w:val="00674741"/>
    <w:rsid w:val="00674893"/>
    <w:rsid w:val="00674A24"/>
    <w:rsid w:val="00674ACA"/>
    <w:rsid w:val="00674E7F"/>
    <w:rsid w:val="00674F07"/>
    <w:rsid w:val="00674F3C"/>
    <w:rsid w:val="00675BD7"/>
    <w:rsid w:val="00675C26"/>
    <w:rsid w:val="0067605A"/>
    <w:rsid w:val="006760F2"/>
    <w:rsid w:val="006762C3"/>
    <w:rsid w:val="00676611"/>
    <w:rsid w:val="00676648"/>
    <w:rsid w:val="006768F2"/>
    <w:rsid w:val="00677138"/>
    <w:rsid w:val="006775A8"/>
    <w:rsid w:val="00677CE0"/>
    <w:rsid w:val="006807FA"/>
    <w:rsid w:val="00680CFA"/>
    <w:rsid w:val="00680E09"/>
    <w:rsid w:val="00680F53"/>
    <w:rsid w:val="006811B1"/>
    <w:rsid w:val="00681691"/>
    <w:rsid w:val="00681F4D"/>
    <w:rsid w:val="0068280F"/>
    <w:rsid w:val="00683214"/>
    <w:rsid w:val="00683228"/>
    <w:rsid w:val="0068385A"/>
    <w:rsid w:val="006838FD"/>
    <w:rsid w:val="00683B66"/>
    <w:rsid w:val="00683C89"/>
    <w:rsid w:val="00683D0E"/>
    <w:rsid w:val="00683F57"/>
    <w:rsid w:val="006840E1"/>
    <w:rsid w:val="00684165"/>
    <w:rsid w:val="00684B70"/>
    <w:rsid w:val="00684BB4"/>
    <w:rsid w:val="006852E5"/>
    <w:rsid w:val="006854CC"/>
    <w:rsid w:val="0068557C"/>
    <w:rsid w:val="00685997"/>
    <w:rsid w:val="00685D5F"/>
    <w:rsid w:val="00685E1A"/>
    <w:rsid w:val="00686126"/>
    <w:rsid w:val="00686286"/>
    <w:rsid w:val="00687689"/>
    <w:rsid w:val="00687836"/>
    <w:rsid w:val="00687935"/>
    <w:rsid w:val="006879BB"/>
    <w:rsid w:val="00687AA3"/>
    <w:rsid w:val="00687F6E"/>
    <w:rsid w:val="0069048D"/>
    <w:rsid w:val="00690500"/>
    <w:rsid w:val="00690501"/>
    <w:rsid w:val="00690F51"/>
    <w:rsid w:val="0069105C"/>
    <w:rsid w:val="0069121E"/>
    <w:rsid w:val="00691AD6"/>
    <w:rsid w:val="00691F8E"/>
    <w:rsid w:val="0069225B"/>
    <w:rsid w:val="006927C9"/>
    <w:rsid w:val="00692871"/>
    <w:rsid w:val="00692B4F"/>
    <w:rsid w:val="0069306C"/>
    <w:rsid w:val="0069313E"/>
    <w:rsid w:val="00693164"/>
    <w:rsid w:val="006937BE"/>
    <w:rsid w:val="00693B17"/>
    <w:rsid w:val="00693CF6"/>
    <w:rsid w:val="00693D2B"/>
    <w:rsid w:val="006944B1"/>
    <w:rsid w:val="00694565"/>
    <w:rsid w:val="006947DE"/>
    <w:rsid w:val="00694CD9"/>
    <w:rsid w:val="00694DA9"/>
    <w:rsid w:val="006953F7"/>
    <w:rsid w:val="00695564"/>
    <w:rsid w:val="006956ED"/>
    <w:rsid w:val="00696093"/>
    <w:rsid w:val="00696170"/>
    <w:rsid w:val="00696358"/>
    <w:rsid w:val="00696547"/>
    <w:rsid w:val="006969B6"/>
    <w:rsid w:val="00696CB1"/>
    <w:rsid w:val="00697409"/>
    <w:rsid w:val="00697DC7"/>
    <w:rsid w:val="00697E58"/>
    <w:rsid w:val="006A0724"/>
    <w:rsid w:val="006A0747"/>
    <w:rsid w:val="006A0E0A"/>
    <w:rsid w:val="006A1397"/>
    <w:rsid w:val="006A1501"/>
    <w:rsid w:val="006A165A"/>
    <w:rsid w:val="006A1845"/>
    <w:rsid w:val="006A1B3B"/>
    <w:rsid w:val="006A1B59"/>
    <w:rsid w:val="006A1CA7"/>
    <w:rsid w:val="006A1ED1"/>
    <w:rsid w:val="006A294B"/>
    <w:rsid w:val="006A29CC"/>
    <w:rsid w:val="006A2CE7"/>
    <w:rsid w:val="006A31DC"/>
    <w:rsid w:val="006A3BC6"/>
    <w:rsid w:val="006A408F"/>
    <w:rsid w:val="006A446F"/>
    <w:rsid w:val="006A45F3"/>
    <w:rsid w:val="006A4791"/>
    <w:rsid w:val="006A4C48"/>
    <w:rsid w:val="006A5332"/>
    <w:rsid w:val="006A53F2"/>
    <w:rsid w:val="006A5685"/>
    <w:rsid w:val="006A58F4"/>
    <w:rsid w:val="006A5AC1"/>
    <w:rsid w:val="006A5D0C"/>
    <w:rsid w:val="006A6108"/>
    <w:rsid w:val="006A630D"/>
    <w:rsid w:val="006A674A"/>
    <w:rsid w:val="006A6D4D"/>
    <w:rsid w:val="006A6F1A"/>
    <w:rsid w:val="006A7103"/>
    <w:rsid w:val="006A731F"/>
    <w:rsid w:val="006A7736"/>
    <w:rsid w:val="006A7A0E"/>
    <w:rsid w:val="006A7C16"/>
    <w:rsid w:val="006A7F18"/>
    <w:rsid w:val="006B0A19"/>
    <w:rsid w:val="006B0C47"/>
    <w:rsid w:val="006B0E5C"/>
    <w:rsid w:val="006B1266"/>
    <w:rsid w:val="006B1726"/>
    <w:rsid w:val="006B1A48"/>
    <w:rsid w:val="006B1B2F"/>
    <w:rsid w:val="006B1D61"/>
    <w:rsid w:val="006B26DC"/>
    <w:rsid w:val="006B2B62"/>
    <w:rsid w:val="006B33D4"/>
    <w:rsid w:val="006B3839"/>
    <w:rsid w:val="006B4672"/>
    <w:rsid w:val="006B4E35"/>
    <w:rsid w:val="006B4FB4"/>
    <w:rsid w:val="006B534D"/>
    <w:rsid w:val="006B536E"/>
    <w:rsid w:val="006B5590"/>
    <w:rsid w:val="006B57CF"/>
    <w:rsid w:val="006B58FD"/>
    <w:rsid w:val="006B5B4E"/>
    <w:rsid w:val="006B5F81"/>
    <w:rsid w:val="006B5F88"/>
    <w:rsid w:val="006B6079"/>
    <w:rsid w:val="006B7049"/>
    <w:rsid w:val="006B73B4"/>
    <w:rsid w:val="006B76B5"/>
    <w:rsid w:val="006B7FA5"/>
    <w:rsid w:val="006C0634"/>
    <w:rsid w:val="006C12F8"/>
    <w:rsid w:val="006C14B3"/>
    <w:rsid w:val="006C1B79"/>
    <w:rsid w:val="006C1C47"/>
    <w:rsid w:val="006C1DA5"/>
    <w:rsid w:val="006C1DA7"/>
    <w:rsid w:val="006C2729"/>
    <w:rsid w:val="006C2A69"/>
    <w:rsid w:val="006C2C75"/>
    <w:rsid w:val="006C2CBA"/>
    <w:rsid w:val="006C2EC8"/>
    <w:rsid w:val="006C304C"/>
    <w:rsid w:val="006C372E"/>
    <w:rsid w:val="006C3892"/>
    <w:rsid w:val="006C39A7"/>
    <w:rsid w:val="006C3CE3"/>
    <w:rsid w:val="006C3E9E"/>
    <w:rsid w:val="006C3EFD"/>
    <w:rsid w:val="006C42A1"/>
    <w:rsid w:val="006C42AD"/>
    <w:rsid w:val="006C44CC"/>
    <w:rsid w:val="006C4829"/>
    <w:rsid w:val="006C4B55"/>
    <w:rsid w:val="006C54F3"/>
    <w:rsid w:val="006C5680"/>
    <w:rsid w:val="006C5D62"/>
    <w:rsid w:val="006C6019"/>
    <w:rsid w:val="006C6EE6"/>
    <w:rsid w:val="006C6F5D"/>
    <w:rsid w:val="006C71D0"/>
    <w:rsid w:val="006C780D"/>
    <w:rsid w:val="006C797C"/>
    <w:rsid w:val="006C79EF"/>
    <w:rsid w:val="006D0142"/>
    <w:rsid w:val="006D02E9"/>
    <w:rsid w:val="006D08DE"/>
    <w:rsid w:val="006D09EA"/>
    <w:rsid w:val="006D0DAF"/>
    <w:rsid w:val="006D1406"/>
    <w:rsid w:val="006D17DD"/>
    <w:rsid w:val="006D1BEE"/>
    <w:rsid w:val="006D1BFC"/>
    <w:rsid w:val="006D21CD"/>
    <w:rsid w:val="006D2625"/>
    <w:rsid w:val="006D2B89"/>
    <w:rsid w:val="006D2DE2"/>
    <w:rsid w:val="006D2F68"/>
    <w:rsid w:val="006D306E"/>
    <w:rsid w:val="006D3103"/>
    <w:rsid w:val="006D3174"/>
    <w:rsid w:val="006D3491"/>
    <w:rsid w:val="006D35D0"/>
    <w:rsid w:val="006D389E"/>
    <w:rsid w:val="006D3966"/>
    <w:rsid w:val="006D39E1"/>
    <w:rsid w:val="006D3DC4"/>
    <w:rsid w:val="006D4150"/>
    <w:rsid w:val="006D43AA"/>
    <w:rsid w:val="006D537C"/>
    <w:rsid w:val="006D54BD"/>
    <w:rsid w:val="006D55BE"/>
    <w:rsid w:val="006D5CCF"/>
    <w:rsid w:val="006D5E0E"/>
    <w:rsid w:val="006D6459"/>
    <w:rsid w:val="006D6BE2"/>
    <w:rsid w:val="006D6BF4"/>
    <w:rsid w:val="006D722C"/>
    <w:rsid w:val="006D7985"/>
    <w:rsid w:val="006D79E9"/>
    <w:rsid w:val="006E016A"/>
    <w:rsid w:val="006E0353"/>
    <w:rsid w:val="006E0D72"/>
    <w:rsid w:val="006E1AD0"/>
    <w:rsid w:val="006E1B5C"/>
    <w:rsid w:val="006E2105"/>
    <w:rsid w:val="006E214A"/>
    <w:rsid w:val="006E2848"/>
    <w:rsid w:val="006E2947"/>
    <w:rsid w:val="006E2CDF"/>
    <w:rsid w:val="006E2D96"/>
    <w:rsid w:val="006E3546"/>
    <w:rsid w:val="006E36D9"/>
    <w:rsid w:val="006E407A"/>
    <w:rsid w:val="006E44FC"/>
    <w:rsid w:val="006E462B"/>
    <w:rsid w:val="006E4D38"/>
    <w:rsid w:val="006E4F6D"/>
    <w:rsid w:val="006E598E"/>
    <w:rsid w:val="006E615A"/>
    <w:rsid w:val="006E616C"/>
    <w:rsid w:val="006E61CC"/>
    <w:rsid w:val="006E622E"/>
    <w:rsid w:val="006E6C66"/>
    <w:rsid w:val="006E6D06"/>
    <w:rsid w:val="006E716D"/>
    <w:rsid w:val="006E7390"/>
    <w:rsid w:val="006E7C13"/>
    <w:rsid w:val="006F002C"/>
    <w:rsid w:val="006F0269"/>
    <w:rsid w:val="006F0B01"/>
    <w:rsid w:val="006F1022"/>
    <w:rsid w:val="006F1129"/>
    <w:rsid w:val="006F120C"/>
    <w:rsid w:val="006F17BB"/>
    <w:rsid w:val="006F181C"/>
    <w:rsid w:val="006F189C"/>
    <w:rsid w:val="006F1CEF"/>
    <w:rsid w:val="006F1FAC"/>
    <w:rsid w:val="006F282E"/>
    <w:rsid w:val="006F2970"/>
    <w:rsid w:val="006F3366"/>
    <w:rsid w:val="006F3418"/>
    <w:rsid w:val="006F360E"/>
    <w:rsid w:val="006F37E7"/>
    <w:rsid w:val="006F3909"/>
    <w:rsid w:val="006F3AAB"/>
    <w:rsid w:val="006F3CDC"/>
    <w:rsid w:val="006F41F5"/>
    <w:rsid w:val="006F4563"/>
    <w:rsid w:val="006F46B2"/>
    <w:rsid w:val="006F483F"/>
    <w:rsid w:val="006F499F"/>
    <w:rsid w:val="006F4B65"/>
    <w:rsid w:val="006F4EDD"/>
    <w:rsid w:val="006F4F29"/>
    <w:rsid w:val="006F5235"/>
    <w:rsid w:val="006F5245"/>
    <w:rsid w:val="006F56BA"/>
    <w:rsid w:val="006F57E6"/>
    <w:rsid w:val="006F5AA1"/>
    <w:rsid w:val="006F5F64"/>
    <w:rsid w:val="006F5F75"/>
    <w:rsid w:val="006F67B5"/>
    <w:rsid w:val="006F6901"/>
    <w:rsid w:val="006F6ECB"/>
    <w:rsid w:val="006F6F55"/>
    <w:rsid w:val="006F6FF9"/>
    <w:rsid w:val="006F7326"/>
    <w:rsid w:val="006F754B"/>
    <w:rsid w:val="006F756C"/>
    <w:rsid w:val="006F77D1"/>
    <w:rsid w:val="006F797F"/>
    <w:rsid w:val="006F7B97"/>
    <w:rsid w:val="006F7DB2"/>
    <w:rsid w:val="0070056D"/>
    <w:rsid w:val="007005C6"/>
    <w:rsid w:val="0070063E"/>
    <w:rsid w:val="00700767"/>
    <w:rsid w:val="00700ECE"/>
    <w:rsid w:val="007011B3"/>
    <w:rsid w:val="007012A6"/>
    <w:rsid w:val="00701461"/>
    <w:rsid w:val="00701AF2"/>
    <w:rsid w:val="00701E11"/>
    <w:rsid w:val="00701E6D"/>
    <w:rsid w:val="00702507"/>
    <w:rsid w:val="0070260B"/>
    <w:rsid w:val="0070263F"/>
    <w:rsid w:val="007029C2"/>
    <w:rsid w:val="00702C8C"/>
    <w:rsid w:val="00703066"/>
    <w:rsid w:val="007034F0"/>
    <w:rsid w:val="007039F6"/>
    <w:rsid w:val="007048B0"/>
    <w:rsid w:val="00704B17"/>
    <w:rsid w:val="00704EAB"/>
    <w:rsid w:val="00705309"/>
    <w:rsid w:val="007053D2"/>
    <w:rsid w:val="00705686"/>
    <w:rsid w:val="00705C34"/>
    <w:rsid w:val="00705E66"/>
    <w:rsid w:val="00705F68"/>
    <w:rsid w:val="007060BD"/>
    <w:rsid w:val="0070630C"/>
    <w:rsid w:val="007064D1"/>
    <w:rsid w:val="0070662D"/>
    <w:rsid w:val="00706F4A"/>
    <w:rsid w:val="00707115"/>
    <w:rsid w:val="0070715A"/>
    <w:rsid w:val="007073F6"/>
    <w:rsid w:val="00707AD0"/>
    <w:rsid w:val="00707C63"/>
    <w:rsid w:val="00707DF0"/>
    <w:rsid w:val="00707E46"/>
    <w:rsid w:val="00707F06"/>
    <w:rsid w:val="00710200"/>
    <w:rsid w:val="00710207"/>
    <w:rsid w:val="00710BC7"/>
    <w:rsid w:val="00710E8F"/>
    <w:rsid w:val="00710FA1"/>
    <w:rsid w:val="007111A3"/>
    <w:rsid w:val="00712361"/>
    <w:rsid w:val="007124B1"/>
    <w:rsid w:val="00712CC9"/>
    <w:rsid w:val="00712DCE"/>
    <w:rsid w:val="0071342D"/>
    <w:rsid w:val="0071344F"/>
    <w:rsid w:val="00713B35"/>
    <w:rsid w:val="00713BEA"/>
    <w:rsid w:val="0071429B"/>
    <w:rsid w:val="007149E9"/>
    <w:rsid w:val="00714B3D"/>
    <w:rsid w:val="0071507C"/>
    <w:rsid w:val="007150E3"/>
    <w:rsid w:val="00715ECE"/>
    <w:rsid w:val="00716154"/>
    <w:rsid w:val="007161E1"/>
    <w:rsid w:val="00716381"/>
    <w:rsid w:val="0071650E"/>
    <w:rsid w:val="00716CDE"/>
    <w:rsid w:val="00716DD4"/>
    <w:rsid w:val="007171EC"/>
    <w:rsid w:val="0071732E"/>
    <w:rsid w:val="00717390"/>
    <w:rsid w:val="007173C8"/>
    <w:rsid w:val="007176F1"/>
    <w:rsid w:val="007178FE"/>
    <w:rsid w:val="00717DD2"/>
    <w:rsid w:val="00720298"/>
    <w:rsid w:val="007202FF"/>
    <w:rsid w:val="00720343"/>
    <w:rsid w:val="00720438"/>
    <w:rsid w:val="007205DA"/>
    <w:rsid w:val="00720726"/>
    <w:rsid w:val="00720FDD"/>
    <w:rsid w:val="00721866"/>
    <w:rsid w:val="00721EB4"/>
    <w:rsid w:val="00722023"/>
    <w:rsid w:val="007220C2"/>
    <w:rsid w:val="007221DD"/>
    <w:rsid w:val="007228DB"/>
    <w:rsid w:val="00722A55"/>
    <w:rsid w:val="00722AA3"/>
    <w:rsid w:val="007239E5"/>
    <w:rsid w:val="00724415"/>
    <w:rsid w:val="00724447"/>
    <w:rsid w:val="007249FC"/>
    <w:rsid w:val="00724B2A"/>
    <w:rsid w:val="00725312"/>
    <w:rsid w:val="0072533B"/>
    <w:rsid w:val="00725D74"/>
    <w:rsid w:val="00726444"/>
    <w:rsid w:val="007265A8"/>
    <w:rsid w:val="00726881"/>
    <w:rsid w:val="0072690E"/>
    <w:rsid w:val="00726AC8"/>
    <w:rsid w:val="00727190"/>
    <w:rsid w:val="0072742E"/>
    <w:rsid w:val="00727764"/>
    <w:rsid w:val="0072783C"/>
    <w:rsid w:val="00727928"/>
    <w:rsid w:val="00727D71"/>
    <w:rsid w:val="00730285"/>
    <w:rsid w:val="00730309"/>
    <w:rsid w:val="007305E6"/>
    <w:rsid w:val="00730829"/>
    <w:rsid w:val="00730F5E"/>
    <w:rsid w:val="0073122A"/>
    <w:rsid w:val="0073161C"/>
    <w:rsid w:val="007316A3"/>
    <w:rsid w:val="007317C4"/>
    <w:rsid w:val="00731C92"/>
    <w:rsid w:val="00731F5B"/>
    <w:rsid w:val="00732013"/>
    <w:rsid w:val="00732078"/>
    <w:rsid w:val="00732228"/>
    <w:rsid w:val="0073231A"/>
    <w:rsid w:val="0073236D"/>
    <w:rsid w:val="007323F6"/>
    <w:rsid w:val="007328D1"/>
    <w:rsid w:val="00732BF7"/>
    <w:rsid w:val="00733344"/>
    <w:rsid w:val="00733469"/>
    <w:rsid w:val="007335E5"/>
    <w:rsid w:val="007337BE"/>
    <w:rsid w:val="00733D2B"/>
    <w:rsid w:val="007344B3"/>
    <w:rsid w:val="007344E6"/>
    <w:rsid w:val="0073462A"/>
    <w:rsid w:val="0073471F"/>
    <w:rsid w:val="007348CE"/>
    <w:rsid w:val="00734D70"/>
    <w:rsid w:val="00734DE8"/>
    <w:rsid w:val="00735143"/>
    <w:rsid w:val="00735605"/>
    <w:rsid w:val="00735DC6"/>
    <w:rsid w:val="007367C7"/>
    <w:rsid w:val="007369C1"/>
    <w:rsid w:val="00736FBB"/>
    <w:rsid w:val="0073756E"/>
    <w:rsid w:val="0074028B"/>
    <w:rsid w:val="0074099D"/>
    <w:rsid w:val="00740EAB"/>
    <w:rsid w:val="00740F14"/>
    <w:rsid w:val="00740F24"/>
    <w:rsid w:val="00741053"/>
    <w:rsid w:val="007415CD"/>
    <w:rsid w:val="00741CA3"/>
    <w:rsid w:val="00741D3F"/>
    <w:rsid w:val="00742442"/>
    <w:rsid w:val="007427BD"/>
    <w:rsid w:val="0074289A"/>
    <w:rsid w:val="0074295E"/>
    <w:rsid w:val="00742FC5"/>
    <w:rsid w:val="0074313E"/>
    <w:rsid w:val="007431BA"/>
    <w:rsid w:val="00743342"/>
    <w:rsid w:val="0074405E"/>
    <w:rsid w:val="0074425C"/>
    <w:rsid w:val="007443A3"/>
    <w:rsid w:val="007445CD"/>
    <w:rsid w:val="0074461C"/>
    <w:rsid w:val="0074505D"/>
    <w:rsid w:val="0074515E"/>
    <w:rsid w:val="007458E9"/>
    <w:rsid w:val="00745DA1"/>
    <w:rsid w:val="0074639D"/>
    <w:rsid w:val="0074696D"/>
    <w:rsid w:val="00746F1E"/>
    <w:rsid w:val="007475F7"/>
    <w:rsid w:val="00747AAE"/>
    <w:rsid w:val="00750245"/>
    <w:rsid w:val="00750727"/>
    <w:rsid w:val="007508E7"/>
    <w:rsid w:val="00750BDE"/>
    <w:rsid w:val="00750C59"/>
    <w:rsid w:val="00750D52"/>
    <w:rsid w:val="00750EC0"/>
    <w:rsid w:val="00750EC6"/>
    <w:rsid w:val="007510C9"/>
    <w:rsid w:val="00751339"/>
    <w:rsid w:val="00751935"/>
    <w:rsid w:val="00751A7D"/>
    <w:rsid w:val="00751C63"/>
    <w:rsid w:val="0075203F"/>
    <w:rsid w:val="00752078"/>
    <w:rsid w:val="00752195"/>
    <w:rsid w:val="0075224A"/>
    <w:rsid w:val="0075312E"/>
    <w:rsid w:val="007533F4"/>
    <w:rsid w:val="00753661"/>
    <w:rsid w:val="00753B37"/>
    <w:rsid w:val="007542CE"/>
    <w:rsid w:val="00754E09"/>
    <w:rsid w:val="00754E0E"/>
    <w:rsid w:val="007557FC"/>
    <w:rsid w:val="00756695"/>
    <w:rsid w:val="00756989"/>
    <w:rsid w:val="007569DD"/>
    <w:rsid w:val="00756C81"/>
    <w:rsid w:val="00756F61"/>
    <w:rsid w:val="007571F3"/>
    <w:rsid w:val="007572EC"/>
    <w:rsid w:val="00757D67"/>
    <w:rsid w:val="00757E42"/>
    <w:rsid w:val="0076070A"/>
    <w:rsid w:val="007608E8"/>
    <w:rsid w:val="00761281"/>
    <w:rsid w:val="007613EB"/>
    <w:rsid w:val="007615A8"/>
    <w:rsid w:val="00761C39"/>
    <w:rsid w:val="0076257D"/>
    <w:rsid w:val="007629FF"/>
    <w:rsid w:val="00762ACB"/>
    <w:rsid w:val="00762E6A"/>
    <w:rsid w:val="00762EAA"/>
    <w:rsid w:val="0076303D"/>
    <w:rsid w:val="00763053"/>
    <w:rsid w:val="007632EC"/>
    <w:rsid w:val="007634A5"/>
    <w:rsid w:val="007634E3"/>
    <w:rsid w:val="0076366A"/>
    <w:rsid w:val="007637D1"/>
    <w:rsid w:val="0076470A"/>
    <w:rsid w:val="00764A14"/>
    <w:rsid w:val="00764CBD"/>
    <w:rsid w:val="00764D81"/>
    <w:rsid w:val="00764DC4"/>
    <w:rsid w:val="00765220"/>
    <w:rsid w:val="00765844"/>
    <w:rsid w:val="007658CC"/>
    <w:rsid w:val="00765F39"/>
    <w:rsid w:val="0076643A"/>
    <w:rsid w:val="00766B9E"/>
    <w:rsid w:val="00766E56"/>
    <w:rsid w:val="00766FC9"/>
    <w:rsid w:val="00767889"/>
    <w:rsid w:val="007678D0"/>
    <w:rsid w:val="00767A09"/>
    <w:rsid w:val="00767E36"/>
    <w:rsid w:val="00767F41"/>
    <w:rsid w:val="00770013"/>
    <w:rsid w:val="0077004B"/>
    <w:rsid w:val="00770455"/>
    <w:rsid w:val="007704AE"/>
    <w:rsid w:val="007705CE"/>
    <w:rsid w:val="007706A9"/>
    <w:rsid w:val="00770994"/>
    <w:rsid w:val="00770DD2"/>
    <w:rsid w:val="007711D1"/>
    <w:rsid w:val="007712CE"/>
    <w:rsid w:val="00771513"/>
    <w:rsid w:val="007716AA"/>
    <w:rsid w:val="00771D3F"/>
    <w:rsid w:val="0077209F"/>
    <w:rsid w:val="00772FE2"/>
    <w:rsid w:val="007737C2"/>
    <w:rsid w:val="007741DC"/>
    <w:rsid w:val="0077452C"/>
    <w:rsid w:val="00774AE8"/>
    <w:rsid w:val="00774CC1"/>
    <w:rsid w:val="00775127"/>
    <w:rsid w:val="0077539C"/>
    <w:rsid w:val="007758FE"/>
    <w:rsid w:val="00775AD3"/>
    <w:rsid w:val="00775B2C"/>
    <w:rsid w:val="00775F95"/>
    <w:rsid w:val="00775FA1"/>
    <w:rsid w:val="0077601E"/>
    <w:rsid w:val="0077611A"/>
    <w:rsid w:val="0077634E"/>
    <w:rsid w:val="00776A85"/>
    <w:rsid w:val="007776A6"/>
    <w:rsid w:val="00777E2B"/>
    <w:rsid w:val="00777FB4"/>
    <w:rsid w:val="00780845"/>
    <w:rsid w:val="007809AD"/>
    <w:rsid w:val="007810F8"/>
    <w:rsid w:val="00781284"/>
    <w:rsid w:val="007812CD"/>
    <w:rsid w:val="00781546"/>
    <w:rsid w:val="00781844"/>
    <w:rsid w:val="00781E43"/>
    <w:rsid w:val="00782160"/>
    <w:rsid w:val="0078283D"/>
    <w:rsid w:val="00782D76"/>
    <w:rsid w:val="007831B8"/>
    <w:rsid w:val="00783DCD"/>
    <w:rsid w:val="00784172"/>
    <w:rsid w:val="007842B4"/>
    <w:rsid w:val="00784797"/>
    <w:rsid w:val="007848CF"/>
    <w:rsid w:val="00785311"/>
    <w:rsid w:val="00785A37"/>
    <w:rsid w:val="00785AC6"/>
    <w:rsid w:val="00785C84"/>
    <w:rsid w:val="0078600B"/>
    <w:rsid w:val="007862C8"/>
    <w:rsid w:val="0078685D"/>
    <w:rsid w:val="007871E0"/>
    <w:rsid w:val="00787267"/>
    <w:rsid w:val="00787591"/>
    <w:rsid w:val="007878B9"/>
    <w:rsid w:val="007878E8"/>
    <w:rsid w:val="00787B1E"/>
    <w:rsid w:val="007905FE"/>
    <w:rsid w:val="00790633"/>
    <w:rsid w:val="007909AB"/>
    <w:rsid w:val="00790BCA"/>
    <w:rsid w:val="00790C28"/>
    <w:rsid w:val="00790E36"/>
    <w:rsid w:val="00790F35"/>
    <w:rsid w:val="00791C0D"/>
    <w:rsid w:val="00791C2D"/>
    <w:rsid w:val="00792277"/>
    <w:rsid w:val="007923AC"/>
    <w:rsid w:val="0079254E"/>
    <w:rsid w:val="00792875"/>
    <w:rsid w:val="00792CE4"/>
    <w:rsid w:val="00792DD5"/>
    <w:rsid w:val="0079378D"/>
    <w:rsid w:val="00793901"/>
    <w:rsid w:val="00793CBF"/>
    <w:rsid w:val="00793E16"/>
    <w:rsid w:val="00793E42"/>
    <w:rsid w:val="00793F4E"/>
    <w:rsid w:val="00794161"/>
    <w:rsid w:val="00794EB3"/>
    <w:rsid w:val="00795121"/>
    <w:rsid w:val="0079521D"/>
    <w:rsid w:val="0079522A"/>
    <w:rsid w:val="007953FF"/>
    <w:rsid w:val="007954FA"/>
    <w:rsid w:val="0079553C"/>
    <w:rsid w:val="007957B3"/>
    <w:rsid w:val="00796025"/>
    <w:rsid w:val="00796026"/>
    <w:rsid w:val="007965FF"/>
    <w:rsid w:val="00796998"/>
    <w:rsid w:val="007971B6"/>
    <w:rsid w:val="007972FA"/>
    <w:rsid w:val="00797375"/>
    <w:rsid w:val="007977FA"/>
    <w:rsid w:val="00797A1D"/>
    <w:rsid w:val="00797CA4"/>
    <w:rsid w:val="00797E1A"/>
    <w:rsid w:val="00797EC5"/>
    <w:rsid w:val="007A01B2"/>
    <w:rsid w:val="007A06B0"/>
    <w:rsid w:val="007A09DA"/>
    <w:rsid w:val="007A09E2"/>
    <w:rsid w:val="007A0B52"/>
    <w:rsid w:val="007A0B9C"/>
    <w:rsid w:val="007A0D3F"/>
    <w:rsid w:val="007A0DA3"/>
    <w:rsid w:val="007A116B"/>
    <w:rsid w:val="007A18FC"/>
    <w:rsid w:val="007A1A05"/>
    <w:rsid w:val="007A1D30"/>
    <w:rsid w:val="007A1E4E"/>
    <w:rsid w:val="007A20A6"/>
    <w:rsid w:val="007A223A"/>
    <w:rsid w:val="007A2EBF"/>
    <w:rsid w:val="007A30E5"/>
    <w:rsid w:val="007A35B4"/>
    <w:rsid w:val="007A3732"/>
    <w:rsid w:val="007A3880"/>
    <w:rsid w:val="007A3D3F"/>
    <w:rsid w:val="007A3E52"/>
    <w:rsid w:val="007A3FD6"/>
    <w:rsid w:val="007A4218"/>
    <w:rsid w:val="007A4A26"/>
    <w:rsid w:val="007A4AC0"/>
    <w:rsid w:val="007A4BA9"/>
    <w:rsid w:val="007A4BB4"/>
    <w:rsid w:val="007A4CA4"/>
    <w:rsid w:val="007A5B73"/>
    <w:rsid w:val="007A5E48"/>
    <w:rsid w:val="007A66DB"/>
    <w:rsid w:val="007A672B"/>
    <w:rsid w:val="007A712F"/>
    <w:rsid w:val="007A74CE"/>
    <w:rsid w:val="007A7745"/>
    <w:rsid w:val="007A7B79"/>
    <w:rsid w:val="007A7E65"/>
    <w:rsid w:val="007B07B2"/>
    <w:rsid w:val="007B0EEB"/>
    <w:rsid w:val="007B10BE"/>
    <w:rsid w:val="007B142E"/>
    <w:rsid w:val="007B1664"/>
    <w:rsid w:val="007B174E"/>
    <w:rsid w:val="007B17AA"/>
    <w:rsid w:val="007B1A59"/>
    <w:rsid w:val="007B1DD8"/>
    <w:rsid w:val="007B20F7"/>
    <w:rsid w:val="007B2161"/>
    <w:rsid w:val="007B24B2"/>
    <w:rsid w:val="007B2CFC"/>
    <w:rsid w:val="007B3423"/>
    <w:rsid w:val="007B3A1A"/>
    <w:rsid w:val="007B3C02"/>
    <w:rsid w:val="007B3DD1"/>
    <w:rsid w:val="007B4177"/>
    <w:rsid w:val="007B41EC"/>
    <w:rsid w:val="007B44F2"/>
    <w:rsid w:val="007B5107"/>
    <w:rsid w:val="007B5279"/>
    <w:rsid w:val="007B5479"/>
    <w:rsid w:val="007B54C4"/>
    <w:rsid w:val="007B55B9"/>
    <w:rsid w:val="007B58F0"/>
    <w:rsid w:val="007B5B04"/>
    <w:rsid w:val="007B5E9F"/>
    <w:rsid w:val="007B6074"/>
    <w:rsid w:val="007B631D"/>
    <w:rsid w:val="007B65C8"/>
    <w:rsid w:val="007B660D"/>
    <w:rsid w:val="007B6627"/>
    <w:rsid w:val="007B683F"/>
    <w:rsid w:val="007B6A1E"/>
    <w:rsid w:val="007B6C97"/>
    <w:rsid w:val="007B7026"/>
    <w:rsid w:val="007B708E"/>
    <w:rsid w:val="007B70C1"/>
    <w:rsid w:val="007B71FB"/>
    <w:rsid w:val="007B7340"/>
    <w:rsid w:val="007B7598"/>
    <w:rsid w:val="007B7ECE"/>
    <w:rsid w:val="007C04A5"/>
    <w:rsid w:val="007C04E1"/>
    <w:rsid w:val="007C05AE"/>
    <w:rsid w:val="007C0640"/>
    <w:rsid w:val="007C090F"/>
    <w:rsid w:val="007C0AD5"/>
    <w:rsid w:val="007C0C70"/>
    <w:rsid w:val="007C0EE9"/>
    <w:rsid w:val="007C15EF"/>
    <w:rsid w:val="007C19F9"/>
    <w:rsid w:val="007C1E55"/>
    <w:rsid w:val="007C2024"/>
    <w:rsid w:val="007C216F"/>
    <w:rsid w:val="007C260F"/>
    <w:rsid w:val="007C26AF"/>
    <w:rsid w:val="007C26DE"/>
    <w:rsid w:val="007C26F0"/>
    <w:rsid w:val="007C2A88"/>
    <w:rsid w:val="007C2ED2"/>
    <w:rsid w:val="007C3079"/>
    <w:rsid w:val="007C319F"/>
    <w:rsid w:val="007C3664"/>
    <w:rsid w:val="007C3772"/>
    <w:rsid w:val="007C3D5C"/>
    <w:rsid w:val="007C3EB9"/>
    <w:rsid w:val="007C3F76"/>
    <w:rsid w:val="007C3F8D"/>
    <w:rsid w:val="007C4006"/>
    <w:rsid w:val="007C40C8"/>
    <w:rsid w:val="007C4517"/>
    <w:rsid w:val="007C4990"/>
    <w:rsid w:val="007C548B"/>
    <w:rsid w:val="007C5561"/>
    <w:rsid w:val="007C5963"/>
    <w:rsid w:val="007C59AC"/>
    <w:rsid w:val="007C5C76"/>
    <w:rsid w:val="007C6378"/>
    <w:rsid w:val="007C694B"/>
    <w:rsid w:val="007C6B06"/>
    <w:rsid w:val="007C6CD4"/>
    <w:rsid w:val="007C6D68"/>
    <w:rsid w:val="007C71E1"/>
    <w:rsid w:val="007C790E"/>
    <w:rsid w:val="007C7968"/>
    <w:rsid w:val="007C7B39"/>
    <w:rsid w:val="007C7C51"/>
    <w:rsid w:val="007C7CA9"/>
    <w:rsid w:val="007D003C"/>
    <w:rsid w:val="007D0A0F"/>
    <w:rsid w:val="007D0CBF"/>
    <w:rsid w:val="007D0E15"/>
    <w:rsid w:val="007D10B8"/>
    <w:rsid w:val="007D181E"/>
    <w:rsid w:val="007D192E"/>
    <w:rsid w:val="007D1A9F"/>
    <w:rsid w:val="007D21DA"/>
    <w:rsid w:val="007D224D"/>
    <w:rsid w:val="007D239E"/>
    <w:rsid w:val="007D250A"/>
    <w:rsid w:val="007D3C19"/>
    <w:rsid w:val="007D3D9D"/>
    <w:rsid w:val="007D40ED"/>
    <w:rsid w:val="007D46D2"/>
    <w:rsid w:val="007D5354"/>
    <w:rsid w:val="007D5643"/>
    <w:rsid w:val="007D5C71"/>
    <w:rsid w:val="007D5E32"/>
    <w:rsid w:val="007D6AF1"/>
    <w:rsid w:val="007D7103"/>
    <w:rsid w:val="007D7581"/>
    <w:rsid w:val="007D78CA"/>
    <w:rsid w:val="007E0596"/>
    <w:rsid w:val="007E06D5"/>
    <w:rsid w:val="007E08CA"/>
    <w:rsid w:val="007E0A31"/>
    <w:rsid w:val="007E1415"/>
    <w:rsid w:val="007E16AC"/>
    <w:rsid w:val="007E1749"/>
    <w:rsid w:val="007E1C1E"/>
    <w:rsid w:val="007E223C"/>
    <w:rsid w:val="007E28DC"/>
    <w:rsid w:val="007E2911"/>
    <w:rsid w:val="007E2C28"/>
    <w:rsid w:val="007E2D1D"/>
    <w:rsid w:val="007E35B5"/>
    <w:rsid w:val="007E3844"/>
    <w:rsid w:val="007E3982"/>
    <w:rsid w:val="007E3C69"/>
    <w:rsid w:val="007E4312"/>
    <w:rsid w:val="007E4747"/>
    <w:rsid w:val="007E47B8"/>
    <w:rsid w:val="007E4A1D"/>
    <w:rsid w:val="007E507F"/>
    <w:rsid w:val="007E50B5"/>
    <w:rsid w:val="007E54E5"/>
    <w:rsid w:val="007E5922"/>
    <w:rsid w:val="007E5CD1"/>
    <w:rsid w:val="007E5F84"/>
    <w:rsid w:val="007E6D8C"/>
    <w:rsid w:val="007E6EF8"/>
    <w:rsid w:val="007E7B8C"/>
    <w:rsid w:val="007E7F88"/>
    <w:rsid w:val="007F0873"/>
    <w:rsid w:val="007F0CAE"/>
    <w:rsid w:val="007F0D43"/>
    <w:rsid w:val="007F0E92"/>
    <w:rsid w:val="007F13D3"/>
    <w:rsid w:val="007F1E79"/>
    <w:rsid w:val="007F266D"/>
    <w:rsid w:val="007F2E0B"/>
    <w:rsid w:val="007F32EA"/>
    <w:rsid w:val="007F3428"/>
    <w:rsid w:val="007F3462"/>
    <w:rsid w:val="007F3932"/>
    <w:rsid w:val="007F39B6"/>
    <w:rsid w:val="007F3D25"/>
    <w:rsid w:val="007F3E22"/>
    <w:rsid w:val="007F3EEA"/>
    <w:rsid w:val="007F3FB5"/>
    <w:rsid w:val="007F4494"/>
    <w:rsid w:val="007F45B2"/>
    <w:rsid w:val="007F49FC"/>
    <w:rsid w:val="007F4EE7"/>
    <w:rsid w:val="007F539E"/>
    <w:rsid w:val="007F53C5"/>
    <w:rsid w:val="007F54F9"/>
    <w:rsid w:val="007F5712"/>
    <w:rsid w:val="007F58E8"/>
    <w:rsid w:val="007F5965"/>
    <w:rsid w:val="007F6598"/>
    <w:rsid w:val="007F65E5"/>
    <w:rsid w:val="007F691D"/>
    <w:rsid w:val="007F7080"/>
    <w:rsid w:val="007F750D"/>
    <w:rsid w:val="007F7AA3"/>
    <w:rsid w:val="007F7D5A"/>
    <w:rsid w:val="007F7FA2"/>
    <w:rsid w:val="0080038C"/>
    <w:rsid w:val="0080044F"/>
    <w:rsid w:val="00800883"/>
    <w:rsid w:val="00800A0C"/>
    <w:rsid w:val="00800CDF"/>
    <w:rsid w:val="00800E35"/>
    <w:rsid w:val="00800EE2"/>
    <w:rsid w:val="00801637"/>
    <w:rsid w:val="00801B50"/>
    <w:rsid w:val="00801F11"/>
    <w:rsid w:val="008028C7"/>
    <w:rsid w:val="00802A57"/>
    <w:rsid w:val="00802CF8"/>
    <w:rsid w:val="00802D53"/>
    <w:rsid w:val="0080304A"/>
    <w:rsid w:val="00803905"/>
    <w:rsid w:val="00803A78"/>
    <w:rsid w:val="00803E29"/>
    <w:rsid w:val="00803E68"/>
    <w:rsid w:val="00803F1F"/>
    <w:rsid w:val="008040CB"/>
    <w:rsid w:val="0080448C"/>
    <w:rsid w:val="00804598"/>
    <w:rsid w:val="00804817"/>
    <w:rsid w:val="00804CEB"/>
    <w:rsid w:val="00804F09"/>
    <w:rsid w:val="00805355"/>
    <w:rsid w:val="00805BC6"/>
    <w:rsid w:val="00805D41"/>
    <w:rsid w:val="0080621A"/>
    <w:rsid w:val="008062F0"/>
    <w:rsid w:val="00806C7B"/>
    <w:rsid w:val="008075DF"/>
    <w:rsid w:val="00807A69"/>
    <w:rsid w:val="0081003D"/>
    <w:rsid w:val="008100DA"/>
    <w:rsid w:val="00810C48"/>
    <w:rsid w:val="00810EE9"/>
    <w:rsid w:val="00810F7C"/>
    <w:rsid w:val="008111C7"/>
    <w:rsid w:val="008114B4"/>
    <w:rsid w:val="008118A3"/>
    <w:rsid w:val="00811A72"/>
    <w:rsid w:val="00811AA9"/>
    <w:rsid w:val="00812102"/>
    <w:rsid w:val="00812A52"/>
    <w:rsid w:val="0081338C"/>
    <w:rsid w:val="008133A0"/>
    <w:rsid w:val="008134D8"/>
    <w:rsid w:val="00813937"/>
    <w:rsid w:val="00813D1A"/>
    <w:rsid w:val="008142C0"/>
    <w:rsid w:val="008145E7"/>
    <w:rsid w:val="00814901"/>
    <w:rsid w:val="00814AC7"/>
    <w:rsid w:val="00814C6E"/>
    <w:rsid w:val="00814DA6"/>
    <w:rsid w:val="0081506C"/>
    <w:rsid w:val="0081531E"/>
    <w:rsid w:val="0081542D"/>
    <w:rsid w:val="00815A00"/>
    <w:rsid w:val="00815BB5"/>
    <w:rsid w:val="00815F3D"/>
    <w:rsid w:val="00815F99"/>
    <w:rsid w:val="0081605B"/>
    <w:rsid w:val="008160F2"/>
    <w:rsid w:val="00817237"/>
    <w:rsid w:val="00817520"/>
    <w:rsid w:val="00817B11"/>
    <w:rsid w:val="00817E78"/>
    <w:rsid w:val="00817F9F"/>
    <w:rsid w:val="00820125"/>
    <w:rsid w:val="008201F6"/>
    <w:rsid w:val="008204CF"/>
    <w:rsid w:val="008205B5"/>
    <w:rsid w:val="008205E0"/>
    <w:rsid w:val="0082071A"/>
    <w:rsid w:val="00820986"/>
    <w:rsid w:val="008209B6"/>
    <w:rsid w:val="00820CB1"/>
    <w:rsid w:val="00820E41"/>
    <w:rsid w:val="008210B8"/>
    <w:rsid w:val="008213A7"/>
    <w:rsid w:val="00821943"/>
    <w:rsid w:val="008219CE"/>
    <w:rsid w:val="008219F0"/>
    <w:rsid w:val="00821A4D"/>
    <w:rsid w:val="00821AD9"/>
    <w:rsid w:val="00821F17"/>
    <w:rsid w:val="00821F3D"/>
    <w:rsid w:val="00822217"/>
    <w:rsid w:val="0082227C"/>
    <w:rsid w:val="0082236B"/>
    <w:rsid w:val="00822CDC"/>
    <w:rsid w:val="00822CF2"/>
    <w:rsid w:val="00822D4E"/>
    <w:rsid w:val="008233AA"/>
    <w:rsid w:val="0082386F"/>
    <w:rsid w:val="008238EA"/>
    <w:rsid w:val="008239AC"/>
    <w:rsid w:val="008245CF"/>
    <w:rsid w:val="008247B8"/>
    <w:rsid w:val="0082510A"/>
    <w:rsid w:val="008258C2"/>
    <w:rsid w:val="00825A08"/>
    <w:rsid w:val="00825C3F"/>
    <w:rsid w:val="00825D33"/>
    <w:rsid w:val="00825D7A"/>
    <w:rsid w:val="008263A2"/>
    <w:rsid w:val="008263EC"/>
    <w:rsid w:val="00826510"/>
    <w:rsid w:val="00826A74"/>
    <w:rsid w:val="00826FF8"/>
    <w:rsid w:val="008271DA"/>
    <w:rsid w:val="0082727B"/>
    <w:rsid w:val="008275C2"/>
    <w:rsid w:val="008279FC"/>
    <w:rsid w:val="00827D3A"/>
    <w:rsid w:val="008303B2"/>
    <w:rsid w:val="00830754"/>
    <w:rsid w:val="00830897"/>
    <w:rsid w:val="008309B3"/>
    <w:rsid w:val="00830FC9"/>
    <w:rsid w:val="0083152F"/>
    <w:rsid w:val="00831FB8"/>
    <w:rsid w:val="008320E6"/>
    <w:rsid w:val="00832459"/>
    <w:rsid w:val="00832619"/>
    <w:rsid w:val="00832EB9"/>
    <w:rsid w:val="008331F5"/>
    <w:rsid w:val="00833270"/>
    <w:rsid w:val="00833298"/>
    <w:rsid w:val="008339D0"/>
    <w:rsid w:val="00833CC2"/>
    <w:rsid w:val="00833EE0"/>
    <w:rsid w:val="008341B8"/>
    <w:rsid w:val="008348D0"/>
    <w:rsid w:val="00834DDD"/>
    <w:rsid w:val="00835041"/>
    <w:rsid w:val="0083580F"/>
    <w:rsid w:val="00835C3F"/>
    <w:rsid w:val="008368A2"/>
    <w:rsid w:val="008369C0"/>
    <w:rsid w:val="00836A46"/>
    <w:rsid w:val="00836B70"/>
    <w:rsid w:val="00836C05"/>
    <w:rsid w:val="0083770E"/>
    <w:rsid w:val="00837954"/>
    <w:rsid w:val="00840654"/>
    <w:rsid w:val="008407B1"/>
    <w:rsid w:val="0084080C"/>
    <w:rsid w:val="00840992"/>
    <w:rsid w:val="00840B7C"/>
    <w:rsid w:val="00840CF0"/>
    <w:rsid w:val="00840D85"/>
    <w:rsid w:val="00840DF0"/>
    <w:rsid w:val="008414BE"/>
    <w:rsid w:val="00842643"/>
    <w:rsid w:val="00842940"/>
    <w:rsid w:val="00842EFD"/>
    <w:rsid w:val="0084367C"/>
    <w:rsid w:val="00843B60"/>
    <w:rsid w:val="00843F4B"/>
    <w:rsid w:val="0084470F"/>
    <w:rsid w:val="00844B28"/>
    <w:rsid w:val="008456D4"/>
    <w:rsid w:val="00845B4B"/>
    <w:rsid w:val="00845B7A"/>
    <w:rsid w:val="00845EFF"/>
    <w:rsid w:val="0084626D"/>
    <w:rsid w:val="00846306"/>
    <w:rsid w:val="008475A8"/>
    <w:rsid w:val="008478AD"/>
    <w:rsid w:val="00847C4B"/>
    <w:rsid w:val="00847F6A"/>
    <w:rsid w:val="008504CD"/>
    <w:rsid w:val="0085078E"/>
    <w:rsid w:val="00850D88"/>
    <w:rsid w:val="00850E1C"/>
    <w:rsid w:val="00850F9E"/>
    <w:rsid w:val="00851207"/>
    <w:rsid w:val="00851327"/>
    <w:rsid w:val="00851343"/>
    <w:rsid w:val="0085187B"/>
    <w:rsid w:val="008519D3"/>
    <w:rsid w:val="0085297A"/>
    <w:rsid w:val="00853653"/>
    <w:rsid w:val="00853818"/>
    <w:rsid w:val="00853840"/>
    <w:rsid w:val="00853D9B"/>
    <w:rsid w:val="00853EF9"/>
    <w:rsid w:val="00854161"/>
    <w:rsid w:val="008541C4"/>
    <w:rsid w:val="008546C4"/>
    <w:rsid w:val="0085474C"/>
    <w:rsid w:val="00854B00"/>
    <w:rsid w:val="00854CA0"/>
    <w:rsid w:val="00854CD2"/>
    <w:rsid w:val="0085596C"/>
    <w:rsid w:val="00855C6A"/>
    <w:rsid w:val="00855CEC"/>
    <w:rsid w:val="00855DAE"/>
    <w:rsid w:val="00855E68"/>
    <w:rsid w:val="00856003"/>
    <w:rsid w:val="008564B2"/>
    <w:rsid w:val="008565DF"/>
    <w:rsid w:val="0085661C"/>
    <w:rsid w:val="00856971"/>
    <w:rsid w:val="00856AAB"/>
    <w:rsid w:val="00856F56"/>
    <w:rsid w:val="008571FC"/>
    <w:rsid w:val="008573F3"/>
    <w:rsid w:val="00857711"/>
    <w:rsid w:val="00857E3F"/>
    <w:rsid w:val="0086045E"/>
    <w:rsid w:val="00860494"/>
    <w:rsid w:val="008606A4"/>
    <w:rsid w:val="00861223"/>
    <w:rsid w:val="00861324"/>
    <w:rsid w:val="008615A9"/>
    <w:rsid w:val="00861E3E"/>
    <w:rsid w:val="0086271B"/>
    <w:rsid w:val="00862CC4"/>
    <w:rsid w:val="008630E3"/>
    <w:rsid w:val="00863578"/>
    <w:rsid w:val="00863754"/>
    <w:rsid w:val="00863A06"/>
    <w:rsid w:val="00863BB1"/>
    <w:rsid w:val="00863D7A"/>
    <w:rsid w:val="00863D94"/>
    <w:rsid w:val="00864302"/>
    <w:rsid w:val="0086483D"/>
    <w:rsid w:val="00864F4F"/>
    <w:rsid w:val="00865BF9"/>
    <w:rsid w:val="00865C62"/>
    <w:rsid w:val="00865E21"/>
    <w:rsid w:val="00865F25"/>
    <w:rsid w:val="0086604A"/>
    <w:rsid w:val="008662DA"/>
    <w:rsid w:val="00866398"/>
    <w:rsid w:val="008665E7"/>
    <w:rsid w:val="00866D2C"/>
    <w:rsid w:val="0086737E"/>
    <w:rsid w:val="008673DB"/>
    <w:rsid w:val="008673DC"/>
    <w:rsid w:val="00867E45"/>
    <w:rsid w:val="00867E63"/>
    <w:rsid w:val="00867F1A"/>
    <w:rsid w:val="00870228"/>
    <w:rsid w:val="0087075D"/>
    <w:rsid w:val="00870EDD"/>
    <w:rsid w:val="00870FE9"/>
    <w:rsid w:val="008710CC"/>
    <w:rsid w:val="0087124A"/>
    <w:rsid w:val="00871A53"/>
    <w:rsid w:val="00871B51"/>
    <w:rsid w:val="00871BD6"/>
    <w:rsid w:val="00872403"/>
    <w:rsid w:val="00872458"/>
    <w:rsid w:val="0087285F"/>
    <w:rsid w:val="00872D13"/>
    <w:rsid w:val="00872D45"/>
    <w:rsid w:val="00872DAF"/>
    <w:rsid w:val="00872DF4"/>
    <w:rsid w:val="0087384A"/>
    <w:rsid w:val="00873B78"/>
    <w:rsid w:val="0087477A"/>
    <w:rsid w:val="008747E4"/>
    <w:rsid w:val="008748B8"/>
    <w:rsid w:val="00874C12"/>
    <w:rsid w:val="0087567B"/>
    <w:rsid w:val="00875969"/>
    <w:rsid w:val="00875EF7"/>
    <w:rsid w:val="008762D5"/>
    <w:rsid w:val="00876532"/>
    <w:rsid w:val="0087687B"/>
    <w:rsid w:val="00876E10"/>
    <w:rsid w:val="00876E28"/>
    <w:rsid w:val="00876EFE"/>
    <w:rsid w:val="008806F7"/>
    <w:rsid w:val="00881086"/>
    <w:rsid w:val="0088115B"/>
    <w:rsid w:val="00881457"/>
    <w:rsid w:val="00881518"/>
    <w:rsid w:val="00881A80"/>
    <w:rsid w:val="008821EF"/>
    <w:rsid w:val="00882371"/>
    <w:rsid w:val="00882742"/>
    <w:rsid w:val="0088334B"/>
    <w:rsid w:val="008839D4"/>
    <w:rsid w:val="00883F65"/>
    <w:rsid w:val="00884057"/>
    <w:rsid w:val="0088422A"/>
    <w:rsid w:val="008846D9"/>
    <w:rsid w:val="0088474A"/>
    <w:rsid w:val="00884B01"/>
    <w:rsid w:val="00884C8A"/>
    <w:rsid w:val="00884EE0"/>
    <w:rsid w:val="00884F95"/>
    <w:rsid w:val="00885273"/>
    <w:rsid w:val="008853BA"/>
    <w:rsid w:val="008853E7"/>
    <w:rsid w:val="00885446"/>
    <w:rsid w:val="008856EF"/>
    <w:rsid w:val="00886237"/>
    <w:rsid w:val="008867C4"/>
    <w:rsid w:val="008868C4"/>
    <w:rsid w:val="008873AE"/>
    <w:rsid w:val="008878EC"/>
    <w:rsid w:val="008878F5"/>
    <w:rsid w:val="00887B21"/>
    <w:rsid w:val="008900D9"/>
    <w:rsid w:val="008908CD"/>
    <w:rsid w:val="00890BFD"/>
    <w:rsid w:val="00890E3B"/>
    <w:rsid w:val="008911E6"/>
    <w:rsid w:val="00891685"/>
    <w:rsid w:val="00891913"/>
    <w:rsid w:val="00891B22"/>
    <w:rsid w:val="00891F95"/>
    <w:rsid w:val="00892387"/>
    <w:rsid w:val="008925C8"/>
    <w:rsid w:val="00892D08"/>
    <w:rsid w:val="00892D3A"/>
    <w:rsid w:val="00892DD6"/>
    <w:rsid w:val="00892DEE"/>
    <w:rsid w:val="00893280"/>
    <w:rsid w:val="0089400A"/>
    <w:rsid w:val="00894259"/>
    <w:rsid w:val="0089449F"/>
    <w:rsid w:val="008945FF"/>
    <w:rsid w:val="008946A8"/>
    <w:rsid w:val="00894BA4"/>
    <w:rsid w:val="008954A5"/>
    <w:rsid w:val="00895A4D"/>
    <w:rsid w:val="00895AD2"/>
    <w:rsid w:val="00895FFE"/>
    <w:rsid w:val="008969A1"/>
    <w:rsid w:val="00896FAC"/>
    <w:rsid w:val="00897176"/>
    <w:rsid w:val="008973C3"/>
    <w:rsid w:val="00897BFD"/>
    <w:rsid w:val="00897C67"/>
    <w:rsid w:val="008A0804"/>
    <w:rsid w:val="008A0838"/>
    <w:rsid w:val="008A0852"/>
    <w:rsid w:val="008A0D52"/>
    <w:rsid w:val="008A0E15"/>
    <w:rsid w:val="008A0FB5"/>
    <w:rsid w:val="008A101D"/>
    <w:rsid w:val="008A18DF"/>
    <w:rsid w:val="008A194B"/>
    <w:rsid w:val="008A21DD"/>
    <w:rsid w:val="008A22E6"/>
    <w:rsid w:val="008A2353"/>
    <w:rsid w:val="008A2422"/>
    <w:rsid w:val="008A27D8"/>
    <w:rsid w:val="008A2D0E"/>
    <w:rsid w:val="008A398C"/>
    <w:rsid w:val="008A410D"/>
    <w:rsid w:val="008A4233"/>
    <w:rsid w:val="008A4AB8"/>
    <w:rsid w:val="008A4E1F"/>
    <w:rsid w:val="008A4E6C"/>
    <w:rsid w:val="008A528D"/>
    <w:rsid w:val="008A52AF"/>
    <w:rsid w:val="008A52BE"/>
    <w:rsid w:val="008A531C"/>
    <w:rsid w:val="008A541F"/>
    <w:rsid w:val="008A5D02"/>
    <w:rsid w:val="008A5E3B"/>
    <w:rsid w:val="008A631E"/>
    <w:rsid w:val="008A6E99"/>
    <w:rsid w:val="008A7559"/>
    <w:rsid w:val="008A7740"/>
    <w:rsid w:val="008A7B95"/>
    <w:rsid w:val="008B0D31"/>
    <w:rsid w:val="008B0D7C"/>
    <w:rsid w:val="008B0FD0"/>
    <w:rsid w:val="008B1265"/>
    <w:rsid w:val="008B12F6"/>
    <w:rsid w:val="008B1642"/>
    <w:rsid w:val="008B1B97"/>
    <w:rsid w:val="008B203A"/>
    <w:rsid w:val="008B2259"/>
    <w:rsid w:val="008B2542"/>
    <w:rsid w:val="008B274E"/>
    <w:rsid w:val="008B2790"/>
    <w:rsid w:val="008B301D"/>
    <w:rsid w:val="008B32AC"/>
    <w:rsid w:val="008B336D"/>
    <w:rsid w:val="008B35CD"/>
    <w:rsid w:val="008B3E09"/>
    <w:rsid w:val="008B4073"/>
    <w:rsid w:val="008B40BE"/>
    <w:rsid w:val="008B46F1"/>
    <w:rsid w:val="008B4DBC"/>
    <w:rsid w:val="008B5595"/>
    <w:rsid w:val="008B5708"/>
    <w:rsid w:val="008B58A5"/>
    <w:rsid w:val="008B5D68"/>
    <w:rsid w:val="008B66BF"/>
    <w:rsid w:val="008B6B50"/>
    <w:rsid w:val="008B706E"/>
    <w:rsid w:val="008B75F6"/>
    <w:rsid w:val="008B7D84"/>
    <w:rsid w:val="008B7FB9"/>
    <w:rsid w:val="008C038B"/>
    <w:rsid w:val="008C0634"/>
    <w:rsid w:val="008C079E"/>
    <w:rsid w:val="008C07D7"/>
    <w:rsid w:val="008C087C"/>
    <w:rsid w:val="008C1100"/>
    <w:rsid w:val="008C11E6"/>
    <w:rsid w:val="008C145D"/>
    <w:rsid w:val="008C1584"/>
    <w:rsid w:val="008C16D9"/>
    <w:rsid w:val="008C17B1"/>
    <w:rsid w:val="008C17BA"/>
    <w:rsid w:val="008C182F"/>
    <w:rsid w:val="008C201C"/>
    <w:rsid w:val="008C2595"/>
    <w:rsid w:val="008C25FC"/>
    <w:rsid w:val="008C28B5"/>
    <w:rsid w:val="008C2AC3"/>
    <w:rsid w:val="008C328E"/>
    <w:rsid w:val="008C3A7A"/>
    <w:rsid w:val="008C3CA0"/>
    <w:rsid w:val="008C3DA0"/>
    <w:rsid w:val="008C3DA8"/>
    <w:rsid w:val="008C3FE4"/>
    <w:rsid w:val="008C4079"/>
    <w:rsid w:val="008C4509"/>
    <w:rsid w:val="008C4685"/>
    <w:rsid w:val="008C49D3"/>
    <w:rsid w:val="008C4CD5"/>
    <w:rsid w:val="008C4D90"/>
    <w:rsid w:val="008C4E0D"/>
    <w:rsid w:val="008C4FC2"/>
    <w:rsid w:val="008C4FC7"/>
    <w:rsid w:val="008C5558"/>
    <w:rsid w:val="008C5A73"/>
    <w:rsid w:val="008C5A9A"/>
    <w:rsid w:val="008C5ABB"/>
    <w:rsid w:val="008C5B45"/>
    <w:rsid w:val="008C6642"/>
    <w:rsid w:val="008C6AFD"/>
    <w:rsid w:val="008C7350"/>
    <w:rsid w:val="008C7384"/>
    <w:rsid w:val="008C73E5"/>
    <w:rsid w:val="008C7F3E"/>
    <w:rsid w:val="008D053B"/>
    <w:rsid w:val="008D092D"/>
    <w:rsid w:val="008D0989"/>
    <w:rsid w:val="008D1324"/>
    <w:rsid w:val="008D156A"/>
    <w:rsid w:val="008D167D"/>
    <w:rsid w:val="008D1863"/>
    <w:rsid w:val="008D1A5C"/>
    <w:rsid w:val="008D1AD5"/>
    <w:rsid w:val="008D2719"/>
    <w:rsid w:val="008D2B41"/>
    <w:rsid w:val="008D2C50"/>
    <w:rsid w:val="008D3072"/>
    <w:rsid w:val="008D3864"/>
    <w:rsid w:val="008D39A9"/>
    <w:rsid w:val="008D3BAE"/>
    <w:rsid w:val="008D3BFF"/>
    <w:rsid w:val="008D4297"/>
    <w:rsid w:val="008D4D96"/>
    <w:rsid w:val="008D4FE9"/>
    <w:rsid w:val="008D5006"/>
    <w:rsid w:val="008D506E"/>
    <w:rsid w:val="008D511C"/>
    <w:rsid w:val="008D541F"/>
    <w:rsid w:val="008D555B"/>
    <w:rsid w:val="008D57C1"/>
    <w:rsid w:val="008D5C17"/>
    <w:rsid w:val="008D5C6C"/>
    <w:rsid w:val="008D604E"/>
    <w:rsid w:val="008D6079"/>
    <w:rsid w:val="008D673A"/>
    <w:rsid w:val="008D6945"/>
    <w:rsid w:val="008D6A06"/>
    <w:rsid w:val="008D6B77"/>
    <w:rsid w:val="008D6CC3"/>
    <w:rsid w:val="008D6CC4"/>
    <w:rsid w:val="008D6E32"/>
    <w:rsid w:val="008D6E97"/>
    <w:rsid w:val="008D6FA9"/>
    <w:rsid w:val="008D70DB"/>
    <w:rsid w:val="008E0339"/>
    <w:rsid w:val="008E053E"/>
    <w:rsid w:val="008E0584"/>
    <w:rsid w:val="008E0908"/>
    <w:rsid w:val="008E0A31"/>
    <w:rsid w:val="008E122D"/>
    <w:rsid w:val="008E13E5"/>
    <w:rsid w:val="008E1506"/>
    <w:rsid w:val="008E235A"/>
    <w:rsid w:val="008E2D26"/>
    <w:rsid w:val="008E3235"/>
    <w:rsid w:val="008E34ED"/>
    <w:rsid w:val="008E3532"/>
    <w:rsid w:val="008E354B"/>
    <w:rsid w:val="008E3B39"/>
    <w:rsid w:val="008E3C4F"/>
    <w:rsid w:val="008E3CCB"/>
    <w:rsid w:val="008E3D6D"/>
    <w:rsid w:val="008E416F"/>
    <w:rsid w:val="008E4787"/>
    <w:rsid w:val="008E487D"/>
    <w:rsid w:val="008E4EB0"/>
    <w:rsid w:val="008E57FF"/>
    <w:rsid w:val="008E590C"/>
    <w:rsid w:val="008E76D6"/>
    <w:rsid w:val="008E7976"/>
    <w:rsid w:val="008E79D2"/>
    <w:rsid w:val="008E7C84"/>
    <w:rsid w:val="008E7CE8"/>
    <w:rsid w:val="008F021A"/>
    <w:rsid w:val="008F02B9"/>
    <w:rsid w:val="008F02FA"/>
    <w:rsid w:val="008F03B1"/>
    <w:rsid w:val="008F03BD"/>
    <w:rsid w:val="008F0729"/>
    <w:rsid w:val="008F07FD"/>
    <w:rsid w:val="008F1061"/>
    <w:rsid w:val="008F12B6"/>
    <w:rsid w:val="008F1871"/>
    <w:rsid w:val="008F1AC0"/>
    <w:rsid w:val="008F1C4E"/>
    <w:rsid w:val="008F201A"/>
    <w:rsid w:val="008F2396"/>
    <w:rsid w:val="008F271F"/>
    <w:rsid w:val="008F2F44"/>
    <w:rsid w:val="008F305C"/>
    <w:rsid w:val="008F3AB7"/>
    <w:rsid w:val="008F3CB0"/>
    <w:rsid w:val="008F3D09"/>
    <w:rsid w:val="008F4752"/>
    <w:rsid w:val="008F49B2"/>
    <w:rsid w:val="008F4E6D"/>
    <w:rsid w:val="008F5010"/>
    <w:rsid w:val="008F555F"/>
    <w:rsid w:val="008F56AB"/>
    <w:rsid w:val="008F57EA"/>
    <w:rsid w:val="008F5C28"/>
    <w:rsid w:val="008F5D8D"/>
    <w:rsid w:val="008F60C9"/>
    <w:rsid w:val="008F60D6"/>
    <w:rsid w:val="008F63A3"/>
    <w:rsid w:val="008F70F9"/>
    <w:rsid w:val="008F76A3"/>
    <w:rsid w:val="008F7776"/>
    <w:rsid w:val="008F7C0C"/>
    <w:rsid w:val="008F7CA1"/>
    <w:rsid w:val="008F7CF9"/>
    <w:rsid w:val="009001EA"/>
    <w:rsid w:val="009004FA"/>
    <w:rsid w:val="0090081B"/>
    <w:rsid w:val="00900F42"/>
    <w:rsid w:val="009010F0"/>
    <w:rsid w:val="0090231B"/>
    <w:rsid w:val="00902480"/>
    <w:rsid w:val="009028AD"/>
    <w:rsid w:val="0090304D"/>
    <w:rsid w:val="009035B1"/>
    <w:rsid w:val="00903B74"/>
    <w:rsid w:val="00903EFB"/>
    <w:rsid w:val="00903F3E"/>
    <w:rsid w:val="00904265"/>
    <w:rsid w:val="00904945"/>
    <w:rsid w:val="00904971"/>
    <w:rsid w:val="009049FC"/>
    <w:rsid w:val="00904BCF"/>
    <w:rsid w:val="00904C4C"/>
    <w:rsid w:val="009052DA"/>
    <w:rsid w:val="0090538A"/>
    <w:rsid w:val="009057F9"/>
    <w:rsid w:val="00905E57"/>
    <w:rsid w:val="00905F75"/>
    <w:rsid w:val="009060DD"/>
    <w:rsid w:val="00906CE0"/>
    <w:rsid w:val="009074A6"/>
    <w:rsid w:val="00907A92"/>
    <w:rsid w:val="00907D6E"/>
    <w:rsid w:val="00907E74"/>
    <w:rsid w:val="009100F5"/>
    <w:rsid w:val="00910233"/>
    <w:rsid w:val="00910415"/>
    <w:rsid w:val="0091047A"/>
    <w:rsid w:val="00910603"/>
    <w:rsid w:val="009107D1"/>
    <w:rsid w:val="009108D0"/>
    <w:rsid w:val="00910C2D"/>
    <w:rsid w:val="00910E6B"/>
    <w:rsid w:val="009112EC"/>
    <w:rsid w:val="00911777"/>
    <w:rsid w:val="009119AF"/>
    <w:rsid w:val="0091267B"/>
    <w:rsid w:val="0091267D"/>
    <w:rsid w:val="00912D01"/>
    <w:rsid w:val="00913453"/>
    <w:rsid w:val="00913BD1"/>
    <w:rsid w:val="00913D4F"/>
    <w:rsid w:val="00913F50"/>
    <w:rsid w:val="009142CD"/>
    <w:rsid w:val="00914449"/>
    <w:rsid w:val="009148C6"/>
    <w:rsid w:val="0091491D"/>
    <w:rsid w:val="00915183"/>
    <w:rsid w:val="0091521F"/>
    <w:rsid w:val="00915286"/>
    <w:rsid w:val="00915771"/>
    <w:rsid w:val="00915AF5"/>
    <w:rsid w:val="0091628C"/>
    <w:rsid w:val="0091631E"/>
    <w:rsid w:val="009167CA"/>
    <w:rsid w:val="00916E39"/>
    <w:rsid w:val="009170C6"/>
    <w:rsid w:val="00917115"/>
    <w:rsid w:val="00917186"/>
    <w:rsid w:val="009172F8"/>
    <w:rsid w:val="00917497"/>
    <w:rsid w:val="00917BC3"/>
    <w:rsid w:val="00917EF3"/>
    <w:rsid w:val="009201CD"/>
    <w:rsid w:val="0092050D"/>
    <w:rsid w:val="00920AC4"/>
    <w:rsid w:val="00920B15"/>
    <w:rsid w:val="00920E29"/>
    <w:rsid w:val="00921EA4"/>
    <w:rsid w:val="009226CE"/>
    <w:rsid w:val="00922CFE"/>
    <w:rsid w:val="00922E69"/>
    <w:rsid w:val="00922F0C"/>
    <w:rsid w:val="0092355A"/>
    <w:rsid w:val="0092357D"/>
    <w:rsid w:val="009237C0"/>
    <w:rsid w:val="0092382F"/>
    <w:rsid w:val="009243F3"/>
    <w:rsid w:val="0092467F"/>
    <w:rsid w:val="009249C3"/>
    <w:rsid w:val="00924A70"/>
    <w:rsid w:val="00924A80"/>
    <w:rsid w:val="0092560C"/>
    <w:rsid w:val="00925C8C"/>
    <w:rsid w:val="00925E44"/>
    <w:rsid w:val="0092622F"/>
    <w:rsid w:val="0092624B"/>
    <w:rsid w:val="009266CD"/>
    <w:rsid w:val="0092677B"/>
    <w:rsid w:val="00926BA2"/>
    <w:rsid w:val="00926C4A"/>
    <w:rsid w:val="00927189"/>
    <w:rsid w:val="009274AD"/>
    <w:rsid w:val="009275DF"/>
    <w:rsid w:val="009275FE"/>
    <w:rsid w:val="0092778A"/>
    <w:rsid w:val="009303A4"/>
    <w:rsid w:val="00930636"/>
    <w:rsid w:val="0093089F"/>
    <w:rsid w:val="00930FC6"/>
    <w:rsid w:val="00931392"/>
    <w:rsid w:val="00931758"/>
    <w:rsid w:val="00931E92"/>
    <w:rsid w:val="00931EA7"/>
    <w:rsid w:val="00931FF7"/>
    <w:rsid w:val="009324FE"/>
    <w:rsid w:val="009325DF"/>
    <w:rsid w:val="0093261A"/>
    <w:rsid w:val="009329AC"/>
    <w:rsid w:val="00932E9B"/>
    <w:rsid w:val="00933AE4"/>
    <w:rsid w:val="00933C8D"/>
    <w:rsid w:val="00933CB7"/>
    <w:rsid w:val="00933F9F"/>
    <w:rsid w:val="00934252"/>
    <w:rsid w:val="009347BE"/>
    <w:rsid w:val="00934E61"/>
    <w:rsid w:val="00935099"/>
    <w:rsid w:val="00935197"/>
    <w:rsid w:val="0093577E"/>
    <w:rsid w:val="00935A3C"/>
    <w:rsid w:val="00935A5B"/>
    <w:rsid w:val="00935BBB"/>
    <w:rsid w:val="00935EE9"/>
    <w:rsid w:val="00936058"/>
    <w:rsid w:val="00936110"/>
    <w:rsid w:val="0093656D"/>
    <w:rsid w:val="00936835"/>
    <w:rsid w:val="00936AA7"/>
    <w:rsid w:val="00936DB8"/>
    <w:rsid w:val="00937896"/>
    <w:rsid w:val="009400F3"/>
    <w:rsid w:val="0094038E"/>
    <w:rsid w:val="00940473"/>
    <w:rsid w:val="00940E6D"/>
    <w:rsid w:val="00940F0B"/>
    <w:rsid w:val="00941567"/>
    <w:rsid w:val="00941986"/>
    <w:rsid w:val="00941A00"/>
    <w:rsid w:val="00941E70"/>
    <w:rsid w:val="009422AF"/>
    <w:rsid w:val="009431CD"/>
    <w:rsid w:val="0094337D"/>
    <w:rsid w:val="00943BF8"/>
    <w:rsid w:val="00944418"/>
    <w:rsid w:val="00944CAC"/>
    <w:rsid w:val="00944DD9"/>
    <w:rsid w:val="00945209"/>
    <w:rsid w:val="00945F51"/>
    <w:rsid w:val="00946FE6"/>
    <w:rsid w:val="009471B3"/>
    <w:rsid w:val="00947286"/>
    <w:rsid w:val="00947E6B"/>
    <w:rsid w:val="00950178"/>
    <w:rsid w:val="00950351"/>
    <w:rsid w:val="009506B3"/>
    <w:rsid w:val="00950882"/>
    <w:rsid w:val="0095088E"/>
    <w:rsid w:val="00950A3B"/>
    <w:rsid w:val="00950BA5"/>
    <w:rsid w:val="00950DF4"/>
    <w:rsid w:val="00952255"/>
    <w:rsid w:val="00952BD1"/>
    <w:rsid w:val="00952E54"/>
    <w:rsid w:val="00952F01"/>
    <w:rsid w:val="00953159"/>
    <w:rsid w:val="009531ED"/>
    <w:rsid w:val="009533E9"/>
    <w:rsid w:val="00954161"/>
    <w:rsid w:val="00954188"/>
    <w:rsid w:val="00954593"/>
    <w:rsid w:val="00954636"/>
    <w:rsid w:val="009549F8"/>
    <w:rsid w:val="00954C83"/>
    <w:rsid w:val="00955140"/>
    <w:rsid w:val="009551C0"/>
    <w:rsid w:val="009553AF"/>
    <w:rsid w:val="00955577"/>
    <w:rsid w:val="00955FE7"/>
    <w:rsid w:val="00956156"/>
    <w:rsid w:val="009567E2"/>
    <w:rsid w:val="00956958"/>
    <w:rsid w:val="00956DC9"/>
    <w:rsid w:val="009573C0"/>
    <w:rsid w:val="009576FD"/>
    <w:rsid w:val="009577BE"/>
    <w:rsid w:val="00957D7C"/>
    <w:rsid w:val="0096082E"/>
    <w:rsid w:val="00960A4C"/>
    <w:rsid w:val="00960A51"/>
    <w:rsid w:val="00960CD5"/>
    <w:rsid w:val="009615D4"/>
    <w:rsid w:val="00961717"/>
    <w:rsid w:val="00961841"/>
    <w:rsid w:val="00961ED0"/>
    <w:rsid w:val="009620DD"/>
    <w:rsid w:val="00963396"/>
    <w:rsid w:val="00964056"/>
    <w:rsid w:val="0096438B"/>
    <w:rsid w:val="0096454C"/>
    <w:rsid w:val="00965555"/>
    <w:rsid w:val="009659EB"/>
    <w:rsid w:val="009662FC"/>
    <w:rsid w:val="00966301"/>
    <w:rsid w:val="0096643B"/>
    <w:rsid w:val="00966A00"/>
    <w:rsid w:val="00967196"/>
    <w:rsid w:val="00967661"/>
    <w:rsid w:val="0096774F"/>
    <w:rsid w:val="00967870"/>
    <w:rsid w:val="00967F8E"/>
    <w:rsid w:val="00970556"/>
    <w:rsid w:val="009707CA"/>
    <w:rsid w:val="009708FF"/>
    <w:rsid w:val="00970B40"/>
    <w:rsid w:val="00970CA0"/>
    <w:rsid w:val="00970DDA"/>
    <w:rsid w:val="00970F69"/>
    <w:rsid w:val="0097166A"/>
    <w:rsid w:val="00971D23"/>
    <w:rsid w:val="00972545"/>
    <w:rsid w:val="009725F5"/>
    <w:rsid w:val="009726BE"/>
    <w:rsid w:val="00972CD0"/>
    <w:rsid w:val="009730CA"/>
    <w:rsid w:val="00973253"/>
    <w:rsid w:val="009734E1"/>
    <w:rsid w:val="0097378A"/>
    <w:rsid w:val="00973B84"/>
    <w:rsid w:val="00973F08"/>
    <w:rsid w:val="009742D6"/>
    <w:rsid w:val="009746E8"/>
    <w:rsid w:val="00974B21"/>
    <w:rsid w:val="00974FF0"/>
    <w:rsid w:val="00975076"/>
    <w:rsid w:val="00975584"/>
    <w:rsid w:val="00975638"/>
    <w:rsid w:val="009756CC"/>
    <w:rsid w:val="009759C0"/>
    <w:rsid w:val="009759DF"/>
    <w:rsid w:val="0097629A"/>
    <w:rsid w:val="0097663A"/>
    <w:rsid w:val="0097681D"/>
    <w:rsid w:val="00976B96"/>
    <w:rsid w:val="00976ECA"/>
    <w:rsid w:val="00977255"/>
    <w:rsid w:val="009772A7"/>
    <w:rsid w:val="009775C8"/>
    <w:rsid w:val="009778AB"/>
    <w:rsid w:val="00977BB6"/>
    <w:rsid w:val="00977EE3"/>
    <w:rsid w:val="0098007F"/>
    <w:rsid w:val="0098010F"/>
    <w:rsid w:val="009807A7"/>
    <w:rsid w:val="00980843"/>
    <w:rsid w:val="009810AE"/>
    <w:rsid w:val="0098120F"/>
    <w:rsid w:val="009812EA"/>
    <w:rsid w:val="009816CB"/>
    <w:rsid w:val="0098195B"/>
    <w:rsid w:val="00982886"/>
    <w:rsid w:val="009831BA"/>
    <w:rsid w:val="009832A1"/>
    <w:rsid w:val="00983446"/>
    <w:rsid w:val="009837A2"/>
    <w:rsid w:val="00983E1A"/>
    <w:rsid w:val="009845C3"/>
    <w:rsid w:val="0098466E"/>
    <w:rsid w:val="009848B8"/>
    <w:rsid w:val="0098492A"/>
    <w:rsid w:val="009849E2"/>
    <w:rsid w:val="00984A96"/>
    <w:rsid w:val="00984C42"/>
    <w:rsid w:val="00984C73"/>
    <w:rsid w:val="00984F63"/>
    <w:rsid w:val="009856C8"/>
    <w:rsid w:val="00985C23"/>
    <w:rsid w:val="00985E43"/>
    <w:rsid w:val="00985ED7"/>
    <w:rsid w:val="0098604B"/>
    <w:rsid w:val="00986294"/>
    <w:rsid w:val="00986397"/>
    <w:rsid w:val="0098644B"/>
    <w:rsid w:val="0098705F"/>
    <w:rsid w:val="00987529"/>
    <w:rsid w:val="00987F5F"/>
    <w:rsid w:val="0099005E"/>
    <w:rsid w:val="0099065F"/>
    <w:rsid w:val="009906F0"/>
    <w:rsid w:val="00990AE9"/>
    <w:rsid w:val="00990B9B"/>
    <w:rsid w:val="00990CFD"/>
    <w:rsid w:val="00991646"/>
    <w:rsid w:val="00991ABD"/>
    <w:rsid w:val="00991C7D"/>
    <w:rsid w:val="009920E5"/>
    <w:rsid w:val="00992401"/>
    <w:rsid w:val="0099272D"/>
    <w:rsid w:val="00992B9D"/>
    <w:rsid w:val="00992F1A"/>
    <w:rsid w:val="00993154"/>
    <w:rsid w:val="009933FC"/>
    <w:rsid w:val="009936A6"/>
    <w:rsid w:val="00994087"/>
    <w:rsid w:val="00994185"/>
    <w:rsid w:val="009942BE"/>
    <w:rsid w:val="00994540"/>
    <w:rsid w:val="0099478D"/>
    <w:rsid w:val="00994894"/>
    <w:rsid w:val="00994A10"/>
    <w:rsid w:val="00994F6A"/>
    <w:rsid w:val="00995267"/>
    <w:rsid w:val="00995446"/>
    <w:rsid w:val="00995595"/>
    <w:rsid w:val="009956FB"/>
    <w:rsid w:val="009957C8"/>
    <w:rsid w:val="009958C8"/>
    <w:rsid w:val="00995E08"/>
    <w:rsid w:val="00995E78"/>
    <w:rsid w:val="00995F52"/>
    <w:rsid w:val="00996564"/>
    <w:rsid w:val="009965A8"/>
    <w:rsid w:val="009966F5"/>
    <w:rsid w:val="00996850"/>
    <w:rsid w:val="0099689D"/>
    <w:rsid w:val="00996A07"/>
    <w:rsid w:val="00997024"/>
    <w:rsid w:val="009976A1"/>
    <w:rsid w:val="009976E3"/>
    <w:rsid w:val="00997C10"/>
    <w:rsid w:val="009A0518"/>
    <w:rsid w:val="009A05B9"/>
    <w:rsid w:val="009A08C5"/>
    <w:rsid w:val="009A1544"/>
    <w:rsid w:val="009A15BB"/>
    <w:rsid w:val="009A1A13"/>
    <w:rsid w:val="009A1B05"/>
    <w:rsid w:val="009A1D66"/>
    <w:rsid w:val="009A1DC2"/>
    <w:rsid w:val="009A2005"/>
    <w:rsid w:val="009A2015"/>
    <w:rsid w:val="009A20EF"/>
    <w:rsid w:val="009A22A4"/>
    <w:rsid w:val="009A233D"/>
    <w:rsid w:val="009A2A18"/>
    <w:rsid w:val="009A2CB7"/>
    <w:rsid w:val="009A3D33"/>
    <w:rsid w:val="009A3D9F"/>
    <w:rsid w:val="009A3F24"/>
    <w:rsid w:val="009A4045"/>
    <w:rsid w:val="009A40B5"/>
    <w:rsid w:val="009A419B"/>
    <w:rsid w:val="009A4426"/>
    <w:rsid w:val="009A4635"/>
    <w:rsid w:val="009A4824"/>
    <w:rsid w:val="009A4941"/>
    <w:rsid w:val="009A49CE"/>
    <w:rsid w:val="009A4D0A"/>
    <w:rsid w:val="009A4DD1"/>
    <w:rsid w:val="009A4F1A"/>
    <w:rsid w:val="009A5C7A"/>
    <w:rsid w:val="009A6031"/>
    <w:rsid w:val="009A604D"/>
    <w:rsid w:val="009A62BB"/>
    <w:rsid w:val="009A6B74"/>
    <w:rsid w:val="009A6D71"/>
    <w:rsid w:val="009A709B"/>
    <w:rsid w:val="009A73BC"/>
    <w:rsid w:val="009A7DB4"/>
    <w:rsid w:val="009A7E14"/>
    <w:rsid w:val="009A7F2E"/>
    <w:rsid w:val="009B01D3"/>
    <w:rsid w:val="009B035B"/>
    <w:rsid w:val="009B0433"/>
    <w:rsid w:val="009B04A8"/>
    <w:rsid w:val="009B0ED6"/>
    <w:rsid w:val="009B110D"/>
    <w:rsid w:val="009B14C0"/>
    <w:rsid w:val="009B16FD"/>
    <w:rsid w:val="009B1BD7"/>
    <w:rsid w:val="009B1D31"/>
    <w:rsid w:val="009B2447"/>
    <w:rsid w:val="009B34D4"/>
    <w:rsid w:val="009B3563"/>
    <w:rsid w:val="009B3581"/>
    <w:rsid w:val="009B3660"/>
    <w:rsid w:val="009B3B0D"/>
    <w:rsid w:val="009B425F"/>
    <w:rsid w:val="009B4452"/>
    <w:rsid w:val="009B4836"/>
    <w:rsid w:val="009B48D6"/>
    <w:rsid w:val="009B4DE8"/>
    <w:rsid w:val="009B521D"/>
    <w:rsid w:val="009B52D4"/>
    <w:rsid w:val="009B550F"/>
    <w:rsid w:val="009B5567"/>
    <w:rsid w:val="009B601F"/>
    <w:rsid w:val="009B6308"/>
    <w:rsid w:val="009B6331"/>
    <w:rsid w:val="009B67C6"/>
    <w:rsid w:val="009B6ACA"/>
    <w:rsid w:val="009B6B4E"/>
    <w:rsid w:val="009B6E05"/>
    <w:rsid w:val="009B7212"/>
    <w:rsid w:val="009B778D"/>
    <w:rsid w:val="009B7A6F"/>
    <w:rsid w:val="009B7A83"/>
    <w:rsid w:val="009C0467"/>
    <w:rsid w:val="009C08C4"/>
    <w:rsid w:val="009C0914"/>
    <w:rsid w:val="009C092A"/>
    <w:rsid w:val="009C0AB2"/>
    <w:rsid w:val="009C0F8F"/>
    <w:rsid w:val="009C11CB"/>
    <w:rsid w:val="009C1327"/>
    <w:rsid w:val="009C13C1"/>
    <w:rsid w:val="009C1DE2"/>
    <w:rsid w:val="009C1F2B"/>
    <w:rsid w:val="009C1FE1"/>
    <w:rsid w:val="009C22A3"/>
    <w:rsid w:val="009C2936"/>
    <w:rsid w:val="009C293C"/>
    <w:rsid w:val="009C2BA6"/>
    <w:rsid w:val="009C2DC6"/>
    <w:rsid w:val="009C3200"/>
    <w:rsid w:val="009C3422"/>
    <w:rsid w:val="009C3B62"/>
    <w:rsid w:val="009C3BB1"/>
    <w:rsid w:val="009C45D1"/>
    <w:rsid w:val="009C479B"/>
    <w:rsid w:val="009C4895"/>
    <w:rsid w:val="009C537A"/>
    <w:rsid w:val="009C53BA"/>
    <w:rsid w:val="009C5668"/>
    <w:rsid w:val="009C58F0"/>
    <w:rsid w:val="009C63B1"/>
    <w:rsid w:val="009C641B"/>
    <w:rsid w:val="009C669E"/>
    <w:rsid w:val="009C6D49"/>
    <w:rsid w:val="009C780B"/>
    <w:rsid w:val="009C7E0D"/>
    <w:rsid w:val="009D05E0"/>
    <w:rsid w:val="009D05EA"/>
    <w:rsid w:val="009D09E7"/>
    <w:rsid w:val="009D0D6D"/>
    <w:rsid w:val="009D0EA5"/>
    <w:rsid w:val="009D1315"/>
    <w:rsid w:val="009D17D5"/>
    <w:rsid w:val="009D18CF"/>
    <w:rsid w:val="009D1A72"/>
    <w:rsid w:val="009D1BD5"/>
    <w:rsid w:val="009D1FC3"/>
    <w:rsid w:val="009D2534"/>
    <w:rsid w:val="009D27E7"/>
    <w:rsid w:val="009D2B06"/>
    <w:rsid w:val="009D2E0D"/>
    <w:rsid w:val="009D2E8A"/>
    <w:rsid w:val="009D2EAF"/>
    <w:rsid w:val="009D2FA7"/>
    <w:rsid w:val="009D35FE"/>
    <w:rsid w:val="009D3A77"/>
    <w:rsid w:val="009D4410"/>
    <w:rsid w:val="009D48F2"/>
    <w:rsid w:val="009D4EF4"/>
    <w:rsid w:val="009D5142"/>
    <w:rsid w:val="009D5B30"/>
    <w:rsid w:val="009D61F2"/>
    <w:rsid w:val="009D6A24"/>
    <w:rsid w:val="009D6A58"/>
    <w:rsid w:val="009D703B"/>
    <w:rsid w:val="009D76F3"/>
    <w:rsid w:val="009D7A34"/>
    <w:rsid w:val="009D7A42"/>
    <w:rsid w:val="009D7EE1"/>
    <w:rsid w:val="009E03CD"/>
    <w:rsid w:val="009E0927"/>
    <w:rsid w:val="009E0952"/>
    <w:rsid w:val="009E0B67"/>
    <w:rsid w:val="009E0C1F"/>
    <w:rsid w:val="009E0DB3"/>
    <w:rsid w:val="009E0DC6"/>
    <w:rsid w:val="009E10AF"/>
    <w:rsid w:val="009E19A6"/>
    <w:rsid w:val="009E1B5E"/>
    <w:rsid w:val="009E2379"/>
    <w:rsid w:val="009E260C"/>
    <w:rsid w:val="009E263B"/>
    <w:rsid w:val="009E30FD"/>
    <w:rsid w:val="009E3469"/>
    <w:rsid w:val="009E380A"/>
    <w:rsid w:val="009E3EC0"/>
    <w:rsid w:val="009E4141"/>
    <w:rsid w:val="009E441B"/>
    <w:rsid w:val="009E46B7"/>
    <w:rsid w:val="009E4E08"/>
    <w:rsid w:val="009E4EF1"/>
    <w:rsid w:val="009E4FA2"/>
    <w:rsid w:val="009E510D"/>
    <w:rsid w:val="009E569B"/>
    <w:rsid w:val="009E5D4E"/>
    <w:rsid w:val="009E6180"/>
    <w:rsid w:val="009E647E"/>
    <w:rsid w:val="009E6804"/>
    <w:rsid w:val="009E70BD"/>
    <w:rsid w:val="009E71B6"/>
    <w:rsid w:val="009E783D"/>
    <w:rsid w:val="009E791B"/>
    <w:rsid w:val="009E7B85"/>
    <w:rsid w:val="009E7BB3"/>
    <w:rsid w:val="009F05BE"/>
    <w:rsid w:val="009F09F7"/>
    <w:rsid w:val="009F0A54"/>
    <w:rsid w:val="009F145A"/>
    <w:rsid w:val="009F1756"/>
    <w:rsid w:val="009F1C06"/>
    <w:rsid w:val="009F24A6"/>
    <w:rsid w:val="009F2B1B"/>
    <w:rsid w:val="009F2D6A"/>
    <w:rsid w:val="009F3953"/>
    <w:rsid w:val="009F395C"/>
    <w:rsid w:val="009F3B18"/>
    <w:rsid w:val="009F3FF0"/>
    <w:rsid w:val="009F411A"/>
    <w:rsid w:val="009F44FC"/>
    <w:rsid w:val="009F48E9"/>
    <w:rsid w:val="009F4CB8"/>
    <w:rsid w:val="009F4D17"/>
    <w:rsid w:val="009F4DE4"/>
    <w:rsid w:val="009F4F3F"/>
    <w:rsid w:val="009F5142"/>
    <w:rsid w:val="009F51B9"/>
    <w:rsid w:val="009F563D"/>
    <w:rsid w:val="009F59B9"/>
    <w:rsid w:val="009F655C"/>
    <w:rsid w:val="009F68E0"/>
    <w:rsid w:val="009F6A97"/>
    <w:rsid w:val="009F6B38"/>
    <w:rsid w:val="009F6F9E"/>
    <w:rsid w:val="009F70B1"/>
    <w:rsid w:val="00A00155"/>
    <w:rsid w:val="00A0019C"/>
    <w:rsid w:val="00A00DAA"/>
    <w:rsid w:val="00A00F96"/>
    <w:rsid w:val="00A01108"/>
    <w:rsid w:val="00A012E5"/>
    <w:rsid w:val="00A016AB"/>
    <w:rsid w:val="00A0195F"/>
    <w:rsid w:val="00A01986"/>
    <w:rsid w:val="00A019EA"/>
    <w:rsid w:val="00A02341"/>
    <w:rsid w:val="00A029AF"/>
    <w:rsid w:val="00A029DE"/>
    <w:rsid w:val="00A035AA"/>
    <w:rsid w:val="00A037E6"/>
    <w:rsid w:val="00A03884"/>
    <w:rsid w:val="00A03D1B"/>
    <w:rsid w:val="00A040AA"/>
    <w:rsid w:val="00A040BB"/>
    <w:rsid w:val="00A043FD"/>
    <w:rsid w:val="00A04EDE"/>
    <w:rsid w:val="00A051CE"/>
    <w:rsid w:val="00A051D4"/>
    <w:rsid w:val="00A0521D"/>
    <w:rsid w:val="00A05439"/>
    <w:rsid w:val="00A057D1"/>
    <w:rsid w:val="00A05852"/>
    <w:rsid w:val="00A05AD1"/>
    <w:rsid w:val="00A061AC"/>
    <w:rsid w:val="00A06620"/>
    <w:rsid w:val="00A06CBE"/>
    <w:rsid w:val="00A072A8"/>
    <w:rsid w:val="00A072E9"/>
    <w:rsid w:val="00A073DC"/>
    <w:rsid w:val="00A07442"/>
    <w:rsid w:val="00A0752C"/>
    <w:rsid w:val="00A07558"/>
    <w:rsid w:val="00A10019"/>
    <w:rsid w:val="00A1033E"/>
    <w:rsid w:val="00A103D5"/>
    <w:rsid w:val="00A105ED"/>
    <w:rsid w:val="00A1113F"/>
    <w:rsid w:val="00A1118F"/>
    <w:rsid w:val="00A113C8"/>
    <w:rsid w:val="00A11589"/>
    <w:rsid w:val="00A11658"/>
    <w:rsid w:val="00A11A57"/>
    <w:rsid w:val="00A11D11"/>
    <w:rsid w:val="00A125C3"/>
    <w:rsid w:val="00A12876"/>
    <w:rsid w:val="00A12D40"/>
    <w:rsid w:val="00A12E19"/>
    <w:rsid w:val="00A132CF"/>
    <w:rsid w:val="00A1370F"/>
    <w:rsid w:val="00A13C93"/>
    <w:rsid w:val="00A13E14"/>
    <w:rsid w:val="00A13E9C"/>
    <w:rsid w:val="00A14295"/>
    <w:rsid w:val="00A1457B"/>
    <w:rsid w:val="00A14617"/>
    <w:rsid w:val="00A149BB"/>
    <w:rsid w:val="00A1500D"/>
    <w:rsid w:val="00A1619A"/>
    <w:rsid w:val="00A166BE"/>
    <w:rsid w:val="00A1678D"/>
    <w:rsid w:val="00A1778F"/>
    <w:rsid w:val="00A177D6"/>
    <w:rsid w:val="00A1795F"/>
    <w:rsid w:val="00A17E04"/>
    <w:rsid w:val="00A20821"/>
    <w:rsid w:val="00A2092D"/>
    <w:rsid w:val="00A20FF7"/>
    <w:rsid w:val="00A21563"/>
    <w:rsid w:val="00A21A4A"/>
    <w:rsid w:val="00A21C24"/>
    <w:rsid w:val="00A21CA0"/>
    <w:rsid w:val="00A21FEA"/>
    <w:rsid w:val="00A221B5"/>
    <w:rsid w:val="00A22392"/>
    <w:rsid w:val="00A223C1"/>
    <w:rsid w:val="00A2253E"/>
    <w:rsid w:val="00A22C2C"/>
    <w:rsid w:val="00A22CA2"/>
    <w:rsid w:val="00A22CE6"/>
    <w:rsid w:val="00A22DC6"/>
    <w:rsid w:val="00A231D8"/>
    <w:rsid w:val="00A234FD"/>
    <w:rsid w:val="00A2372F"/>
    <w:rsid w:val="00A2378E"/>
    <w:rsid w:val="00A2384A"/>
    <w:rsid w:val="00A23A0E"/>
    <w:rsid w:val="00A23EAD"/>
    <w:rsid w:val="00A23FF1"/>
    <w:rsid w:val="00A241B7"/>
    <w:rsid w:val="00A2429F"/>
    <w:rsid w:val="00A24BB2"/>
    <w:rsid w:val="00A24DD5"/>
    <w:rsid w:val="00A24FA3"/>
    <w:rsid w:val="00A2505A"/>
    <w:rsid w:val="00A251BC"/>
    <w:rsid w:val="00A25671"/>
    <w:rsid w:val="00A25A33"/>
    <w:rsid w:val="00A25ECC"/>
    <w:rsid w:val="00A2658C"/>
    <w:rsid w:val="00A26A4D"/>
    <w:rsid w:val="00A27110"/>
    <w:rsid w:val="00A2748A"/>
    <w:rsid w:val="00A2766B"/>
    <w:rsid w:val="00A27B8D"/>
    <w:rsid w:val="00A27BD1"/>
    <w:rsid w:val="00A3057A"/>
    <w:rsid w:val="00A306A1"/>
    <w:rsid w:val="00A30A51"/>
    <w:rsid w:val="00A30BDA"/>
    <w:rsid w:val="00A30CAD"/>
    <w:rsid w:val="00A30D29"/>
    <w:rsid w:val="00A31103"/>
    <w:rsid w:val="00A31274"/>
    <w:rsid w:val="00A3176F"/>
    <w:rsid w:val="00A31A04"/>
    <w:rsid w:val="00A31B7A"/>
    <w:rsid w:val="00A32932"/>
    <w:rsid w:val="00A32DFB"/>
    <w:rsid w:val="00A3309C"/>
    <w:rsid w:val="00A33520"/>
    <w:rsid w:val="00A33570"/>
    <w:rsid w:val="00A338E0"/>
    <w:rsid w:val="00A33DFD"/>
    <w:rsid w:val="00A33EDD"/>
    <w:rsid w:val="00A343C2"/>
    <w:rsid w:val="00A345E7"/>
    <w:rsid w:val="00A34B90"/>
    <w:rsid w:val="00A34D92"/>
    <w:rsid w:val="00A35417"/>
    <w:rsid w:val="00A35635"/>
    <w:rsid w:val="00A358E2"/>
    <w:rsid w:val="00A35958"/>
    <w:rsid w:val="00A35D1F"/>
    <w:rsid w:val="00A35D80"/>
    <w:rsid w:val="00A35F6B"/>
    <w:rsid w:val="00A36055"/>
    <w:rsid w:val="00A3611A"/>
    <w:rsid w:val="00A36121"/>
    <w:rsid w:val="00A363A9"/>
    <w:rsid w:val="00A36421"/>
    <w:rsid w:val="00A3662F"/>
    <w:rsid w:val="00A36A0C"/>
    <w:rsid w:val="00A374E1"/>
    <w:rsid w:val="00A3776F"/>
    <w:rsid w:val="00A378A0"/>
    <w:rsid w:val="00A37A74"/>
    <w:rsid w:val="00A37DBD"/>
    <w:rsid w:val="00A40080"/>
    <w:rsid w:val="00A41525"/>
    <w:rsid w:val="00A418A9"/>
    <w:rsid w:val="00A41C3A"/>
    <w:rsid w:val="00A42124"/>
    <w:rsid w:val="00A42391"/>
    <w:rsid w:val="00A42EBC"/>
    <w:rsid w:val="00A4300E"/>
    <w:rsid w:val="00A4369F"/>
    <w:rsid w:val="00A43C21"/>
    <w:rsid w:val="00A43C9C"/>
    <w:rsid w:val="00A441C0"/>
    <w:rsid w:val="00A447E5"/>
    <w:rsid w:val="00A44C0B"/>
    <w:rsid w:val="00A450B6"/>
    <w:rsid w:val="00A45297"/>
    <w:rsid w:val="00A45312"/>
    <w:rsid w:val="00A45F63"/>
    <w:rsid w:val="00A46065"/>
    <w:rsid w:val="00A461BA"/>
    <w:rsid w:val="00A46ED6"/>
    <w:rsid w:val="00A47213"/>
    <w:rsid w:val="00A4769E"/>
    <w:rsid w:val="00A47B14"/>
    <w:rsid w:val="00A50072"/>
    <w:rsid w:val="00A503BA"/>
    <w:rsid w:val="00A5064A"/>
    <w:rsid w:val="00A50EC2"/>
    <w:rsid w:val="00A5133F"/>
    <w:rsid w:val="00A513E4"/>
    <w:rsid w:val="00A51AC6"/>
    <w:rsid w:val="00A51BFD"/>
    <w:rsid w:val="00A51F6A"/>
    <w:rsid w:val="00A527FB"/>
    <w:rsid w:val="00A52942"/>
    <w:rsid w:val="00A52EE5"/>
    <w:rsid w:val="00A534B2"/>
    <w:rsid w:val="00A53727"/>
    <w:rsid w:val="00A5399F"/>
    <w:rsid w:val="00A53B31"/>
    <w:rsid w:val="00A53C00"/>
    <w:rsid w:val="00A53F20"/>
    <w:rsid w:val="00A5442E"/>
    <w:rsid w:val="00A54449"/>
    <w:rsid w:val="00A5459B"/>
    <w:rsid w:val="00A548FC"/>
    <w:rsid w:val="00A54B4A"/>
    <w:rsid w:val="00A55178"/>
    <w:rsid w:val="00A554E6"/>
    <w:rsid w:val="00A55C06"/>
    <w:rsid w:val="00A56530"/>
    <w:rsid w:val="00A56556"/>
    <w:rsid w:val="00A566F3"/>
    <w:rsid w:val="00A56ADF"/>
    <w:rsid w:val="00A5711F"/>
    <w:rsid w:val="00A572EF"/>
    <w:rsid w:val="00A576DD"/>
    <w:rsid w:val="00A5777D"/>
    <w:rsid w:val="00A57CAE"/>
    <w:rsid w:val="00A57D5E"/>
    <w:rsid w:val="00A602FE"/>
    <w:rsid w:val="00A60482"/>
    <w:rsid w:val="00A606FF"/>
    <w:rsid w:val="00A60741"/>
    <w:rsid w:val="00A60836"/>
    <w:rsid w:val="00A60A76"/>
    <w:rsid w:val="00A60BFD"/>
    <w:rsid w:val="00A60F3D"/>
    <w:rsid w:val="00A60FAB"/>
    <w:rsid w:val="00A60FF9"/>
    <w:rsid w:val="00A6135D"/>
    <w:rsid w:val="00A61468"/>
    <w:rsid w:val="00A61490"/>
    <w:rsid w:val="00A62BEE"/>
    <w:rsid w:val="00A62D74"/>
    <w:rsid w:val="00A62D76"/>
    <w:rsid w:val="00A62DC5"/>
    <w:rsid w:val="00A62F47"/>
    <w:rsid w:val="00A63148"/>
    <w:rsid w:val="00A63535"/>
    <w:rsid w:val="00A639BB"/>
    <w:rsid w:val="00A63C02"/>
    <w:rsid w:val="00A63E00"/>
    <w:rsid w:val="00A640B7"/>
    <w:rsid w:val="00A643D7"/>
    <w:rsid w:val="00A64538"/>
    <w:rsid w:val="00A6468F"/>
    <w:rsid w:val="00A65543"/>
    <w:rsid w:val="00A65BF3"/>
    <w:rsid w:val="00A65CEB"/>
    <w:rsid w:val="00A65E56"/>
    <w:rsid w:val="00A65ED9"/>
    <w:rsid w:val="00A66146"/>
    <w:rsid w:val="00A66822"/>
    <w:rsid w:val="00A66898"/>
    <w:rsid w:val="00A6718B"/>
    <w:rsid w:val="00A6718E"/>
    <w:rsid w:val="00A6728E"/>
    <w:rsid w:val="00A67483"/>
    <w:rsid w:val="00A674B1"/>
    <w:rsid w:val="00A7070A"/>
    <w:rsid w:val="00A70766"/>
    <w:rsid w:val="00A70E58"/>
    <w:rsid w:val="00A712C5"/>
    <w:rsid w:val="00A7132E"/>
    <w:rsid w:val="00A7133C"/>
    <w:rsid w:val="00A7172A"/>
    <w:rsid w:val="00A72169"/>
    <w:rsid w:val="00A724A3"/>
    <w:rsid w:val="00A7289D"/>
    <w:rsid w:val="00A729DA"/>
    <w:rsid w:val="00A72A0F"/>
    <w:rsid w:val="00A72E8A"/>
    <w:rsid w:val="00A72FB8"/>
    <w:rsid w:val="00A73170"/>
    <w:rsid w:val="00A733F4"/>
    <w:rsid w:val="00A73410"/>
    <w:rsid w:val="00A73677"/>
    <w:rsid w:val="00A748CD"/>
    <w:rsid w:val="00A749A0"/>
    <w:rsid w:val="00A75111"/>
    <w:rsid w:val="00A75125"/>
    <w:rsid w:val="00A75182"/>
    <w:rsid w:val="00A751E8"/>
    <w:rsid w:val="00A75509"/>
    <w:rsid w:val="00A75609"/>
    <w:rsid w:val="00A757CD"/>
    <w:rsid w:val="00A75A2F"/>
    <w:rsid w:val="00A768B0"/>
    <w:rsid w:val="00A76A42"/>
    <w:rsid w:val="00A76BCC"/>
    <w:rsid w:val="00A76F6A"/>
    <w:rsid w:val="00A76FFA"/>
    <w:rsid w:val="00A77282"/>
    <w:rsid w:val="00A7742B"/>
    <w:rsid w:val="00A77590"/>
    <w:rsid w:val="00A7771D"/>
    <w:rsid w:val="00A77965"/>
    <w:rsid w:val="00A77A64"/>
    <w:rsid w:val="00A77DCA"/>
    <w:rsid w:val="00A77DDC"/>
    <w:rsid w:val="00A77E6A"/>
    <w:rsid w:val="00A803D7"/>
    <w:rsid w:val="00A8074F"/>
    <w:rsid w:val="00A80D28"/>
    <w:rsid w:val="00A80E3D"/>
    <w:rsid w:val="00A8124B"/>
    <w:rsid w:val="00A81620"/>
    <w:rsid w:val="00A81DD1"/>
    <w:rsid w:val="00A81DFE"/>
    <w:rsid w:val="00A81E67"/>
    <w:rsid w:val="00A828DF"/>
    <w:rsid w:val="00A82C17"/>
    <w:rsid w:val="00A82C85"/>
    <w:rsid w:val="00A82E25"/>
    <w:rsid w:val="00A82F3F"/>
    <w:rsid w:val="00A8303D"/>
    <w:rsid w:val="00A83293"/>
    <w:rsid w:val="00A835FD"/>
    <w:rsid w:val="00A83B5F"/>
    <w:rsid w:val="00A83C03"/>
    <w:rsid w:val="00A83D00"/>
    <w:rsid w:val="00A83D39"/>
    <w:rsid w:val="00A83E0B"/>
    <w:rsid w:val="00A83F26"/>
    <w:rsid w:val="00A84009"/>
    <w:rsid w:val="00A8404F"/>
    <w:rsid w:val="00A843DB"/>
    <w:rsid w:val="00A844A6"/>
    <w:rsid w:val="00A844F1"/>
    <w:rsid w:val="00A84B98"/>
    <w:rsid w:val="00A85480"/>
    <w:rsid w:val="00A858CD"/>
    <w:rsid w:val="00A85CF8"/>
    <w:rsid w:val="00A85FCF"/>
    <w:rsid w:val="00A862B8"/>
    <w:rsid w:val="00A86321"/>
    <w:rsid w:val="00A868A7"/>
    <w:rsid w:val="00A86E59"/>
    <w:rsid w:val="00A873BE"/>
    <w:rsid w:val="00A87437"/>
    <w:rsid w:val="00A875E8"/>
    <w:rsid w:val="00A87942"/>
    <w:rsid w:val="00A87ACB"/>
    <w:rsid w:val="00A87B8A"/>
    <w:rsid w:val="00A87D70"/>
    <w:rsid w:val="00A87EF4"/>
    <w:rsid w:val="00A902F7"/>
    <w:rsid w:val="00A905E6"/>
    <w:rsid w:val="00A90B59"/>
    <w:rsid w:val="00A90E29"/>
    <w:rsid w:val="00A90F4D"/>
    <w:rsid w:val="00A910FB"/>
    <w:rsid w:val="00A911EB"/>
    <w:rsid w:val="00A912FB"/>
    <w:rsid w:val="00A916C0"/>
    <w:rsid w:val="00A91BAD"/>
    <w:rsid w:val="00A91CAD"/>
    <w:rsid w:val="00A92343"/>
    <w:rsid w:val="00A928F1"/>
    <w:rsid w:val="00A930E8"/>
    <w:rsid w:val="00A9362F"/>
    <w:rsid w:val="00A93B2D"/>
    <w:rsid w:val="00A93C81"/>
    <w:rsid w:val="00A93E81"/>
    <w:rsid w:val="00A9444A"/>
    <w:rsid w:val="00A94D84"/>
    <w:rsid w:val="00A9566D"/>
    <w:rsid w:val="00A95814"/>
    <w:rsid w:val="00A95B47"/>
    <w:rsid w:val="00A95FB6"/>
    <w:rsid w:val="00A960AF"/>
    <w:rsid w:val="00A960E9"/>
    <w:rsid w:val="00A963D7"/>
    <w:rsid w:val="00A965D3"/>
    <w:rsid w:val="00A96907"/>
    <w:rsid w:val="00A9752D"/>
    <w:rsid w:val="00A97AC9"/>
    <w:rsid w:val="00A97C2E"/>
    <w:rsid w:val="00AA00DA"/>
    <w:rsid w:val="00AA02C9"/>
    <w:rsid w:val="00AA037B"/>
    <w:rsid w:val="00AA059B"/>
    <w:rsid w:val="00AA0A8D"/>
    <w:rsid w:val="00AA0AD1"/>
    <w:rsid w:val="00AA0DE2"/>
    <w:rsid w:val="00AA0DE3"/>
    <w:rsid w:val="00AA0EB2"/>
    <w:rsid w:val="00AA12D7"/>
    <w:rsid w:val="00AA142E"/>
    <w:rsid w:val="00AA1506"/>
    <w:rsid w:val="00AA197D"/>
    <w:rsid w:val="00AA1A3F"/>
    <w:rsid w:val="00AA1D5E"/>
    <w:rsid w:val="00AA21AD"/>
    <w:rsid w:val="00AA2CF8"/>
    <w:rsid w:val="00AA2E20"/>
    <w:rsid w:val="00AA2F6B"/>
    <w:rsid w:val="00AA32CF"/>
    <w:rsid w:val="00AA3370"/>
    <w:rsid w:val="00AA34B7"/>
    <w:rsid w:val="00AA36EC"/>
    <w:rsid w:val="00AA3919"/>
    <w:rsid w:val="00AA3F65"/>
    <w:rsid w:val="00AA4669"/>
    <w:rsid w:val="00AA4991"/>
    <w:rsid w:val="00AA49DC"/>
    <w:rsid w:val="00AA4B52"/>
    <w:rsid w:val="00AA4C05"/>
    <w:rsid w:val="00AA59D2"/>
    <w:rsid w:val="00AA5D4F"/>
    <w:rsid w:val="00AA6DF3"/>
    <w:rsid w:val="00AA74B3"/>
    <w:rsid w:val="00AA7710"/>
    <w:rsid w:val="00AA78D0"/>
    <w:rsid w:val="00AA799C"/>
    <w:rsid w:val="00AA7DEF"/>
    <w:rsid w:val="00AB071C"/>
    <w:rsid w:val="00AB0FF4"/>
    <w:rsid w:val="00AB13C0"/>
    <w:rsid w:val="00AB14E2"/>
    <w:rsid w:val="00AB19C7"/>
    <w:rsid w:val="00AB20B5"/>
    <w:rsid w:val="00AB21E8"/>
    <w:rsid w:val="00AB246E"/>
    <w:rsid w:val="00AB2537"/>
    <w:rsid w:val="00AB25B1"/>
    <w:rsid w:val="00AB27B7"/>
    <w:rsid w:val="00AB27C3"/>
    <w:rsid w:val="00AB32F1"/>
    <w:rsid w:val="00AB3D2F"/>
    <w:rsid w:val="00AB3F12"/>
    <w:rsid w:val="00AB424B"/>
    <w:rsid w:val="00AB43ED"/>
    <w:rsid w:val="00AB4D6D"/>
    <w:rsid w:val="00AB4F12"/>
    <w:rsid w:val="00AB50B9"/>
    <w:rsid w:val="00AB53AA"/>
    <w:rsid w:val="00AB55D1"/>
    <w:rsid w:val="00AB564E"/>
    <w:rsid w:val="00AB5D0E"/>
    <w:rsid w:val="00AB5E5A"/>
    <w:rsid w:val="00AB67A6"/>
    <w:rsid w:val="00AB6D2B"/>
    <w:rsid w:val="00AB6FCF"/>
    <w:rsid w:val="00AB764C"/>
    <w:rsid w:val="00AB7978"/>
    <w:rsid w:val="00AC0227"/>
    <w:rsid w:val="00AC0344"/>
    <w:rsid w:val="00AC0606"/>
    <w:rsid w:val="00AC068B"/>
    <w:rsid w:val="00AC0C99"/>
    <w:rsid w:val="00AC1029"/>
    <w:rsid w:val="00AC125C"/>
    <w:rsid w:val="00AC12CA"/>
    <w:rsid w:val="00AC1448"/>
    <w:rsid w:val="00AC15AC"/>
    <w:rsid w:val="00AC16C6"/>
    <w:rsid w:val="00AC1B0A"/>
    <w:rsid w:val="00AC1CD3"/>
    <w:rsid w:val="00AC22C0"/>
    <w:rsid w:val="00AC23B4"/>
    <w:rsid w:val="00AC24B4"/>
    <w:rsid w:val="00AC25F5"/>
    <w:rsid w:val="00AC29C2"/>
    <w:rsid w:val="00AC2D38"/>
    <w:rsid w:val="00AC2F17"/>
    <w:rsid w:val="00AC2F31"/>
    <w:rsid w:val="00AC3057"/>
    <w:rsid w:val="00AC350E"/>
    <w:rsid w:val="00AC3FA8"/>
    <w:rsid w:val="00AC41E6"/>
    <w:rsid w:val="00AC49C1"/>
    <w:rsid w:val="00AC4C30"/>
    <w:rsid w:val="00AC4FC0"/>
    <w:rsid w:val="00AC5655"/>
    <w:rsid w:val="00AC56BD"/>
    <w:rsid w:val="00AC6386"/>
    <w:rsid w:val="00AC69F1"/>
    <w:rsid w:val="00AC6BC2"/>
    <w:rsid w:val="00AC6E54"/>
    <w:rsid w:val="00AC6FE9"/>
    <w:rsid w:val="00AC714F"/>
    <w:rsid w:val="00AC7203"/>
    <w:rsid w:val="00AC736F"/>
    <w:rsid w:val="00AC7B16"/>
    <w:rsid w:val="00AC7C6F"/>
    <w:rsid w:val="00AC7C99"/>
    <w:rsid w:val="00AD02E8"/>
    <w:rsid w:val="00AD0478"/>
    <w:rsid w:val="00AD058D"/>
    <w:rsid w:val="00AD07E5"/>
    <w:rsid w:val="00AD09F5"/>
    <w:rsid w:val="00AD0A08"/>
    <w:rsid w:val="00AD10AC"/>
    <w:rsid w:val="00AD121F"/>
    <w:rsid w:val="00AD13CD"/>
    <w:rsid w:val="00AD1651"/>
    <w:rsid w:val="00AD19D0"/>
    <w:rsid w:val="00AD1C5A"/>
    <w:rsid w:val="00AD1F23"/>
    <w:rsid w:val="00AD1F8F"/>
    <w:rsid w:val="00AD216A"/>
    <w:rsid w:val="00AD2370"/>
    <w:rsid w:val="00AD24D5"/>
    <w:rsid w:val="00AD2930"/>
    <w:rsid w:val="00AD2D15"/>
    <w:rsid w:val="00AD2DCE"/>
    <w:rsid w:val="00AD3325"/>
    <w:rsid w:val="00AD34D5"/>
    <w:rsid w:val="00AD3898"/>
    <w:rsid w:val="00AD38A5"/>
    <w:rsid w:val="00AD3C36"/>
    <w:rsid w:val="00AD3E11"/>
    <w:rsid w:val="00AD40CC"/>
    <w:rsid w:val="00AD4478"/>
    <w:rsid w:val="00AD47AB"/>
    <w:rsid w:val="00AD48C5"/>
    <w:rsid w:val="00AD4E00"/>
    <w:rsid w:val="00AD4E09"/>
    <w:rsid w:val="00AD52FD"/>
    <w:rsid w:val="00AD54B9"/>
    <w:rsid w:val="00AD54F9"/>
    <w:rsid w:val="00AD5A9A"/>
    <w:rsid w:val="00AD5C0B"/>
    <w:rsid w:val="00AD5D12"/>
    <w:rsid w:val="00AD64C1"/>
    <w:rsid w:val="00AD6534"/>
    <w:rsid w:val="00AD65E7"/>
    <w:rsid w:val="00AD6992"/>
    <w:rsid w:val="00AD750F"/>
    <w:rsid w:val="00AD7565"/>
    <w:rsid w:val="00AD7D37"/>
    <w:rsid w:val="00AE0803"/>
    <w:rsid w:val="00AE09C5"/>
    <w:rsid w:val="00AE0A26"/>
    <w:rsid w:val="00AE1114"/>
    <w:rsid w:val="00AE1C77"/>
    <w:rsid w:val="00AE214B"/>
    <w:rsid w:val="00AE21F7"/>
    <w:rsid w:val="00AE2234"/>
    <w:rsid w:val="00AE2819"/>
    <w:rsid w:val="00AE2BC1"/>
    <w:rsid w:val="00AE3706"/>
    <w:rsid w:val="00AE388F"/>
    <w:rsid w:val="00AE40AF"/>
    <w:rsid w:val="00AE4336"/>
    <w:rsid w:val="00AE448A"/>
    <w:rsid w:val="00AE4547"/>
    <w:rsid w:val="00AE482E"/>
    <w:rsid w:val="00AE4C2A"/>
    <w:rsid w:val="00AE60A2"/>
    <w:rsid w:val="00AE6120"/>
    <w:rsid w:val="00AE65D3"/>
    <w:rsid w:val="00AE693B"/>
    <w:rsid w:val="00AE71CF"/>
    <w:rsid w:val="00AE72F9"/>
    <w:rsid w:val="00AE74D5"/>
    <w:rsid w:val="00AE74E3"/>
    <w:rsid w:val="00AE77DB"/>
    <w:rsid w:val="00AE7CA2"/>
    <w:rsid w:val="00AE7DAC"/>
    <w:rsid w:val="00AE7E63"/>
    <w:rsid w:val="00AF020F"/>
    <w:rsid w:val="00AF02C0"/>
    <w:rsid w:val="00AF073A"/>
    <w:rsid w:val="00AF0D2B"/>
    <w:rsid w:val="00AF1EA2"/>
    <w:rsid w:val="00AF2CA7"/>
    <w:rsid w:val="00AF3067"/>
    <w:rsid w:val="00AF325D"/>
    <w:rsid w:val="00AF3413"/>
    <w:rsid w:val="00AF3628"/>
    <w:rsid w:val="00AF3660"/>
    <w:rsid w:val="00AF375E"/>
    <w:rsid w:val="00AF38E6"/>
    <w:rsid w:val="00AF3C74"/>
    <w:rsid w:val="00AF3E56"/>
    <w:rsid w:val="00AF4348"/>
    <w:rsid w:val="00AF4800"/>
    <w:rsid w:val="00AF4F4A"/>
    <w:rsid w:val="00AF4FD1"/>
    <w:rsid w:val="00AF547B"/>
    <w:rsid w:val="00AF54DA"/>
    <w:rsid w:val="00AF5624"/>
    <w:rsid w:val="00AF59D9"/>
    <w:rsid w:val="00AF5AD7"/>
    <w:rsid w:val="00AF5E01"/>
    <w:rsid w:val="00AF5ECD"/>
    <w:rsid w:val="00AF5F4D"/>
    <w:rsid w:val="00AF60BC"/>
    <w:rsid w:val="00AF62AF"/>
    <w:rsid w:val="00AF636B"/>
    <w:rsid w:val="00AF66F6"/>
    <w:rsid w:val="00AF6E28"/>
    <w:rsid w:val="00AF7706"/>
    <w:rsid w:val="00B00130"/>
    <w:rsid w:val="00B00DAA"/>
    <w:rsid w:val="00B010B0"/>
    <w:rsid w:val="00B01198"/>
    <w:rsid w:val="00B015F8"/>
    <w:rsid w:val="00B0164A"/>
    <w:rsid w:val="00B0171E"/>
    <w:rsid w:val="00B01808"/>
    <w:rsid w:val="00B01C53"/>
    <w:rsid w:val="00B01CD4"/>
    <w:rsid w:val="00B01E38"/>
    <w:rsid w:val="00B01F55"/>
    <w:rsid w:val="00B0235D"/>
    <w:rsid w:val="00B0258A"/>
    <w:rsid w:val="00B02BE0"/>
    <w:rsid w:val="00B03ED3"/>
    <w:rsid w:val="00B03F6F"/>
    <w:rsid w:val="00B04800"/>
    <w:rsid w:val="00B04BC6"/>
    <w:rsid w:val="00B04C36"/>
    <w:rsid w:val="00B04C87"/>
    <w:rsid w:val="00B05122"/>
    <w:rsid w:val="00B056E3"/>
    <w:rsid w:val="00B057AD"/>
    <w:rsid w:val="00B057CB"/>
    <w:rsid w:val="00B05CC2"/>
    <w:rsid w:val="00B060A2"/>
    <w:rsid w:val="00B06138"/>
    <w:rsid w:val="00B0616C"/>
    <w:rsid w:val="00B066F3"/>
    <w:rsid w:val="00B067F0"/>
    <w:rsid w:val="00B067F2"/>
    <w:rsid w:val="00B06FA1"/>
    <w:rsid w:val="00B074E7"/>
    <w:rsid w:val="00B07728"/>
    <w:rsid w:val="00B077C0"/>
    <w:rsid w:val="00B07E74"/>
    <w:rsid w:val="00B104C0"/>
    <w:rsid w:val="00B10601"/>
    <w:rsid w:val="00B10C15"/>
    <w:rsid w:val="00B118F8"/>
    <w:rsid w:val="00B11E97"/>
    <w:rsid w:val="00B120D7"/>
    <w:rsid w:val="00B127BF"/>
    <w:rsid w:val="00B12AE6"/>
    <w:rsid w:val="00B133BE"/>
    <w:rsid w:val="00B135B2"/>
    <w:rsid w:val="00B13665"/>
    <w:rsid w:val="00B13C19"/>
    <w:rsid w:val="00B13E80"/>
    <w:rsid w:val="00B1413A"/>
    <w:rsid w:val="00B146A6"/>
    <w:rsid w:val="00B14E23"/>
    <w:rsid w:val="00B1502A"/>
    <w:rsid w:val="00B1521D"/>
    <w:rsid w:val="00B15321"/>
    <w:rsid w:val="00B15AE4"/>
    <w:rsid w:val="00B15D26"/>
    <w:rsid w:val="00B15EF2"/>
    <w:rsid w:val="00B15F13"/>
    <w:rsid w:val="00B15F9E"/>
    <w:rsid w:val="00B164C8"/>
    <w:rsid w:val="00B165CB"/>
    <w:rsid w:val="00B17550"/>
    <w:rsid w:val="00B17D0E"/>
    <w:rsid w:val="00B206F5"/>
    <w:rsid w:val="00B20ACD"/>
    <w:rsid w:val="00B20E5B"/>
    <w:rsid w:val="00B21528"/>
    <w:rsid w:val="00B21D72"/>
    <w:rsid w:val="00B22466"/>
    <w:rsid w:val="00B2274C"/>
    <w:rsid w:val="00B22C39"/>
    <w:rsid w:val="00B23473"/>
    <w:rsid w:val="00B23544"/>
    <w:rsid w:val="00B23949"/>
    <w:rsid w:val="00B23F95"/>
    <w:rsid w:val="00B2467B"/>
    <w:rsid w:val="00B24A36"/>
    <w:rsid w:val="00B24C29"/>
    <w:rsid w:val="00B24E76"/>
    <w:rsid w:val="00B24EEC"/>
    <w:rsid w:val="00B25105"/>
    <w:rsid w:val="00B26898"/>
    <w:rsid w:val="00B26935"/>
    <w:rsid w:val="00B26BA2"/>
    <w:rsid w:val="00B27345"/>
    <w:rsid w:val="00B27889"/>
    <w:rsid w:val="00B27EE8"/>
    <w:rsid w:val="00B30161"/>
    <w:rsid w:val="00B308A1"/>
    <w:rsid w:val="00B30A85"/>
    <w:rsid w:val="00B30ADD"/>
    <w:rsid w:val="00B30BD1"/>
    <w:rsid w:val="00B31204"/>
    <w:rsid w:val="00B312C5"/>
    <w:rsid w:val="00B3132D"/>
    <w:rsid w:val="00B3145A"/>
    <w:rsid w:val="00B31859"/>
    <w:rsid w:val="00B31A5E"/>
    <w:rsid w:val="00B320D5"/>
    <w:rsid w:val="00B32143"/>
    <w:rsid w:val="00B326BC"/>
    <w:rsid w:val="00B327CD"/>
    <w:rsid w:val="00B32ACE"/>
    <w:rsid w:val="00B32FCE"/>
    <w:rsid w:val="00B335CA"/>
    <w:rsid w:val="00B33D00"/>
    <w:rsid w:val="00B340E7"/>
    <w:rsid w:val="00B342B9"/>
    <w:rsid w:val="00B34995"/>
    <w:rsid w:val="00B34BCA"/>
    <w:rsid w:val="00B34F50"/>
    <w:rsid w:val="00B35281"/>
    <w:rsid w:val="00B356CE"/>
    <w:rsid w:val="00B35B72"/>
    <w:rsid w:val="00B3645F"/>
    <w:rsid w:val="00B3647A"/>
    <w:rsid w:val="00B365D5"/>
    <w:rsid w:val="00B36612"/>
    <w:rsid w:val="00B37B60"/>
    <w:rsid w:val="00B37BCE"/>
    <w:rsid w:val="00B37E6C"/>
    <w:rsid w:val="00B40017"/>
    <w:rsid w:val="00B406B2"/>
    <w:rsid w:val="00B40FA2"/>
    <w:rsid w:val="00B4128B"/>
    <w:rsid w:val="00B41C4B"/>
    <w:rsid w:val="00B4219F"/>
    <w:rsid w:val="00B4220C"/>
    <w:rsid w:val="00B4283F"/>
    <w:rsid w:val="00B42F66"/>
    <w:rsid w:val="00B43467"/>
    <w:rsid w:val="00B4366C"/>
    <w:rsid w:val="00B439DD"/>
    <w:rsid w:val="00B43B9D"/>
    <w:rsid w:val="00B43C5D"/>
    <w:rsid w:val="00B447B6"/>
    <w:rsid w:val="00B44AB1"/>
    <w:rsid w:val="00B44D43"/>
    <w:rsid w:val="00B44F5C"/>
    <w:rsid w:val="00B45040"/>
    <w:rsid w:val="00B451A5"/>
    <w:rsid w:val="00B452A2"/>
    <w:rsid w:val="00B45342"/>
    <w:rsid w:val="00B45436"/>
    <w:rsid w:val="00B45D30"/>
    <w:rsid w:val="00B45E95"/>
    <w:rsid w:val="00B46099"/>
    <w:rsid w:val="00B4633E"/>
    <w:rsid w:val="00B46528"/>
    <w:rsid w:val="00B46B9B"/>
    <w:rsid w:val="00B470A4"/>
    <w:rsid w:val="00B472B3"/>
    <w:rsid w:val="00B4758C"/>
    <w:rsid w:val="00B479B3"/>
    <w:rsid w:val="00B479D9"/>
    <w:rsid w:val="00B47CC8"/>
    <w:rsid w:val="00B47E77"/>
    <w:rsid w:val="00B47FC0"/>
    <w:rsid w:val="00B502F3"/>
    <w:rsid w:val="00B502FF"/>
    <w:rsid w:val="00B504B1"/>
    <w:rsid w:val="00B50C28"/>
    <w:rsid w:val="00B50C2B"/>
    <w:rsid w:val="00B5118B"/>
    <w:rsid w:val="00B5120E"/>
    <w:rsid w:val="00B51808"/>
    <w:rsid w:val="00B5190C"/>
    <w:rsid w:val="00B51A18"/>
    <w:rsid w:val="00B51FED"/>
    <w:rsid w:val="00B52102"/>
    <w:rsid w:val="00B52181"/>
    <w:rsid w:val="00B52876"/>
    <w:rsid w:val="00B531BB"/>
    <w:rsid w:val="00B53588"/>
    <w:rsid w:val="00B535A4"/>
    <w:rsid w:val="00B53F08"/>
    <w:rsid w:val="00B54085"/>
    <w:rsid w:val="00B5517E"/>
    <w:rsid w:val="00B554C3"/>
    <w:rsid w:val="00B558A1"/>
    <w:rsid w:val="00B55CAC"/>
    <w:rsid w:val="00B55F3D"/>
    <w:rsid w:val="00B55F42"/>
    <w:rsid w:val="00B5612D"/>
    <w:rsid w:val="00B5621C"/>
    <w:rsid w:val="00B5672B"/>
    <w:rsid w:val="00B56872"/>
    <w:rsid w:val="00B5688B"/>
    <w:rsid w:val="00B56AC6"/>
    <w:rsid w:val="00B56D7D"/>
    <w:rsid w:val="00B5739F"/>
    <w:rsid w:val="00B574F8"/>
    <w:rsid w:val="00B579E0"/>
    <w:rsid w:val="00B57C3E"/>
    <w:rsid w:val="00B57DA1"/>
    <w:rsid w:val="00B605A8"/>
    <w:rsid w:val="00B606C3"/>
    <w:rsid w:val="00B60B36"/>
    <w:rsid w:val="00B60C91"/>
    <w:rsid w:val="00B61000"/>
    <w:rsid w:val="00B61354"/>
    <w:rsid w:val="00B61473"/>
    <w:rsid w:val="00B61E3A"/>
    <w:rsid w:val="00B61EAD"/>
    <w:rsid w:val="00B6257E"/>
    <w:rsid w:val="00B62723"/>
    <w:rsid w:val="00B628DA"/>
    <w:rsid w:val="00B63343"/>
    <w:rsid w:val="00B633CC"/>
    <w:rsid w:val="00B6380B"/>
    <w:rsid w:val="00B6394D"/>
    <w:rsid w:val="00B63B9E"/>
    <w:rsid w:val="00B640AD"/>
    <w:rsid w:val="00B64281"/>
    <w:rsid w:val="00B64540"/>
    <w:rsid w:val="00B648B5"/>
    <w:rsid w:val="00B64A52"/>
    <w:rsid w:val="00B65562"/>
    <w:rsid w:val="00B6580C"/>
    <w:rsid w:val="00B65B9A"/>
    <w:rsid w:val="00B65C25"/>
    <w:rsid w:val="00B65D20"/>
    <w:rsid w:val="00B65D68"/>
    <w:rsid w:val="00B660CD"/>
    <w:rsid w:val="00B66347"/>
    <w:rsid w:val="00B663B1"/>
    <w:rsid w:val="00B67330"/>
    <w:rsid w:val="00B67620"/>
    <w:rsid w:val="00B6765A"/>
    <w:rsid w:val="00B67667"/>
    <w:rsid w:val="00B67BA4"/>
    <w:rsid w:val="00B67BCC"/>
    <w:rsid w:val="00B70472"/>
    <w:rsid w:val="00B708F1"/>
    <w:rsid w:val="00B70915"/>
    <w:rsid w:val="00B70F84"/>
    <w:rsid w:val="00B70FDB"/>
    <w:rsid w:val="00B71151"/>
    <w:rsid w:val="00B71A53"/>
    <w:rsid w:val="00B71BE0"/>
    <w:rsid w:val="00B71D3A"/>
    <w:rsid w:val="00B71FCF"/>
    <w:rsid w:val="00B71FFC"/>
    <w:rsid w:val="00B72B49"/>
    <w:rsid w:val="00B72C47"/>
    <w:rsid w:val="00B72C8E"/>
    <w:rsid w:val="00B735FC"/>
    <w:rsid w:val="00B7396C"/>
    <w:rsid w:val="00B73FBC"/>
    <w:rsid w:val="00B750A7"/>
    <w:rsid w:val="00B7552C"/>
    <w:rsid w:val="00B75847"/>
    <w:rsid w:val="00B7589A"/>
    <w:rsid w:val="00B758D4"/>
    <w:rsid w:val="00B75B85"/>
    <w:rsid w:val="00B76A12"/>
    <w:rsid w:val="00B76A6E"/>
    <w:rsid w:val="00B77034"/>
    <w:rsid w:val="00B775A5"/>
    <w:rsid w:val="00B778C3"/>
    <w:rsid w:val="00B77C5D"/>
    <w:rsid w:val="00B80108"/>
    <w:rsid w:val="00B80113"/>
    <w:rsid w:val="00B803AE"/>
    <w:rsid w:val="00B80466"/>
    <w:rsid w:val="00B80593"/>
    <w:rsid w:val="00B806B8"/>
    <w:rsid w:val="00B807A8"/>
    <w:rsid w:val="00B808AC"/>
    <w:rsid w:val="00B80B1C"/>
    <w:rsid w:val="00B80C3D"/>
    <w:rsid w:val="00B80E21"/>
    <w:rsid w:val="00B80EAF"/>
    <w:rsid w:val="00B80F4B"/>
    <w:rsid w:val="00B8165A"/>
    <w:rsid w:val="00B817DD"/>
    <w:rsid w:val="00B818AD"/>
    <w:rsid w:val="00B81A97"/>
    <w:rsid w:val="00B81C71"/>
    <w:rsid w:val="00B824D1"/>
    <w:rsid w:val="00B82556"/>
    <w:rsid w:val="00B82B28"/>
    <w:rsid w:val="00B836CD"/>
    <w:rsid w:val="00B84043"/>
    <w:rsid w:val="00B84155"/>
    <w:rsid w:val="00B846DA"/>
    <w:rsid w:val="00B852A4"/>
    <w:rsid w:val="00B86005"/>
    <w:rsid w:val="00B86159"/>
    <w:rsid w:val="00B86291"/>
    <w:rsid w:val="00B864A8"/>
    <w:rsid w:val="00B86A8B"/>
    <w:rsid w:val="00B86AE5"/>
    <w:rsid w:val="00B86DF1"/>
    <w:rsid w:val="00B870C8"/>
    <w:rsid w:val="00B872F4"/>
    <w:rsid w:val="00B875CE"/>
    <w:rsid w:val="00B87B67"/>
    <w:rsid w:val="00B87EF0"/>
    <w:rsid w:val="00B87F5A"/>
    <w:rsid w:val="00B90098"/>
    <w:rsid w:val="00B90382"/>
    <w:rsid w:val="00B908FB"/>
    <w:rsid w:val="00B90E5C"/>
    <w:rsid w:val="00B90E78"/>
    <w:rsid w:val="00B91063"/>
    <w:rsid w:val="00B91644"/>
    <w:rsid w:val="00B91B2C"/>
    <w:rsid w:val="00B91CE7"/>
    <w:rsid w:val="00B91E66"/>
    <w:rsid w:val="00B92745"/>
    <w:rsid w:val="00B92C88"/>
    <w:rsid w:val="00B934D1"/>
    <w:rsid w:val="00B93500"/>
    <w:rsid w:val="00B93877"/>
    <w:rsid w:val="00B93B46"/>
    <w:rsid w:val="00B93F91"/>
    <w:rsid w:val="00B94257"/>
    <w:rsid w:val="00B947F0"/>
    <w:rsid w:val="00B94815"/>
    <w:rsid w:val="00B94B3B"/>
    <w:rsid w:val="00B950E3"/>
    <w:rsid w:val="00B952D6"/>
    <w:rsid w:val="00B95909"/>
    <w:rsid w:val="00B95A26"/>
    <w:rsid w:val="00B9687D"/>
    <w:rsid w:val="00B96ACF"/>
    <w:rsid w:val="00B96C66"/>
    <w:rsid w:val="00B96F5A"/>
    <w:rsid w:val="00B976FF"/>
    <w:rsid w:val="00B97D3F"/>
    <w:rsid w:val="00B97E2B"/>
    <w:rsid w:val="00B97F8F"/>
    <w:rsid w:val="00BA09E9"/>
    <w:rsid w:val="00BA0BCB"/>
    <w:rsid w:val="00BA1440"/>
    <w:rsid w:val="00BA19C1"/>
    <w:rsid w:val="00BA1B9A"/>
    <w:rsid w:val="00BA1BC0"/>
    <w:rsid w:val="00BA1C75"/>
    <w:rsid w:val="00BA1D7D"/>
    <w:rsid w:val="00BA1D82"/>
    <w:rsid w:val="00BA22A1"/>
    <w:rsid w:val="00BA2591"/>
    <w:rsid w:val="00BA3699"/>
    <w:rsid w:val="00BA3822"/>
    <w:rsid w:val="00BA3D19"/>
    <w:rsid w:val="00BA3E01"/>
    <w:rsid w:val="00BA3E05"/>
    <w:rsid w:val="00BA3F7F"/>
    <w:rsid w:val="00BA448F"/>
    <w:rsid w:val="00BA45BD"/>
    <w:rsid w:val="00BA46EA"/>
    <w:rsid w:val="00BA483C"/>
    <w:rsid w:val="00BA48AD"/>
    <w:rsid w:val="00BA4E14"/>
    <w:rsid w:val="00BA548F"/>
    <w:rsid w:val="00BA5A7A"/>
    <w:rsid w:val="00BA66AE"/>
    <w:rsid w:val="00BA6978"/>
    <w:rsid w:val="00BA78FE"/>
    <w:rsid w:val="00BB0326"/>
    <w:rsid w:val="00BB0481"/>
    <w:rsid w:val="00BB04D8"/>
    <w:rsid w:val="00BB082B"/>
    <w:rsid w:val="00BB0CF4"/>
    <w:rsid w:val="00BB10A5"/>
    <w:rsid w:val="00BB152E"/>
    <w:rsid w:val="00BB15E6"/>
    <w:rsid w:val="00BB18AE"/>
    <w:rsid w:val="00BB1961"/>
    <w:rsid w:val="00BB1A07"/>
    <w:rsid w:val="00BB1A99"/>
    <w:rsid w:val="00BB1AED"/>
    <w:rsid w:val="00BB1DD1"/>
    <w:rsid w:val="00BB242A"/>
    <w:rsid w:val="00BB248A"/>
    <w:rsid w:val="00BB2690"/>
    <w:rsid w:val="00BB2906"/>
    <w:rsid w:val="00BB2A89"/>
    <w:rsid w:val="00BB2B22"/>
    <w:rsid w:val="00BB2B6D"/>
    <w:rsid w:val="00BB2C3D"/>
    <w:rsid w:val="00BB2C4A"/>
    <w:rsid w:val="00BB2C52"/>
    <w:rsid w:val="00BB2CCF"/>
    <w:rsid w:val="00BB2CD0"/>
    <w:rsid w:val="00BB31E7"/>
    <w:rsid w:val="00BB40EA"/>
    <w:rsid w:val="00BB4136"/>
    <w:rsid w:val="00BB4455"/>
    <w:rsid w:val="00BB4D3A"/>
    <w:rsid w:val="00BB4DD2"/>
    <w:rsid w:val="00BB52FB"/>
    <w:rsid w:val="00BB5BDA"/>
    <w:rsid w:val="00BB5C7B"/>
    <w:rsid w:val="00BB6090"/>
    <w:rsid w:val="00BB60ED"/>
    <w:rsid w:val="00BB6110"/>
    <w:rsid w:val="00BB6185"/>
    <w:rsid w:val="00BB6450"/>
    <w:rsid w:val="00BB6511"/>
    <w:rsid w:val="00BB68D3"/>
    <w:rsid w:val="00BB6975"/>
    <w:rsid w:val="00BB6E31"/>
    <w:rsid w:val="00BB7149"/>
    <w:rsid w:val="00BB71DA"/>
    <w:rsid w:val="00BB7370"/>
    <w:rsid w:val="00BB7714"/>
    <w:rsid w:val="00BB7965"/>
    <w:rsid w:val="00BC0C93"/>
    <w:rsid w:val="00BC0E5C"/>
    <w:rsid w:val="00BC1855"/>
    <w:rsid w:val="00BC1ABD"/>
    <w:rsid w:val="00BC1EF3"/>
    <w:rsid w:val="00BC26BB"/>
    <w:rsid w:val="00BC2A78"/>
    <w:rsid w:val="00BC2B09"/>
    <w:rsid w:val="00BC2C28"/>
    <w:rsid w:val="00BC3631"/>
    <w:rsid w:val="00BC3BED"/>
    <w:rsid w:val="00BC3F80"/>
    <w:rsid w:val="00BC4054"/>
    <w:rsid w:val="00BC4B58"/>
    <w:rsid w:val="00BC508E"/>
    <w:rsid w:val="00BC5135"/>
    <w:rsid w:val="00BC52C7"/>
    <w:rsid w:val="00BC5A6C"/>
    <w:rsid w:val="00BC5D56"/>
    <w:rsid w:val="00BC5DCC"/>
    <w:rsid w:val="00BC5F5D"/>
    <w:rsid w:val="00BC6451"/>
    <w:rsid w:val="00BC6506"/>
    <w:rsid w:val="00BC6708"/>
    <w:rsid w:val="00BC7CDE"/>
    <w:rsid w:val="00BD04B6"/>
    <w:rsid w:val="00BD0567"/>
    <w:rsid w:val="00BD0819"/>
    <w:rsid w:val="00BD0892"/>
    <w:rsid w:val="00BD08EF"/>
    <w:rsid w:val="00BD0C4D"/>
    <w:rsid w:val="00BD0E79"/>
    <w:rsid w:val="00BD18CA"/>
    <w:rsid w:val="00BD1940"/>
    <w:rsid w:val="00BD248A"/>
    <w:rsid w:val="00BD24A9"/>
    <w:rsid w:val="00BD2A28"/>
    <w:rsid w:val="00BD2ED2"/>
    <w:rsid w:val="00BD30CE"/>
    <w:rsid w:val="00BD3187"/>
    <w:rsid w:val="00BD3A27"/>
    <w:rsid w:val="00BD3A6C"/>
    <w:rsid w:val="00BD3F0C"/>
    <w:rsid w:val="00BD3FA9"/>
    <w:rsid w:val="00BD40ED"/>
    <w:rsid w:val="00BD4416"/>
    <w:rsid w:val="00BD4721"/>
    <w:rsid w:val="00BD4B1F"/>
    <w:rsid w:val="00BD5025"/>
    <w:rsid w:val="00BD5187"/>
    <w:rsid w:val="00BD558C"/>
    <w:rsid w:val="00BD566D"/>
    <w:rsid w:val="00BD638E"/>
    <w:rsid w:val="00BD6A3A"/>
    <w:rsid w:val="00BD70EC"/>
    <w:rsid w:val="00BD7C93"/>
    <w:rsid w:val="00BE0320"/>
    <w:rsid w:val="00BE09B7"/>
    <w:rsid w:val="00BE0DB9"/>
    <w:rsid w:val="00BE10F3"/>
    <w:rsid w:val="00BE1163"/>
    <w:rsid w:val="00BE12DD"/>
    <w:rsid w:val="00BE1454"/>
    <w:rsid w:val="00BE16BB"/>
    <w:rsid w:val="00BE1736"/>
    <w:rsid w:val="00BE19B7"/>
    <w:rsid w:val="00BE1B2A"/>
    <w:rsid w:val="00BE298C"/>
    <w:rsid w:val="00BE2A00"/>
    <w:rsid w:val="00BE2A45"/>
    <w:rsid w:val="00BE2F1C"/>
    <w:rsid w:val="00BE3240"/>
    <w:rsid w:val="00BE32FD"/>
    <w:rsid w:val="00BE3629"/>
    <w:rsid w:val="00BE38F7"/>
    <w:rsid w:val="00BE3C5B"/>
    <w:rsid w:val="00BE3CE3"/>
    <w:rsid w:val="00BE4769"/>
    <w:rsid w:val="00BE4A39"/>
    <w:rsid w:val="00BE4A72"/>
    <w:rsid w:val="00BE51C0"/>
    <w:rsid w:val="00BE5C4A"/>
    <w:rsid w:val="00BE64AD"/>
    <w:rsid w:val="00BE6525"/>
    <w:rsid w:val="00BE65E4"/>
    <w:rsid w:val="00BE697F"/>
    <w:rsid w:val="00BE6E1F"/>
    <w:rsid w:val="00BE76E1"/>
    <w:rsid w:val="00BE79EB"/>
    <w:rsid w:val="00BF025E"/>
    <w:rsid w:val="00BF04F1"/>
    <w:rsid w:val="00BF07BA"/>
    <w:rsid w:val="00BF09A0"/>
    <w:rsid w:val="00BF09C6"/>
    <w:rsid w:val="00BF0A38"/>
    <w:rsid w:val="00BF0D8A"/>
    <w:rsid w:val="00BF1613"/>
    <w:rsid w:val="00BF1928"/>
    <w:rsid w:val="00BF193E"/>
    <w:rsid w:val="00BF1AAC"/>
    <w:rsid w:val="00BF2005"/>
    <w:rsid w:val="00BF232D"/>
    <w:rsid w:val="00BF269C"/>
    <w:rsid w:val="00BF2772"/>
    <w:rsid w:val="00BF29D9"/>
    <w:rsid w:val="00BF2A54"/>
    <w:rsid w:val="00BF2B62"/>
    <w:rsid w:val="00BF31E1"/>
    <w:rsid w:val="00BF33A2"/>
    <w:rsid w:val="00BF343C"/>
    <w:rsid w:val="00BF3521"/>
    <w:rsid w:val="00BF3690"/>
    <w:rsid w:val="00BF37E9"/>
    <w:rsid w:val="00BF3836"/>
    <w:rsid w:val="00BF3837"/>
    <w:rsid w:val="00BF3939"/>
    <w:rsid w:val="00BF3C85"/>
    <w:rsid w:val="00BF411B"/>
    <w:rsid w:val="00BF4371"/>
    <w:rsid w:val="00BF443D"/>
    <w:rsid w:val="00BF47A5"/>
    <w:rsid w:val="00BF4848"/>
    <w:rsid w:val="00BF4860"/>
    <w:rsid w:val="00BF4A51"/>
    <w:rsid w:val="00BF51D4"/>
    <w:rsid w:val="00BF5418"/>
    <w:rsid w:val="00BF5B55"/>
    <w:rsid w:val="00BF60A2"/>
    <w:rsid w:val="00BF63C7"/>
    <w:rsid w:val="00BF63DE"/>
    <w:rsid w:val="00BF70C2"/>
    <w:rsid w:val="00BF7777"/>
    <w:rsid w:val="00BF78EE"/>
    <w:rsid w:val="00BF7B11"/>
    <w:rsid w:val="00BF7D89"/>
    <w:rsid w:val="00BF7F87"/>
    <w:rsid w:val="00C00102"/>
    <w:rsid w:val="00C001B9"/>
    <w:rsid w:val="00C00953"/>
    <w:rsid w:val="00C010E8"/>
    <w:rsid w:val="00C018B7"/>
    <w:rsid w:val="00C01AD3"/>
    <w:rsid w:val="00C01D63"/>
    <w:rsid w:val="00C0216A"/>
    <w:rsid w:val="00C02903"/>
    <w:rsid w:val="00C02DAD"/>
    <w:rsid w:val="00C030D0"/>
    <w:rsid w:val="00C031DF"/>
    <w:rsid w:val="00C0320F"/>
    <w:rsid w:val="00C0335D"/>
    <w:rsid w:val="00C033CA"/>
    <w:rsid w:val="00C03731"/>
    <w:rsid w:val="00C041A5"/>
    <w:rsid w:val="00C044C4"/>
    <w:rsid w:val="00C04561"/>
    <w:rsid w:val="00C04835"/>
    <w:rsid w:val="00C04FE5"/>
    <w:rsid w:val="00C05647"/>
    <w:rsid w:val="00C05B88"/>
    <w:rsid w:val="00C05BA0"/>
    <w:rsid w:val="00C067FD"/>
    <w:rsid w:val="00C06A93"/>
    <w:rsid w:val="00C06FBF"/>
    <w:rsid w:val="00C07842"/>
    <w:rsid w:val="00C07A3C"/>
    <w:rsid w:val="00C10640"/>
    <w:rsid w:val="00C10ACF"/>
    <w:rsid w:val="00C10BD4"/>
    <w:rsid w:val="00C10F38"/>
    <w:rsid w:val="00C11020"/>
    <w:rsid w:val="00C112DF"/>
    <w:rsid w:val="00C11334"/>
    <w:rsid w:val="00C11481"/>
    <w:rsid w:val="00C114D2"/>
    <w:rsid w:val="00C117BB"/>
    <w:rsid w:val="00C11CA1"/>
    <w:rsid w:val="00C11D4D"/>
    <w:rsid w:val="00C122B0"/>
    <w:rsid w:val="00C1263F"/>
    <w:rsid w:val="00C126C3"/>
    <w:rsid w:val="00C12ACF"/>
    <w:rsid w:val="00C1342F"/>
    <w:rsid w:val="00C134B2"/>
    <w:rsid w:val="00C137E0"/>
    <w:rsid w:val="00C14091"/>
    <w:rsid w:val="00C14C0C"/>
    <w:rsid w:val="00C14FD8"/>
    <w:rsid w:val="00C1538C"/>
    <w:rsid w:val="00C15999"/>
    <w:rsid w:val="00C15B2F"/>
    <w:rsid w:val="00C15BFC"/>
    <w:rsid w:val="00C1618F"/>
    <w:rsid w:val="00C1626C"/>
    <w:rsid w:val="00C164DB"/>
    <w:rsid w:val="00C1656D"/>
    <w:rsid w:val="00C16D11"/>
    <w:rsid w:val="00C1724A"/>
    <w:rsid w:val="00C174A6"/>
    <w:rsid w:val="00C1783A"/>
    <w:rsid w:val="00C1787B"/>
    <w:rsid w:val="00C17B19"/>
    <w:rsid w:val="00C17EE6"/>
    <w:rsid w:val="00C17FD1"/>
    <w:rsid w:val="00C20026"/>
    <w:rsid w:val="00C2070B"/>
    <w:rsid w:val="00C2085A"/>
    <w:rsid w:val="00C20BC6"/>
    <w:rsid w:val="00C20BE6"/>
    <w:rsid w:val="00C2116D"/>
    <w:rsid w:val="00C216E6"/>
    <w:rsid w:val="00C223F5"/>
    <w:rsid w:val="00C22826"/>
    <w:rsid w:val="00C228DC"/>
    <w:rsid w:val="00C234A3"/>
    <w:rsid w:val="00C23636"/>
    <w:rsid w:val="00C23CB5"/>
    <w:rsid w:val="00C23FD4"/>
    <w:rsid w:val="00C2411F"/>
    <w:rsid w:val="00C24248"/>
    <w:rsid w:val="00C25105"/>
    <w:rsid w:val="00C2522E"/>
    <w:rsid w:val="00C257A3"/>
    <w:rsid w:val="00C25971"/>
    <w:rsid w:val="00C26036"/>
    <w:rsid w:val="00C26329"/>
    <w:rsid w:val="00C26C57"/>
    <w:rsid w:val="00C26CE6"/>
    <w:rsid w:val="00C26EED"/>
    <w:rsid w:val="00C277C4"/>
    <w:rsid w:val="00C278BC"/>
    <w:rsid w:val="00C27BAF"/>
    <w:rsid w:val="00C30038"/>
    <w:rsid w:val="00C300AF"/>
    <w:rsid w:val="00C30179"/>
    <w:rsid w:val="00C3029C"/>
    <w:rsid w:val="00C303E7"/>
    <w:rsid w:val="00C305D2"/>
    <w:rsid w:val="00C306D4"/>
    <w:rsid w:val="00C30725"/>
    <w:rsid w:val="00C30938"/>
    <w:rsid w:val="00C30AE8"/>
    <w:rsid w:val="00C30C67"/>
    <w:rsid w:val="00C31198"/>
    <w:rsid w:val="00C3156C"/>
    <w:rsid w:val="00C31771"/>
    <w:rsid w:val="00C31F9F"/>
    <w:rsid w:val="00C3250B"/>
    <w:rsid w:val="00C32D79"/>
    <w:rsid w:val="00C336EA"/>
    <w:rsid w:val="00C338B0"/>
    <w:rsid w:val="00C33FC8"/>
    <w:rsid w:val="00C34A70"/>
    <w:rsid w:val="00C34FE8"/>
    <w:rsid w:val="00C353A8"/>
    <w:rsid w:val="00C35876"/>
    <w:rsid w:val="00C35BF3"/>
    <w:rsid w:val="00C35DD2"/>
    <w:rsid w:val="00C35E91"/>
    <w:rsid w:val="00C361DB"/>
    <w:rsid w:val="00C364EC"/>
    <w:rsid w:val="00C368A7"/>
    <w:rsid w:val="00C36B67"/>
    <w:rsid w:val="00C36F34"/>
    <w:rsid w:val="00C37493"/>
    <w:rsid w:val="00C37A58"/>
    <w:rsid w:val="00C37CE2"/>
    <w:rsid w:val="00C401E6"/>
    <w:rsid w:val="00C4020E"/>
    <w:rsid w:val="00C40366"/>
    <w:rsid w:val="00C404D2"/>
    <w:rsid w:val="00C40642"/>
    <w:rsid w:val="00C40A22"/>
    <w:rsid w:val="00C40A54"/>
    <w:rsid w:val="00C41298"/>
    <w:rsid w:val="00C41399"/>
    <w:rsid w:val="00C414CA"/>
    <w:rsid w:val="00C41603"/>
    <w:rsid w:val="00C41F76"/>
    <w:rsid w:val="00C4231C"/>
    <w:rsid w:val="00C425FE"/>
    <w:rsid w:val="00C42A1B"/>
    <w:rsid w:val="00C42A47"/>
    <w:rsid w:val="00C42C9D"/>
    <w:rsid w:val="00C42F0C"/>
    <w:rsid w:val="00C438B8"/>
    <w:rsid w:val="00C439AF"/>
    <w:rsid w:val="00C43D4D"/>
    <w:rsid w:val="00C440AD"/>
    <w:rsid w:val="00C44532"/>
    <w:rsid w:val="00C4463F"/>
    <w:rsid w:val="00C446F2"/>
    <w:rsid w:val="00C44857"/>
    <w:rsid w:val="00C448AB"/>
    <w:rsid w:val="00C449A8"/>
    <w:rsid w:val="00C44BCC"/>
    <w:rsid w:val="00C44F40"/>
    <w:rsid w:val="00C4535A"/>
    <w:rsid w:val="00C453A4"/>
    <w:rsid w:val="00C4563B"/>
    <w:rsid w:val="00C45668"/>
    <w:rsid w:val="00C4576D"/>
    <w:rsid w:val="00C45B1B"/>
    <w:rsid w:val="00C45E43"/>
    <w:rsid w:val="00C4630F"/>
    <w:rsid w:val="00C464E4"/>
    <w:rsid w:val="00C465E6"/>
    <w:rsid w:val="00C4662E"/>
    <w:rsid w:val="00C46829"/>
    <w:rsid w:val="00C4685F"/>
    <w:rsid w:val="00C4689D"/>
    <w:rsid w:val="00C46C20"/>
    <w:rsid w:val="00C46CD0"/>
    <w:rsid w:val="00C4732F"/>
    <w:rsid w:val="00C474FE"/>
    <w:rsid w:val="00C4777F"/>
    <w:rsid w:val="00C47AF6"/>
    <w:rsid w:val="00C501F8"/>
    <w:rsid w:val="00C50281"/>
    <w:rsid w:val="00C50343"/>
    <w:rsid w:val="00C5062D"/>
    <w:rsid w:val="00C512A5"/>
    <w:rsid w:val="00C512F1"/>
    <w:rsid w:val="00C51803"/>
    <w:rsid w:val="00C51CF9"/>
    <w:rsid w:val="00C51F22"/>
    <w:rsid w:val="00C5207B"/>
    <w:rsid w:val="00C52544"/>
    <w:rsid w:val="00C525A8"/>
    <w:rsid w:val="00C52DB5"/>
    <w:rsid w:val="00C52E9D"/>
    <w:rsid w:val="00C52F07"/>
    <w:rsid w:val="00C5368D"/>
    <w:rsid w:val="00C53CA4"/>
    <w:rsid w:val="00C53D6A"/>
    <w:rsid w:val="00C53ED6"/>
    <w:rsid w:val="00C5497D"/>
    <w:rsid w:val="00C54CCD"/>
    <w:rsid w:val="00C5542A"/>
    <w:rsid w:val="00C5554E"/>
    <w:rsid w:val="00C55CC8"/>
    <w:rsid w:val="00C55CFA"/>
    <w:rsid w:val="00C55D3D"/>
    <w:rsid w:val="00C560AB"/>
    <w:rsid w:val="00C56392"/>
    <w:rsid w:val="00C56650"/>
    <w:rsid w:val="00C56939"/>
    <w:rsid w:val="00C56B3B"/>
    <w:rsid w:val="00C57249"/>
    <w:rsid w:val="00C5766E"/>
    <w:rsid w:val="00C57D6A"/>
    <w:rsid w:val="00C57DD8"/>
    <w:rsid w:val="00C6068A"/>
    <w:rsid w:val="00C60E07"/>
    <w:rsid w:val="00C61217"/>
    <w:rsid w:val="00C61692"/>
    <w:rsid w:val="00C61872"/>
    <w:rsid w:val="00C61B65"/>
    <w:rsid w:val="00C61CB1"/>
    <w:rsid w:val="00C61FF2"/>
    <w:rsid w:val="00C62021"/>
    <w:rsid w:val="00C62905"/>
    <w:rsid w:val="00C62D67"/>
    <w:rsid w:val="00C63397"/>
    <w:rsid w:val="00C63930"/>
    <w:rsid w:val="00C63D32"/>
    <w:rsid w:val="00C63E31"/>
    <w:rsid w:val="00C63EE0"/>
    <w:rsid w:val="00C6419E"/>
    <w:rsid w:val="00C6425A"/>
    <w:rsid w:val="00C6552C"/>
    <w:rsid w:val="00C655B9"/>
    <w:rsid w:val="00C656BE"/>
    <w:rsid w:val="00C657DF"/>
    <w:rsid w:val="00C662A6"/>
    <w:rsid w:val="00C66CCC"/>
    <w:rsid w:val="00C66DA1"/>
    <w:rsid w:val="00C66F1A"/>
    <w:rsid w:val="00C67A80"/>
    <w:rsid w:val="00C67B91"/>
    <w:rsid w:val="00C703BF"/>
    <w:rsid w:val="00C708A7"/>
    <w:rsid w:val="00C70A50"/>
    <w:rsid w:val="00C70A51"/>
    <w:rsid w:val="00C70CAD"/>
    <w:rsid w:val="00C71040"/>
    <w:rsid w:val="00C7136C"/>
    <w:rsid w:val="00C71957"/>
    <w:rsid w:val="00C719EC"/>
    <w:rsid w:val="00C72754"/>
    <w:rsid w:val="00C7317E"/>
    <w:rsid w:val="00C73408"/>
    <w:rsid w:val="00C73418"/>
    <w:rsid w:val="00C73B29"/>
    <w:rsid w:val="00C73B39"/>
    <w:rsid w:val="00C74698"/>
    <w:rsid w:val="00C746D1"/>
    <w:rsid w:val="00C7480B"/>
    <w:rsid w:val="00C750C7"/>
    <w:rsid w:val="00C7542F"/>
    <w:rsid w:val="00C75540"/>
    <w:rsid w:val="00C75580"/>
    <w:rsid w:val="00C75AA7"/>
    <w:rsid w:val="00C75F66"/>
    <w:rsid w:val="00C76560"/>
    <w:rsid w:val="00C76C58"/>
    <w:rsid w:val="00C76E96"/>
    <w:rsid w:val="00C76F2C"/>
    <w:rsid w:val="00C772DA"/>
    <w:rsid w:val="00C776EF"/>
    <w:rsid w:val="00C77868"/>
    <w:rsid w:val="00C805A8"/>
    <w:rsid w:val="00C8068A"/>
    <w:rsid w:val="00C80D1E"/>
    <w:rsid w:val="00C80FC9"/>
    <w:rsid w:val="00C812B6"/>
    <w:rsid w:val="00C81384"/>
    <w:rsid w:val="00C81BC4"/>
    <w:rsid w:val="00C81C54"/>
    <w:rsid w:val="00C81E0C"/>
    <w:rsid w:val="00C829D7"/>
    <w:rsid w:val="00C82BDF"/>
    <w:rsid w:val="00C82CEC"/>
    <w:rsid w:val="00C82EB7"/>
    <w:rsid w:val="00C83003"/>
    <w:rsid w:val="00C8316A"/>
    <w:rsid w:val="00C83473"/>
    <w:rsid w:val="00C839B7"/>
    <w:rsid w:val="00C85085"/>
    <w:rsid w:val="00C851E9"/>
    <w:rsid w:val="00C85371"/>
    <w:rsid w:val="00C8570E"/>
    <w:rsid w:val="00C85BEE"/>
    <w:rsid w:val="00C85D04"/>
    <w:rsid w:val="00C8613F"/>
    <w:rsid w:val="00C8630A"/>
    <w:rsid w:val="00C86312"/>
    <w:rsid w:val="00C87491"/>
    <w:rsid w:val="00C874C5"/>
    <w:rsid w:val="00C87B1E"/>
    <w:rsid w:val="00C87DCD"/>
    <w:rsid w:val="00C901CB"/>
    <w:rsid w:val="00C90B98"/>
    <w:rsid w:val="00C91245"/>
    <w:rsid w:val="00C912AC"/>
    <w:rsid w:val="00C91EBC"/>
    <w:rsid w:val="00C91FB8"/>
    <w:rsid w:val="00C9211E"/>
    <w:rsid w:val="00C9252C"/>
    <w:rsid w:val="00C9260C"/>
    <w:rsid w:val="00C926E9"/>
    <w:rsid w:val="00C92DC9"/>
    <w:rsid w:val="00C93097"/>
    <w:rsid w:val="00C93159"/>
    <w:rsid w:val="00C93B05"/>
    <w:rsid w:val="00C93E32"/>
    <w:rsid w:val="00C947CD"/>
    <w:rsid w:val="00C949AA"/>
    <w:rsid w:val="00C94E63"/>
    <w:rsid w:val="00C9510D"/>
    <w:rsid w:val="00C95980"/>
    <w:rsid w:val="00C95A02"/>
    <w:rsid w:val="00C95B70"/>
    <w:rsid w:val="00C9645B"/>
    <w:rsid w:val="00C964D3"/>
    <w:rsid w:val="00C968A4"/>
    <w:rsid w:val="00C96C94"/>
    <w:rsid w:val="00C96E17"/>
    <w:rsid w:val="00C96F0D"/>
    <w:rsid w:val="00C9705B"/>
    <w:rsid w:val="00C979BA"/>
    <w:rsid w:val="00C97B2C"/>
    <w:rsid w:val="00C97E7E"/>
    <w:rsid w:val="00C97F66"/>
    <w:rsid w:val="00CA0228"/>
    <w:rsid w:val="00CA0C64"/>
    <w:rsid w:val="00CA1197"/>
    <w:rsid w:val="00CA13BF"/>
    <w:rsid w:val="00CA1441"/>
    <w:rsid w:val="00CA17EE"/>
    <w:rsid w:val="00CA1DF0"/>
    <w:rsid w:val="00CA383D"/>
    <w:rsid w:val="00CA3DA0"/>
    <w:rsid w:val="00CA41AB"/>
    <w:rsid w:val="00CA444C"/>
    <w:rsid w:val="00CA51D1"/>
    <w:rsid w:val="00CA5269"/>
    <w:rsid w:val="00CA5BA1"/>
    <w:rsid w:val="00CA62F6"/>
    <w:rsid w:val="00CA69F5"/>
    <w:rsid w:val="00CA6CAD"/>
    <w:rsid w:val="00CA6D1A"/>
    <w:rsid w:val="00CA7674"/>
    <w:rsid w:val="00CA7A95"/>
    <w:rsid w:val="00CA7B6B"/>
    <w:rsid w:val="00CA7F27"/>
    <w:rsid w:val="00CB0444"/>
    <w:rsid w:val="00CB05B7"/>
    <w:rsid w:val="00CB06DC"/>
    <w:rsid w:val="00CB0DDD"/>
    <w:rsid w:val="00CB10EE"/>
    <w:rsid w:val="00CB11C8"/>
    <w:rsid w:val="00CB145D"/>
    <w:rsid w:val="00CB1BC1"/>
    <w:rsid w:val="00CB305B"/>
    <w:rsid w:val="00CB350A"/>
    <w:rsid w:val="00CB36FB"/>
    <w:rsid w:val="00CB3A64"/>
    <w:rsid w:val="00CB3AF5"/>
    <w:rsid w:val="00CB4107"/>
    <w:rsid w:val="00CB4D7B"/>
    <w:rsid w:val="00CB4FE5"/>
    <w:rsid w:val="00CB4FFB"/>
    <w:rsid w:val="00CB5B2B"/>
    <w:rsid w:val="00CB5D2B"/>
    <w:rsid w:val="00CB6F83"/>
    <w:rsid w:val="00CB72A9"/>
    <w:rsid w:val="00CB72C6"/>
    <w:rsid w:val="00CB74E5"/>
    <w:rsid w:val="00CB7839"/>
    <w:rsid w:val="00CC010F"/>
    <w:rsid w:val="00CC067D"/>
    <w:rsid w:val="00CC0884"/>
    <w:rsid w:val="00CC10A2"/>
    <w:rsid w:val="00CC10A4"/>
    <w:rsid w:val="00CC10DE"/>
    <w:rsid w:val="00CC17AE"/>
    <w:rsid w:val="00CC18C1"/>
    <w:rsid w:val="00CC19C0"/>
    <w:rsid w:val="00CC1A29"/>
    <w:rsid w:val="00CC282D"/>
    <w:rsid w:val="00CC2995"/>
    <w:rsid w:val="00CC29A3"/>
    <w:rsid w:val="00CC2B7C"/>
    <w:rsid w:val="00CC2BE1"/>
    <w:rsid w:val="00CC313A"/>
    <w:rsid w:val="00CC314E"/>
    <w:rsid w:val="00CC3528"/>
    <w:rsid w:val="00CC38F8"/>
    <w:rsid w:val="00CC3B46"/>
    <w:rsid w:val="00CC4392"/>
    <w:rsid w:val="00CC4607"/>
    <w:rsid w:val="00CC4624"/>
    <w:rsid w:val="00CC467C"/>
    <w:rsid w:val="00CC48A3"/>
    <w:rsid w:val="00CC498A"/>
    <w:rsid w:val="00CC54EE"/>
    <w:rsid w:val="00CC5724"/>
    <w:rsid w:val="00CC5B1D"/>
    <w:rsid w:val="00CC5F6A"/>
    <w:rsid w:val="00CC62CE"/>
    <w:rsid w:val="00CC6331"/>
    <w:rsid w:val="00CC6602"/>
    <w:rsid w:val="00CC6A93"/>
    <w:rsid w:val="00CC6B1E"/>
    <w:rsid w:val="00CC6CC3"/>
    <w:rsid w:val="00CC6DDB"/>
    <w:rsid w:val="00CC6F97"/>
    <w:rsid w:val="00CC7601"/>
    <w:rsid w:val="00CC773A"/>
    <w:rsid w:val="00CC778C"/>
    <w:rsid w:val="00CC798E"/>
    <w:rsid w:val="00CC798F"/>
    <w:rsid w:val="00CC7A95"/>
    <w:rsid w:val="00CC7AF4"/>
    <w:rsid w:val="00CC7CFB"/>
    <w:rsid w:val="00CD0172"/>
    <w:rsid w:val="00CD0855"/>
    <w:rsid w:val="00CD0CCB"/>
    <w:rsid w:val="00CD0D48"/>
    <w:rsid w:val="00CD0F50"/>
    <w:rsid w:val="00CD0F99"/>
    <w:rsid w:val="00CD183E"/>
    <w:rsid w:val="00CD1B5C"/>
    <w:rsid w:val="00CD1CA5"/>
    <w:rsid w:val="00CD2565"/>
    <w:rsid w:val="00CD2588"/>
    <w:rsid w:val="00CD2A7E"/>
    <w:rsid w:val="00CD2B06"/>
    <w:rsid w:val="00CD2E85"/>
    <w:rsid w:val="00CD3151"/>
    <w:rsid w:val="00CD3258"/>
    <w:rsid w:val="00CD34A2"/>
    <w:rsid w:val="00CD3D86"/>
    <w:rsid w:val="00CD41F8"/>
    <w:rsid w:val="00CD4387"/>
    <w:rsid w:val="00CD45A7"/>
    <w:rsid w:val="00CD4609"/>
    <w:rsid w:val="00CD4C83"/>
    <w:rsid w:val="00CD50F0"/>
    <w:rsid w:val="00CD56EE"/>
    <w:rsid w:val="00CD57AA"/>
    <w:rsid w:val="00CD5905"/>
    <w:rsid w:val="00CD5A6A"/>
    <w:rsid w:val="00CD5DFE"/>
    <w:rsid w:val="00CD6801"/>
    <w:rsid w:val="00CD69B4"/>
    <w:rsid w:val="00CD71CB"/>
    <w:rsid w:val="00CD74CF"/>
    <w:rsid w:val="00CD7CBA"/>
    <w:rsid w:val="00CE02AC"/>
    <w:rsid w:val="00CE0A80"/>
    <w:rsid w:val="00CE0D1C"/>
    <w:rsid w:val="00CE0DA0"/>
    <w:rsid w:val="00CE0DD8"/>
    <w:rsid w:val="00CE135E"/>
    <w:rsid w:val="00CE1740"/>
    <w:rsid w:val="00CE1BFD"/>
    <w:rsid w:val="00CE2447"/>
    <w:rsid w:val="00CE2DBA"/>
    <w:rsid w:val="00CE32C7"/>
    <w:rsid w:val="00CE35EA"/>
    <w:rsid w:val="00CE37A5"/>
    <w:rsid w:val="00CE4449"/>
    <w:rsid w:val="00CE4636"/>
    <w:rsid w:val="00CE46BE"/>
    <w:rsid w:val="00CE470E"/>
    <w:rsid w:val="00CE4B05"/>
    <w:rsid w:val="00CE51D2"/>
    <w:rsid w:val="00CE5361"/>
    <w:rsid w:val="00CE5589"/>
    <w:rsid w:val="00CE55CB"/>
    <w:rsid w:val="00CE56F7"/>
    <w:rsid w:val="00CE5DDB"/>
    <w:rsid w:val="00CE6281"/>
    <w:rsid w:val="00CE6675"/>
    <w:rsid w:val="00CE67FC"/>
    <w:rsid w:val="00CE6857"/>
    <w:rsid w:val="00CE6A64"/>
    <w:rsid w:val="00CE7118"/>
    <w:rsid w:val="00CE77AF"/>
    <w:rsid w:val="00CE7911"/>
    <w:rsid w:val="00CF00A6"/>
    <w:rsid w:val="00CF08A3"/>
    <w:rsid w:val="00CF0CE9"/>
    <w:rsid w:val="00CF10E0"/>
    <w:rsid w:val="00CF148B"/>
    <w:rsid w:val="00CF1948"/>
    <w:rsid w:val="00CF19D0"/>
    <w:rsid w:val="00CF2289"/>
    <w:rsid w:val="00CF26F9"/>
    <w:rsid w:val="00CF2B03"/>
    <w:rsid w:val="00CF2EB2"/>
    <w:rsid w:val="00CF3628"/>
    <w:rsid w:val="00CF37E0"/>
    <w:rsid w:val="00CF3B16"/>
    <w:rsid w:val="00CF3B22"/>
    <w:rsid w:val="00CF3BC4"/>
    <w:rsid w:val="00CF3DA2"/>
    <w:rsid w:val="00CF40DF"/>
    <w:rsid w:val="00CF428D"/>
    <w:rsid w:val="00CF430F"/>
    <w:rsid w:val="00CF4533"/>
    <w:rsid w:val="00CF45D9"/>
    <w:rsid w:val="00CF475E"/>
    <w:rsid w:val="00CF4E86"/>
    <w:rsid w:val="00CF507D"/>
    <w:rsid w:val="00CF5163"/>
    <w:rsid w:val="00CF518D"/>
    <w:rsid w:val="00CF561A"/>
    <w:rsid w:val="00CF5F57"/>
    <w:rsid w:val="00CF5FC1"/>
    <w:rsid w:val="00CF6421"/>
    <w:rsid w:val="00CF6504"/>
    <w:rsid w:val="00CF6662"/>
    <w:rsid w:val="00CF68AF"/>
    <w:rsid w:val="00CF6BDE"/>
    <w:rsid w:val="00CF6CBB"/>
    <w:rsid w:val="00CF720B"/>
    <w:rsid w:val="00CF7850"/>
    <w:rsid w:val="00CF7C3B"/>
    <w:rsid w:val="00CF7E70"/>
    <w:rsid w:val="00CF7FB7"/>
    <w:rsid w:val="00D00ED5"/>
    <w:rsid w:val="00D018CF"/>
    <w:rsid w:val="00D01C6B"/>
    <w:rsid w:val="00D01C72"/>
    <w:rsid w:val="00D01D62"/>
    <w:rsid w:val="00D01DE1"/>
    <w:rsid w:val="00D022B8"/>
    <w:rsid w:val="00D02397"/>
    <w:rsid w:val="00D029A8"/>
    <w:rsid w:val="00D02BA0"/>
    <w:rsid w:val="00D02D8D"/>
    <w:rsid w:val="00D02E26"/>
    <w:rsid w:val="00D0306A"/>
    <w:rsid w:val="00D03793"/>
    <w:rsid w:val="00D0390C"/>
    <w:rsid w:val="00D03CB0"/>
    <w:rsid w:val="00D042CC"/>
    <w:rsid w:val="00D0435F"/>
    <w:rsid w:val="00D0498E"/>
    <w:rsid w:val="00D04A80"/>
    <w:rsid w:val="00D04CA6"/>
    <w:rsid w:val="00D0536D"/>
    <w:rsid w:val="00D0578E"/>
    <w:rsid w:val="00D05A35"/>
    <w:rsid w:val="00D05CC4"/>
    <w:rsid w:val="00D06131"/>
    <w:rsid w:val="00D062A6"/>
    <w:rsid w:val="00D0667B"/>
    <w:rsid w:val="00D067DD"/>
    <w:rsid w:val="00D06A95"/>
    <w:rsid w:val="00D0702C"/>
    <w:rsid w:val="00D0779E"/>
    <w:rsid w:val="00D07AE2"/>
    <w:rsid w:val="00D07F44"/>
    <w:rsid w:val="00D1029F"/>
    <w:rsid w:val="00D102E7"/>
    <w:rsid w:val="00D10876"/>
    <w:rsid w:val="00D11102"/>
    <w:rsid w:val="00D11338"/>
    <w:rsid w:val="00D117DF"/>
    <w:rsid w:val="00D11891"/>
    <w:rsid w:val="00D123A0"/>
    <w:rsid w:val="00D12476"/>
    <w:rsid w:val="00D12AB6"/>
    <w:rsid w:val="00D12BA8"/>
    <w:rsid w:val="00D12FF6"/>
    <w:rsid w:val="00D137E9"/>
    <w:rsid w:val="00D13B03"/>
    <w:rsid w:val="00D13DCC"/>
    <w:rsid w:val="00D14ADA"/>
    <w:rsid w:val="00D14DC6"/>
    <w:rsid w:val="00D155A1"/>
    <w:rsid w:val="00D15900"/>
    <w:rsid w:val="00D1595A"/>
    <w:rsid w:val="00D15A31"/>
    <w:rsid w:val="00D15B17"/>
    <w:rsid w:val="00D15BDA"/>
    <w:rsid w:val="00D15BFC"/>
    <w:rsid w:val="00D1636C"/>
    <w:rsid w:val="00D16474"/>
    <w:rsid w:val="00D16778"/>
    <w:rsid w:val="00D16781"/>
    <w:rsid w:val="00D168D2"/>
    <w:rsid w:val="00D176E3"/>
    <w:rsid w:val="00D17A30"/>
    <w:rsid w:val="00D17FE8"/>
    <w:rsid w:val="00D20546"/>
    <w:rsid w:val="00D20697"/>
    <w:rsid w:val="00D206F6"/>
    <w:rsid w:val="00D2109E"/>
    <w:rsid w:val="00D21465"/>
    <w:rsid w:val="00D21828"/>
    <w:rsid w:val="00D21DD9"/>
    <w:rsid w:val="00D22A01"/>
    <w:rsid w:val="00D22AA3"/>
    <w:rsid w:val="00D22B51"/>
    <w:rsid w:val="00D22BA9"/>
    <w:rsid w:val="00D22BCC"/>
    <w:rsid w:val="00D22EF1"/>
    <w:rsid w:val="00D232C3"/>
    <w:rsid w:val="00D237C4"/>
    <w:rsid w:val="00D23BC6"/>
    <w:rsid w:val="00D23C69"/>
    <w:rsid w:val="00D23FC9"/>
    <w:rsid w:val="00D245FF"/>
    <w:rsid w:val="00D246F0"/>
    <w:rsid w:val="00D2470C"/>
    <w:rsid w:val="00D24D14"/>
    <w:rsid w:val="00D24D42"/>
    <w:rsid w:val="00D25397"/>
    <w:rsid w:val="00D253BD"/>
    <w:rsid w:val="00D25805"/>
    <w:rsid w:val="00D258CF"/>
    <w:rsid w:val="00D25AFC"/>
    <w:rsid w:val="00D261E1"/>
    <w:rsid w:val="00D26768"/>
    <w:rsid w:val="00D26897"/>
    <w:rsid w:val="00D268DD"/>
    <w:rsid w:val="00D2693E"/>
    <w:rsid w:val="00D26F7F"/>
    <w:rsid w:val="00D270E1"/>
    <w:rsid w:val="00D27399"/>
    <w:rsid w:val="00D27772"/>
    <w:rsid w:val="00D27BE1"/>
    <w:rsid w:val="00D27D36"/>
    <w:rsid w:val="00D3007B"/>
    <w:rsid w:val="00D3017D"/>
    <w:rsid w:val="00D30388"/>
    <w:rsid w:val="00D304A9"/>
    <w:rsid w:val="00D305C9"/>
    <w:rsid w:val="00D30894"/>
    <w:rsid w:val="00D30E11"/>
    <w:rsid w:val="00D31671"/>
    <w:rsid w:val="00D31ABC"/>
    <w:rsid w:val="00D31B02"/>
    <w:rsid w:val="00D32592"/>
    <w:rsid w:val="00D326EA"/>
    <w:rsid w:val="00D329B3"/>
    <w:rsid w:val="00D3333A"/>
    <w:rsid w:val="00D334AD"/>
    <w:rsid w:val="00D33970"/>
    <w:rsid w:val="00D33C8A"/>
    <w:rsid w:val="00D33E9A"/>
    <w:rsid w:val="00D33FEB"/>
    <w:rsid w:val="00D33FF4"/>
    <w:rsid w:val="00D340FC"/>
    <w:rsid w:val="00D34278"/>
    <w:rsid w:val="00D34433"/>
    <w:rsid w:val="00D344F3"/>
    <w:rsid w:val="00D347F6"/>
    <w:rsid w:val="00D34818"/>
    <w:rsid w:val="00D34904"/>
    <w:rsid w:val="00D34AA6"/>
    <w:rsid w:val="00D34D00"/>
    <w:rsid w:val="00D356E9"/>
    <w:rsid w:val="00D35D89"/>
    <w:rsid w:val="00D35E64"/>
    <w:rsid w:val="00D3628A"/>
    <w:rsid w:val="00D36354"/>
    <w:rsid w:val="00D36409"/>
    <w:rsid w:val="00D364EF"/>
    <w:rsid w:val="00D36C5E"/>
    <w:rsid w:val="00D37103"/>
    <w:rsid w:val="00D37218"/>
    <w:rsid w:val="00D374C6"/>
    <w:rsid w:val="00D375B7"/>
    <w:rsid w:val="00D37661"/>
    <w:rsid w:val="00D37AE7"/>
    <w:rsid w:val="00D401A0"/>
    <w:rsid w:val="00D405F4"/>
    <w:rsid w:val="00D409AB"/>
    <w:rsid w:val="00D40BC5"/>
    <w:rsid w:val="00D412F9"/>
    <w:rsid w:val="00D414BB"/>
    <w:rsid w:val="00D427B5"/>
    <w:rsid w:val="00D42B41"/>
    <w:rsid w:val="00D4350C"/>
    <w:rsid w:val="00D43AD1"/>
    <w:rsid w:val="00D43D02"/>
    <w:rsid w:val="00D441D3"/>
    <w:rsid w:val="00D44365"/>
    <w:rsid w:val="00D44595"/>
    <w:rsid w:val="00D44631"/>
    <w:rsid w:val="00D44CAD"/>
    <w:rsid w:val="00D44CEB"/>
    <w:rsid w:val="00D45104"/>
    <w:rsid w:val="00D453B3"/>
    <w:rsid w:val="00D4540A"/>
    <w:rsid w:val="00D4545B"/>
    <w:rsid w:val="00D45460"/>
    <w:rsid w:val="00D456C6"/>
    <w:rsid w:val="00D46037"/>
    <w:rsid w:val="00D46680"/>
    <w:rsid w:val="00D468E3"/>
    <w:rsid w:val="00D46A6A"/>
    <w:rsid w:val="00D46B20"/>
    <w:rsid w:val="00D46C56"/>
    <w:rsid w:val="00D46D09"/>
    <w:rsid w:val="00D470FB"/>
    <w:rsid w:val="00D47D71"/>
    <w:rsid w:val="00D47F2B"/>
    <w:rsid w:val="00D50142"/>
    <w:rsid w:val="00D5021A"/>
    <w:rsid w:val="00D504B7"/>
    <w:rsid w:val="00D50713"/>
    <w:rsid w:val="00D5079F"/>
    <w:rsid w:val="00D50A68"/>
    <w:rsid w:val="00D50CB5"/>
    <w:rsid w:val="00D510BA"/>
    <w:rsid w:val="00D512A8"/>
    <w:rsid w:val="00D519D0"/>
    <w:rsid w:val="00D51CB9"/>
    <w:rsid w:val="00D51E17"/>
    <w:rsid w:val="00D52993"/>
    <w:rsid w:val="00D529BE"/>
    <w:rsid w:val="00D52CA6"/>
    <w:rsid w:val="00D52FF8"/>
    <w:rsid w:val="00D53227"/>
    <w:rsid w:val="00D53ACE"/>
    <w:rsid w:val="00D53FA9"/>
    <w:rsid w:val="00D54158"/>
    <w:rsid w:val="00D544C2"/>
    <w:rsid w:val="00D54F40"/>
    <w:rsid w:val="00D553E9"/>
    <w:rsid w:val="00D5575A"/>
    <w:rsid w:val="00D55868"/>
    <w:rsid w:val="00D55BCD"/>
    <w:rsid w:val="00D55D08"/>
    <w:rsid w:val="00D5613F"/>
    <w:rsid w:val="00D56514"/>
    <w:rsid w:val="00D566E0"/>
    <w:rsid w:val="00D56D3E"/>
    <w:rsid w:val="00D572FF"/>
    <w:rsid w:val="00D573B6"/>
    <w:rsid w:val="00D57AD9"/>
    <w:rsid w:val="00D57C5F"/>
    <w:rsid w:val="00D57F5E"/>
    <w:rsid w:val="00D60355"/>
    <w:rsid w:val="00D603E8"/>
    <w:rsid w:val="00D60C62"/>
    <w:rsid w:val="00D60E5E"/>
    <w:rsid w:val="00D61141"/>
    <w:rsid w:val="00D619F4"/>
    <w:rsid w:val="00D62386"/>
    <w:rsid w:val="00D6258E"/>
    <w:rsid w:val="00D627EB"/>
    <w:rsid w:val="00D62879"/>
    <w:rsid w:val="00D63489"/>
    <w:rsid w:val="00D63597"/>
    <w:rsid w:val="00D63654"/>
    <w:rsid w:val="00D639C2"/>
    <w:rsid w:val="00D63F6B"/>
    <w:rsid w:val="00D63F8D"/>
    <w:rsid w:val="00D643C0"/>
    <w:rsid w:val="00D645CA"/>
    <w:rsid w:val="00D64BB2"/>
    <w:rsid w:val="00D64D25"/>
    <w:rsid w:val="00D65AE0"/>
    <w:rsid w:val="00D65F64"/>
    <w:rsid w:val="00D6672C"/>
    <w:rsid w:val="00D66827"/>
    <w:rsid w:val="00D669ED"/>
    <w:rsid w:val="00D67590"/>
    <w:rsid w:val="00D67AAF"/>
    <w:rsid w:val="00D67C45"/>
    <w:rsid w:val="00D67D9E"/>
    <w:rsid w:val="00D70041"/>
    <w:rsid w:val="00D70411"/>
    <w:rsid w:val="00D706F2"/>
    <w:rsid w:val="00D70DD4"/>
    <w:rsid w:val="00D719C5"/>
    <w:rsid w:val="00D71EDD"/>
    <w:rsid w:val="00D72065"/>
    <w:rsid w:val="00D722F2"/>
    <w:rsid w:val="00D7278E"/>
    <w:rsid w:val="00D72862"/>
    <w:rsid w:val="00D728C1"/>
    <w:rsid w:val="00D7357E"/>
    <w:rsid w:val="00D73B7F"/>
    <w:rsid w:val="00D73EF2"/>
    <w:rsid w:val="00D74257"/>
    <w:rsid w:val="00D74FC3"/>
    <w:rsid w:val="00D755C7"/>
    <w:rsid w:val="00D759FB"/>
    <w:rsid w:val="00D76731"/>
    <w:rsid w:val="00D768CF"/>
    <w:rsid w:val="00D76BA2"/>
    <w:rsid w:val="00D76BB0"/>
    <w:rsid w:val="00D77197"/>
    <w:rsid w:val="00D77924"/>
    <w:rsid w:val="00D8029E"/>
    <w:rsid w:val="00D8075B"/>
    <w:rsid w:val="00D80A13"/>
    <w:rsid w:val="00D80D7B"/>
    <w:rsid w:val="00D81572"/>
    <w:rsid w:val="00D81A22"/>
    <w:rsid w:val="00D8245A"/>
    <w:rsid w:val="00D82870"/>
    <w:rsid w:val="00D82872"/>
    <w:rsid w:val="00D82A5C"/>
    <w:rsid w:val="00D82D0C"/>
    <w:rsid w:val="00D82EBD"/>
    <w:rsid w:val="00D83337"/>
    <w:rsid w:val="00D83691"/>
    <w:rsid w:val="00D836FD"/>
    <w:rsid w:val="00D83797"/>
    <w:rsid w:val="00D83991"/>
    <w:rsid w:val="00D83BBD"/>
    <w:rsid w:val="00D83BDE"/>
    <w:rsid w:val="00D83BE5"/>
    <w:rsid w:val="00D849AA"/>
    <w:rsid w:val="00D8582B"/>
    <w:rsid w:val="00D85B4C"/>
    <w:rsid w:val="00D85F41"/>
    <w:rsid w:val="00D86224"/>
    <w:rsid w:val="00D8670E"/>
    <w:rsid w:val="00D868AE"/>
    <w:rsid w:val="00D86C8B"/>
    <w:rsid w:val="00D87015"/>
    <w:rsid w:val="00D873B9"/>
    <w:rsid w:val="00D87745"/>
    <w:rsid w:val="00D90371"/>
    <w:rsid w:val="00D903CF"/>
    <w:rsid w:val="00D9050C"/>
    <w:rsid w:val="00D9061A"/>
    <w:rsid w:val="00D90692"/>
    <w:rsid w:val="00D90C40"/>
    <w:rsid w:val="00D90F4B"/>
    <w:rsid w:val="00D90FE0"/>
    <w:rsid w:val="00D912D8"/>
    <w:rsid w:val="00D91BB6"/>
    <w:rsid w:val="00D92169"/>
    <w:rsid w:val="00D9234C"/>
    <w:rsid w:val="00D9257E"/>
    <w:rsid w:val="00D92E6A"/>
    <w:rsid w:val="00D93819"/>
    <w:rsid w:val="00D93AB9"/>
    <w:rsid w:val="00D93FB6"/>
    <w:rsid w:val="00D94098"/>
    <w:rsid w:val="00D9410B"/>
    <w:rsid w:val="00D9463A"/>
    <w:rsid w:val="00D950B7"/>
    <w:rsid w:val="00D95248"/>
    <w:rsid w:val="00D95894"/>
    <w:rsid w:val="00D958DC"/>
    <w:rsid w:val="00D95D7D"/>
    <w:rsid w:val="00D95F7C"/>
    <w:rsid w:val="00D9644C"/>
    <w:rsid w:val="00D96629"/>
    <w:rsid w:val="00D96893"/>
    <w:rsid w:val="00D97551"/>
    <w:rsid w:val="00D97C4C"/>
    <w:rsid w:val="00D97CA8"/>
    <w:rsid w:val="00D97D12"/>
    <w:rsid w:val="00D97D7E"/>
    <w:rsid w:val="00D97E63"/>
    <w:rsid w:val="00DA00A0"/>
    <w:rsid w:val="00DA0243"/>
    <w:rsid w:val="00DA05D5"/>
    <w:rsid w:val="00DA0BF5"/>
    <w:rsid w:val="00DA0C18"/>
    <w:rsid w:val="00DA141B"/>
    <w:rsid w:val="00DA1EE3"/>
    <w:rsid w:val="00DA1F62"/>
    <w:rsid w:val="00DA1F6E"/>
    <w:rsid w:val="00DA214A"/>
    <w:rsid w:val="00DA2478"/>
    <w:rsid w:val="00DA2944"/>
    <w:rsid w:val="00DA297F"/>
    <w:rsid w:val="00DA2F0F"/>
    <w:rsid w:val="00DA2F15"/>
    <w:rsid w:val="00DA3055"/>
    <w:rsid w:val="00DA3476"/>
    <w:rsid w:val="00DA3645"/>
    <w:rsid w:val="00DA3699"/>
    <w:rsid w:val="00DA3B69"/>
    <w:rsid w:val="00DA3D59"/>
    <w:rsid w:val="00DA4496"/>
    <w:rsid w:val="00DA49E6"/>
    <w:rsid w:val="00DA49F1"/>
    <w:rsid w:val="00DA63D3"/>
    <w:rsid w:val="00DA6678"/>
    <w:rsid w:val="00DA6B9C"/>
    <w:rsid w:val="00DA6D82"/>
    <w:rsid w:val="00DA79EA"/>
    <w:rsid w:val="00DA7EE5"/>
    <w:rsid w:val="00DB00FF"/>
    <w:rsid w:val="00DB08CB"/>
    <w:rsid w:val="00DB09F5"/>
    <w:rsid w:val="00DB0B9F"/>
    <w:rsid w:val="00DB0DBF"/>
    <w:rsid w:val="00DB0E45"/>
    <w:rsid w:val="00DB1DE8"/>
    <w:rsid w:val="00DB2EE1"/>
    <w:rsid w:val="00DB318D"/>
    <w:rsid w:val="00DB3616"/>
    <w:rsid w:val="00DB3683"/>
    <w:rsid w:val="00DB3F9C"/>
    <w:rsid w:val="00DB42E4"/>
    <w:rsid w:val="00DB472B"/>
    <w:rsid w:val="00DB4ABF"/>
    <w:rsid w:val="00DB51D3"/>
    <w:rsid w:val="00DB5AF9"/>
    <w:rsid w:val="00DB5BA7"/>
    <w:rsid w:val="00DB5FD6"/>
    <w:rsid w:val="00DB60FD"/>
    <w:rsid w:val="00DB6791"/>
    <w:rsid w:val="00DB6952"/>
    <w:rsid w:val="00DB69D2"/>
    <w:rsid w:val="00DB6D0B"/>
    <w:rsid w:val="00DB70A3"/>
    <w:rsid w:val="00DB7348"/>
    <w:rsid w:val="00DB7867"/>
    <w:rsid w:val="00DB7C10"/>
    <w:rsid w:val="00DC021C"/>
    <w:rsid w:val="00DC024E"/>
    <w:rsid w:val="00DC089C"/>
    <w:rsid w:val="00DC1786"/>
    <w:rsid w:val="00DC19AF"/>
    <w:rsid w:val="00DC1CAA"/>
    <w:rsid w:val="00DC1EDF"/>
    <w:rsid w:val="00DC20BF"/>
    <w:rsid w:val="00DC255A"/>
    <w:rsid w:val="00DC281B"/>
    <w:rsid w:val="00DC2E28"/>
    <w:rsid w:val="00DC39A9"/>
    <w:rsid w:val="00DC3A91"/>
    <w:rsid w:val="00DC434E"/>
    <w:rsid w:val="00DC4456"/>
    <w:rsid w:val="00DC4840"/>
    <w:rsid w:val="00DC4895"/>
    <w:rsid w:val="00DC5262"/>
    <w:rsid w:val="00DC5578"/>
    <w:rsid w:val="00DC570A"/>
    <w:rsid w:val="00DC5A32"/>
    <w:rsid w:val="00DC5BB8"/>
    <w:rsid w:val="00DC5CAF"/>
    <w:rsid w:val="00DC6764"/>
    <w:rsid w:val="00DC7016"/>
    <w:rsid w:val="00DC70EB"/>
    <w:rsid w:val="00DC7186"/>
    <w:rsid w:val="00DC7CF6"/>
    <w:rsid w:val="00DC7E52"/>
    <w:rsid w:val="00DD0040"/>
    <w:rsid w:val="00DD0162"/>
    <w:rsid w:val="00DD0163"/>
    <w:rsid w:val="00DD03E9"/>
    <w:rsid w:val="00DD08C6"/>
    <w:rsid w:val="00DD09AC"/>
    <w:rsid w:val="00DD0BF9"/>
    <w:rsid w:val="00DD0CEC"/>
    <w:rsid w:val="00DD1ABC"/>
    <w:rsid w:val="00DD1DD3"/>
    <w:rsid w:val="00DD1EF6"/>
    <w:rsid w:val="00DD37AC"/>
    <w:rsid w:val="00DD3997"/>
    <w:rsid w:val="00DD3C88"/>
    <w:rsid w:val="00DD3DD5"/>
    <w:rsid w:val="00DD3FFF"/>
    <w:rsid w:val="00DD47A7"/>
    <w:rsid w:val="00DD4B03"/>
    <w:rsid w:val="00DD51BB"/>
    <w:rsid w:val="00DD55C4"/>
    <w:rsid w:val="00DD568C"/>
    <w:rsid w:val="00DD581D"/>
    <w:rsid w:val="00DD5887"/>
    <w:rsid w:val="00DD5A74"/>
    <w:rsid w:val="00DD6074"/>
    <w:rsid w:val="00DD6876"/>
    <w:rsid w:val="00DD6B4D"/>
    <w:rsid w:val="00DD6C6F"/>
    <w:rsid w:val="00DD70E7"/>
    <w:rsid w:val="00DD770D"/>
    <w:rsid w:val="00DD77B6"/>
    <w:rsid w:val="00DD7914"/>
    <w:rsid w:val="00DD7C54"/>
    <w:rsid w:val="00DD7EB5"/>
    <w:rsid w:val="00DE0291"/>
    <w:rsid w:val="00DE062C"/>
    <w:rsid w:val="00DE0814"/>
    <w:rsid w:val="00DE08B2"/>
    <w:rsid w:val="00DE0E5D"/>
    <w:rsid w:val="00DE0EA6"/>
    <w:rsid w:val="00DE12AB"/>
    <w:rsid w:val="00DE12F5"/>
    <w:rsid w:val="00DE13E5"/>
    <w:rsid w:val="00DE1447"/>
    <w:rsid w:val="00DE1522"/>
    <w:rsid w:val="00DE1642"/>
    <w:rsid w:val="00DE16E7"/>
    <w:rsid w:val="00DE17C4"/>
    <w:rsid w:val="00DE1CBA"/>
    <w:rsid w:val="00DE1D44"/>
    <w:rsid w:val="00DE1FFE"/>
    <w:rsid w:val="00DE2245"/>
    <w:rsid w:val="00DE2945"/>
    <w:rsid w:val="00DE30F3"/>
    <w:rsid w:val="00DE3151"/>
    <w:rsid w:val="00DE33C9"/>
    <w:rsid w:val="00DE3684"/>
    <w:rsid w:val="00DE3866"/>
    <w:rsid w:val="00DE388C"/>
    <w:rsid w:val="00DE39CF"/>
    <w:rsid w:val="00DE39F3"/>
    <w:rsid w:val="00DE3BE9"/>
    <w:rsid w:val="00DE4745"/>
    <w:rsid w:val="00DE48FA"/>
    <w:rsid w:val="00DE4D77"/>
    <w:rsid w:val="00DE5155"/>
    <w:rsid w:val="00DE524C"/>
    <w:rsid w:val="00DE5A79"/>
    <w:rsid w:val="00DE5ECC"/>
    <w:rsid w:val="00DE62BC"/>
    <w:rsid w:val="00DE6664"/>
    <w:rsid w:val="00DE6667"/>
    <w:rsid w:val="00DE68DE"/>
    <w:rsid w:val="00DE6990"/>
    <w:rsid w:val="00DE6B7B"/>
    <w:rsid w:val="00DE6EDE"/>
    <w:rsid w:val="00DE7A63"/>
    <w:rsid w:val="00DE7A6E"/>
    <w:rsid w:val="00DE7FC8"/>
    <w:rsid w:val="00DF0F58"/>
    <w:rsid w:val="00DF1150"/>
    <w:rsid w:val="00DF13D9"/>
    <w:rsid w:val="00DF1CA2"/>
    <w:rsid w:val="00DF1DF0"/>
    <w:rsid w:val="00DF2B5B"/>
    <w:rsid w:val="00DF2D72"/>
    <w:rsid w:val="00DF2EAF"/>
    <w:rsid w:val="00DF333C"/>
    <w:rsid w:val="00DF33FA"/>
    <w:rsid w:val="00DF3E36"/>
    <w:rsid w:val="00DF3E43"/>
    <w:rsid w:val="00DF3F5D"/>
    <w:rsid w:val="00DF41F3"/>
    <w:rsid w:val="00DF435A"/>
    <w:rsid w:val="00DF43D0"/>
    <w:rsid w:val="00DF456A"/>
    <w:rsid w:val="00DF4B89"/>
    <w:rsid w:val="00DF4EA4"/>
    <w:rsid w:val="00DF4FC1"/>
    <w:rsid w:val="00DF5122"/>
    <w:rsid w:val="00DF534A"/>
    <w:rsid w:val="00DF54E5"/>
    <w:rsid w:val="00DF5757"/>
    <w:rsid w:val="00DF58D4"/>
    <w:rsid w:val="00DF5EAB"/>
    <w:rsid w:val="00DF5F49"/>
    <w:rsid w:val="00DF60C9"/>
    <w:rsid w:val="00DF6873"/>
    <w:rsid w:val="00DF6948"/>
    <w:rsid w:val="00DF72AC"/>
    <w:rsid w:val="00DF7443"/>
    <w:rsid w:val="00DF7C46"/>
    <w:rsid w:val="00DF7C72"/>
    <w:rsid w:val="00DF7DEC"/>
    <w:rsid w:val="00E001CA"/>
    <w:rsid w:val="00E00671"/>
    <w:rsid w:val="00E01021"/>
    <w:rsid w:val="00E0109F"/>
    <w:rsid w:val="00E0164C"/>
    <w:rsid w:val="00E01B7E"/>
    <w:rsid w:val="00E01DE1"/>
    <w:rsid w:val="00E01EE2"/>
    <w:rsid w:val="00E02780"/>
    <w:rsid w:val="00E033D8"/>
    <w:rsid w:val="00E0364D"/>
    <w:rsid w:val="00E03BF7"/>
    <w:rsid w:val="00E03CE7"/>
    <w:rsid w:val="00E03E50"/>
    <w:rsid w:val="00E0456A"/>
    <w:rsid w:val="00E0468A"/>
    <w:rsid w:val="00E04808"/>
    <w:rsid w:val="00E04834"/>
    <w:rsid w:val="00E04A6C"/>
    <w:rsid w:val="00E04BAE"/>
    <w:rsid w:val="00E04C9C"/>
    <w:rsid w:val="00E0587A"/>
    <w:rsid w:val="00E058A9"/>
    <w:rsid w:val="00E05969"/>
    <w:rsid w:val="00E05DA8"/>
    <w:rsid w:val="00E06359"/>
    <w:rsid w:val="00E063D8"/>
    <w:rsid w:val="00E0646D"/>
    <w:rsid w:val="00E06956"/>
    <w:rsid w:val="00E06C49"/>
    <w:rsid w:val="00E06C7F"/>
    <w:rsid w:val="00E06E08"/>
    <w:rsid w:val="00E0758F"/>
    <w:rsid w:val="00E0794A"/>
    <w:rsid w:val="00E07BB4"/>
    <w:rsid w:val="00E1074F"/>
    <w:rsid w:val="00E107E9"/>
    <w:rsid w:val="00E109F9"/>
    <w:rsid w:val="00E10CCD"/>
    <w:rsid w:val="00E10F47"/>
    <w:rsid w:val="00E10F7D"/>
    <w:rsid w:val="00E114A3"/>
    <w:rsid w:val="00E11A68"/>
    <w:rsid w:val="00E11B18"/>
    <w:rsid w:val="00E11C92"/>
    <w:rsid w:val="00E11EEF"/>
    <w:rsid w:val="00E11FA0"/>
    <w:rsid w:val="00E12806"/>
    <w:rsid w:val="00E128B1"/>
    <w:rsid w:val="00E12CE8"/>
    <w:rsid w:val="00E12D9F"/>
    <w:rsid w:val="00E12E24"/>
    <w:rsid w:val="00E12EF0"/>
    <w:rsid w:val="00E13038"/>
    <w:rsid w:val="00E130DC"/>
    <w:rsid w:val="00E1318B"/>
    <w:rsid w:val="00E13BB2"/>
    <w:rsid w:val="00E13C42"/>
    <w:rsid w:val="00E13D9C"/>
    <w:rsid w:val="00E14370"/>
    <w:rsid w:val="00E1474F"/>
    <w:rsid w:val="00E1478E"/>
    <w:rsid w:val="00E147C0"/>
    <w:rsid w:val="00E15105"/>
    <w:rsid w:val="00E1536C"/>
    <w:rsid w:val="00E154E5"/>
    <w:rsid w:val="00E15C18"/>
    <w:rsid w:val="00E15CB7"/>
    <w:rsid w:val="00E1617D"/>
    <w:rsid w:val="00E171E0"/>
    <w:rsid w:val="00E17549"/>
    <w:rsid w:val="00E1796C"/>
    <w:rsid w:val="00E17B98"/>
    <w:rsid w:val="00E17D86"/>
    <w:rsid w:val="00E200B2"/>
    <w:rsid w:val="00E20408"/>
    <w:rsid w:val="00E20524"/>
    <w:rsid w:val="00E20740"/>
    <w:rsid w:val="00E20835"/>
    <w:rsid w:val="00E20A8B"/>
    <w:rsid w:val="00E20EA4"/>
    <w:rsid w:val="00E216E8"/>
    <w:rsid w:val="00E216F4"/>
    <w:rsid w:val="00E2191C"/>
    <w:rsid w:val="00E21C08"/>
    <w:rsid w:val="00E21F95"/>
    <w:rsid w:val="00E225A5"/>
    <w:rsid w:val="00E2287F"/>
    <w:rsid w:val="00E228ED"/>
    <w:rsid w:val="00E22A52"/>
    <w:rsid w:val="00E22B69"/>
    <w:rsid w:val="00E22D61"/>
    <w:rsid w:val="00E22DC9"/>
    <w:rsid w:val="00E22E4F"/>
    <w:rsid w:val="00E230D1"/>
    <w:rsid w:val="00E23102"/>
    <w:rsid w:val="00E234AA"/>
    <w:rsid w:val="00E235FD"/>
    <w:rsid w:val="00E23BC6"/>
    <w:rsid w:val="00E23F08"/>
    <w:rsid w:val="00E24685"/>
    <w:rsid w:val="00E2494C"/>
    <w:rsid w:val="00E24ACF"/>
    <w:rsid w:val="00E24C7D"/>
    <w:rsid w:val="00E250FF"/>
    <w:rsid w:val="00E26115"/>
    <w:rsid w:val="00E263DD"/>
    <w:rsid w:val="00E2679F"/>
    <w:rsid w:val="00E26DC9"/>
    <w:rsid w:val="00E2703C"/>
    <w:rsid w:val="00E2715D"/>
    <w:rsid w:val="00E27545"/>
    <w:rsid w:val="00E2781A"/>
    <w:rsid w:val="00E2799C"/>
    <w:rsid w:val="00E27B02"/>
    <w:rsid w:val="00E27DC5"/>
    <w:rsid w:val="00E3008E"/>
    <w:rsid w:val="00E30473"/>
    <w:rsid w:val="00E31023"/>
    <w:rsid w:val="00E3161B"/>
    <w:rsid w:val="00E31C3D"/>
    <w:rsid w:val="00E31C4F"/>
    <w:rsid w:val="00E31CF2"/>
    <w:rsid w:val="00E31FA4"/>
    <w:rsid w:val="00E32035"/>
    <w:rsid w:val="00E32609"/>
    <w:rsid w:val="00E32BC8"/>
    <w:rsid w:val="00E337A1"/>
    <w:rsid w:val="00E33827"/>
    <w:rsid w:val="00E3402E"/>
    <w:rsid w:val="00E34900"/>
    <w:rsid w:val="00E3505B"/>
    <w:rsid w:val="00E3515B"/>
    <w:rsid w:val="00E351DB"/>
    <w:rsid w:val="00E3528B"/>
    <w:rsid w:val="00E359F9"/>
    <w:rsid w:val="00E35AB1"/>
    <w:rsid w:val="00E35E0C"/>
    <w:rsid w:val="00E365DD"/>
    <w:rsid w:val="00E36986"/>
    <w:rsid w:val="00E36CCD"/>
    <w:rsid w:val="00E37404"/>
    <w:rsid w:val="00E37A42"/>
    <w:rsid w:val="00E40158"/>
    <w:rsid w:val="00E404B8"/>
    <w:rsid w:val="00E40929"/>
    <w:rsid w:val="00E40BAB"/>
    <w:rsid w:val="00E417BF"/>
    <w:rsid w:val="00E418C0"/>
    <w:rsid w:val="00E41B03"/>
    <w:rsid w:val="00E41E1F"/>
    <w:rsid w:val="00E420CF"/>
    <w:rsid w:val="00E42EF8"/>
    <w:rsid w:val="00E4301E"/>
    <w:rsid w:val="00E43368"/>
    <w:rsid w:val="00E43489"/>
    <w:rsid w:val="00E437AB"/>
    <w:rsid w:val="00E437C8"/>
    <w:rsid w:val="00E43E8F"/>
    <w:rsid w:val="00E43F6B"/>
    <w:rsid w:val="00E44337"/>
    <w:rsid w:val="00E44766"/>
    <w:rsid w:val="00E448E8"/>
    <w:rsid w:val="00E44D2A"/>
    <w:rsid w:val="00E44E0F"/>
    <w:rsid w:val="00E45077"/>
    <w:rsid w:val="00E4527D"/>
    <w:rsid w:val="00E45921"/>
    <w:rsid w:val="00E45DAC"/>
    <w:rsid w:val="00E45DB2"/>
    <w:rsid w:val="00E4657D"/>
    <w:rsid w:val="00E46762"/>
    <w:rsid w:val="00E46DD9"/>
    <w:rsid w:val="00E46E99"/>
    <w:rsid w:val="00E47AD3"/>
    <w:rsid w:val="00E47B2C"/>
    <w:rsid w:val="00E47D35"/>
    <w:rsid w:val="00E5038D"/>
    <w:rsid w:val="00E506B6"/>
    <w:rsid w:val="00E50A68"/>
    <w:rsid w:val="00E50E82"/>
    <w:rsid w:val="00E520BE"/>
    <w:rsid w:val="00E521BA"/>
    <w:rsid w:val="00E529A7"/>
    <w:rsid w:val="00E52E6E"/>
    <w:rsid w:val="00E52ED6"/>
    <w:rsid w:val="00E53615"/>
    <w:rsid w:val="00E543D9"/>
    <w:rsid w:val="00E544BC"/>
    <w:rsid w:val="00E54CBA"/>
    <w:rsid w:val="00E54E31"/>
    <w:rsid w:val="00E55F95"/>
    <w:rsid w:val="00E5607C"/>
    <w:rsid w:val="00E56F53"/>
    <w:rsid w:val="00E5713F"/>
    <w:rsid w:val="00E5735F"/>
    <w:rsid w:val="00E574C1"/>
    <w:rsid w:val="00E57E0C"/>
    <w:rsid w:val="00E57FA9"/>
    <w:rsid w:val="00E600DF"/>
    <w:rsid w:val="00E604A4"/>
    <w:rsid w:val="00E6060A"/>
    <w:rsid w:val="00E60955"/>
    <w:rsid w:val="00E614E4"/>
    <w:rsid w:val="00E61861"/>
    <w:rsid w:val="00E61A8F"/>
    <w:rsid w:val="00E61BC3"/>
    <w:rsid w:val="00E62037"/>
    <w:rsid w:val="00E62361"/>
    <w:rsid w:val="00E6296E"/>
    <w:rsid w:val="00E633EC"/>
    <w:rsid w:val="00E642B0"/>
    <w:rsid w:val="00E64724"/>
    <w:rsid w:val="00E64B2A"/>
    <w:rsid w:val="00E6568C"/>
    <w:rsid w:val="00E65733"/>
    <w:rsid w:val="00E65805"/>
    <w:rsid w:val="00E65D34"/>
    <w:rsid w:val="00E660DE"/>
    <w:rsid w:val="00E66111"/>
    <w:rsid w:val="00E66E18"/>
    <w:rsid w:val="00E66F21"/>
    <w:rsid w:val="00E672AF"/>
    <w:rsid w:val="00E672F7"/>
    <w:rsid w:val="00E67529"/>
    <w:rsid w:val="00E67606"/>
    <w:rsid w:val="00E67BDC"/>
    <w:rsid w:val="00E67ED3"/>
    <w:rsid w:val="00E67F36"/>
    <w:rsid w:val="00E70D3C"/>
    <w:rsid w:val="00E71418"/>
    <w:rsid w:val="00E717BB"/>
    <w:rsid w:val="00E71DCD"/>
    <w:rsid w:val="00E71E64"/>
    <w:rsid w:val="00E72010"/>
    <w:rsid w:val="00E7234F"/>
    <w:rsid w:val="00E725C8"/>
    <w:rsid w:val="00E72638"/>
    <w:rsid w:val="00E727F7"/>
    <w:rsid w:val="00E7298D"/>
    <w:rsid w:val="00E729CC"/>
    <w:rsid w:val="00E7398F"/>
    <w:rsid w:val="00E73A9C"/>
    <w:rsid w:val="00E73AB7"/>
    <w:rsid w:val="00E7427C"/>
    <w:rsid w:val="00E74364"/>
    <w:rsid w:val="00E74370"/>
    <w:rsid w:val="00E7464A"/>
    <w:rsid w:val="00E74A09"/>
    <w:rsid w:val="00E74F0C"/>
    <w:rsid w:val="00E75630"/>
    <w:rsid w:val="00E75809"/>
    <w:rsid w:val="00E7585D"/>
    <w:rsid w:val="00E75985"/>
    <w:rsid w:val="00E75D0D"/>
    <w:rsid w:val="00E75F1E"/>
    <w:rsid w:val="00E75F50"/>
    <w:rsid w:val="00E76049"/>
    <w:rsid w:val="00E764DD"/>
    <w:rsid w:val="00E76B93"/>
    <w:rsid w:val="00E76DCB"/>
    <w:rsid w:val="00E76DE2"/>
    <w:rsid w:val="00E7703A"/>
    <w:rsid w:val="00E7720F"/>
    <w:rsid w:val="00E772B1"/>
    <w:rsid w:val="00E77333"/>
    <w:rsid w:val="00E7746D"/>
    <w:rsid w:val="00E77800"/>
    <w:rsid w:val="00E77922"/>
    <w:rsid w:val="00E77992"/>
    <w:rsid w:val="00E77A26"/>
    <w:rsid w:val="00E77D18"/>
    <w:rsid w:val="00E80AEE"/>
    <w:rsid w:val="00E80D1B"/>
    <w:rsid w:val="00E80D32"/>
    <w:rsid w:val="00E80FFA"/>
    <w:rsid w:val="00E810A5"/>
    <w:rsid w:val="00E8143A"/>
    <w:rsid w:val="00E8185A"/>
    <w:rsid w:val="00E81BFA"/>
    <w:rsid w:val="00E825BA"/>
    <w:rsid w:val="00E82F89"/>
    <w:rsid w:val="00E83103"/>
    <w:rsid w:val="00E8362C"/>
    <w:rsid w:val="00E83C09"/>
    <w:rsid w:val="00E8460E"/>
    <w:rsid w:val="00E84720"/>
    <w:rsid w:val="00E8483A"/>
    <w:rsid w:val="00E84DC6"/>
    <w:rsid w:val="00E85A19"/>
    <w:rsid w:val="00E85AF8"/>
    <w:rsid w:val="00E85DE7"/>
    <w:rsid w:val="00E8605B"/>
    <w:rsid w:val="00E86197"/>
    <w:rsid w:val="00E863EE"/>
    <w:rsid w:val="00E86774"/>
    <w:rsid w:val="00E8695B"/>
    <w:rsid w:val="00E86A7A"/>
    <w:rsid w:val="00E86CCC"/>
    <w:rsid w:val="00E86D32"/>
    <w:rsid w:val="00E873B3"/>
    <w:rsid w:val="00E873C3"/>
    <w:rsid w:val="00E87774"/>
    <w:rsid w:val="00E87850"/>
    <w:rsid w:val="00E87DCE"/>
    <w:rsid w:val="00E907AE"/>
    <w:rsid w:val="00E907E7"/>
    <w:rsid w:val="00E90FB1"/>
    <w:rsid w:val="00E91022"/>
    <w:rsid w:val="00E91307"/>
    <w:rsid w:val="00E9135D"/>
    <w:rsid w:val="00E915BE"/>
    <w:rsid w:val="00E91B05"/>
    <w:rsid w:val="00E91E77"/>
    <w:rsid w:val="00E92261"/>
    <w:rsid w:val="00E92321"/>
    <w:rsid w:val="00E926FE"/>
    <w:rsid w:val="00E927A4"/>
    <w:rsid w:val="00E92811"/>
    <w:rsid w:val="00E9297A"/>
    <w:rsid w:val="00E929A4"/>
    <w:rsid w:val="00E92EB2"/>
    <w:rsid w:val="00E9356C"/>
    <w:rsid w:val="00E937B7"/>
    <w:rsid w:val="00E93B6B"/>
    <w:rsid w:val="00E93E6A"/>
    <w:rsid w:val="00E947AD"/>
    <w:rsid w:val="00E94E91"/>
    <w:rsid w:val="00E94FC5"/>
    <w:rsid w:val="00E94FC9"/>
    <w:rsid w:val="00E9509D"/>
    <w:rsid w:val="00E9516F"/>
    <w:rsid w:val="00E9532C"/>
    <w:rsid w:val="00E95399"/>
    <w:rsid w:val="00E956AD"/>
    <w:rsid w:val="00E95A55"/>
    <w:rsid w:val="00E95BEA"/>
    <w:rsid w:val="00E95F5D"/>
    <w:rsid w:val="00E9606E"/>
    <w:rsid w:val="00E962DA"/>
    <w:rsid w:val="00E96B96"/>
    <w:rsid w:val="00E96D23"/>
    <w:rsid w:val="00E96D26"/>
    <w:rsid w:val="00E96DD6"/>
    <w:rsid w:val="00E96EDF"/>
    <w:rsid w:val="00E97EA9"/>
    <w:rsid w:val="00EA0E31"/>
    <w:rsid w:val="00EA0EF7"/>
    <w:rsid w:val="00EA117F"/>
    <w:rsid w:val="00EA15FF"/>
    <w:rsid w:val="00EA1F55"/>
    <w:rsid w:val="00EA2296"/>
    <w:rsid w:val="00EA271F"/>
    <w:rsid w:val="00EA2CF3"/>
    <w:rsid w:val="00EA3232"/>
    <w:rsid w:val="00EA3334"/>
    <w:rsid w:val="00EA38FB"/>
    <w:rsid w:val="00EA3D2C"/>
    <w:rsid w:val="00EA3F39"/>
    <w:rsid w:val="00EA4A58"/>
    <w:rsid w:val="00EA5269"/>
    <w:rsid w:val="00EA567D"/>
    <w:rsid w:val="00EA58FC"/>
    <w:rsid w:val="00EA5AE1"/>
    <w:rsid w:val="00EA5BE7"/>
    <w:rsid w:val="00EA5FB2"/>
    <w:rsid w:val="00EA6203"/>
    <w:rsid w:val="00EA622E"/>
    <w:rsid w:val="00EA62B9"/>
    <w:rsid w:val="00EA639E"/>
    <w:rsid w:val="00EA66A1"/>
    <w:rsid w:val="00EA6836"/>
    <w:rsid w:val="00EA6918"/>
    <w:rsid w:val="00EA6974"/>
    <w:rsid w:val="00EA712E"/>
    <w:rsid w:val="00EA7D6C"/>
    <w:rsid w:val="00EA7FF0"/>
    <w:rsid w:val="00EB04F7"/>
    <w:rsid w:val="00EB05CD"/>
    <w:rsid w:val="00EB0741"/>
    <w:rsid w:val="00EB07C8"/>
    <w:rsid w:val="00EB09DC"/>
    <w:rsid w:val="00EB0CA7"/>
    <w:rsid w:val="00EB1326"/>
    <w:rsid w:val="00EB1969"/>
    <w:rsid w:val="00EB1EAD"/>
    <w:rsid w:val="00EB276E"/>
    <w:rsid w:val="00EB2884"/>
    <w:rsid w:val="00EB2AC4"/>
    <w:rsid w:val="00EB2D4E"/>
    <w:rsid w:val="00EB324C"/>
    <w:rsid w:val="00EB398F"/>
    <w:rsid w:val="00EB3D09"/>
    <w:rsid w:val="00EB4551"/>
    <w:rsid w:val="00EB46F3"/>
    <w:rsid w:val="00EB4840"/>
    <w:rsid w:val="00EB4907"/>
    <w:rsid w:val="00EB49B6"/>
    <w:rsid w:val="00EB4D39"/>
    <w:rsid w:val="00EB528C"/>
    <w:rsid w:val="00EB5791"/>
    <w:rsid w:val="00EB5AC7"/>
    <w:rsid w:val="00EB5C70"/>
    <w:rsid w:val="00EB5E70"/>
    <w:rsid w:val="00EB6101"/>
    <w:rsid w:val="00EB6196"/>
    <w:rsid w:val="00EB640D"/>
    <w:rsid w:val="00EB6E93"/>
    <w:rsid w:val="00EB7008"/>
    <w:rsid w:val="00EB701F"/>
    <w:rsid w:val="00EB7200"/>
    <w:rsid w:val="00EB72D5"/>
    <w:rsid w:val="00EB75F2"/>
    <w:rsid w:val="00EB7F4A"/>
    <w:rsid w:val="00EB7F96"/>
    <w:rsid w:val="00EC05F4"/>
    <w:rsid w:val="00EC07D3"/>
    <w:rsid w:val="00EC0861"/>
    <w:rsid w:val="00EC0980"/>
    <w:rsid w:val="00EC1503"/>
    <w:rsid w:val="00EC172B"/>
    <w:rsid w:val="00EC1841"/>
    <w:rsid w:val="00EC1AAE"/>
    <w:rsid w:val="00EC1E17"/>
    <w:rsid w:val="00EC1F0C"/>
    <w:rsid w:val="00EC2490"/>
    <w:rsid w:val="00EC27C9"/>
    <w:rsid w:val="00EC2883"/>
    <w:rsid w:val="00EC28C1"/>
    <w:rsid w:val="00EC2945"/>
    <w:rsid w:val="00EC2AE8"/>
    <w:rsid w:val="00EC31AB"/>
    <w:rsid w:val="00EC3464"/>
    <w:rsid w:val="00EC357D"/>
    <w:rsid w:val="00EC35AD"/>
    <w:rsid w:val="00EC3910"/>
    <w:rsid w:val="00EC3A05"/>
    <w:rsid w:val="00EC3CC4"/>
    <w:rsid w:val="00EC3F48"/>
    <w:rsid w:val="00EC400B"/>
    <w:rsid w:val="00EC409F"/>
    <w:rsid w:val="00EC46B9"/>
    <w:rsid w:val="00EC4760"/>
    <w:rsid w:val="00EC4FC4"/>
    <w:rsid w:val="00EC589E"/>
    <w:rsid w:val="00EC5A46"/>
    <w:rsid w:val="00EC5D7E"/>
    <w:rsid w:val="00EC5F4E"/>
    <w:rsid w:val="00EC6DF1"/>
    <w:rsid w:val="00EC7619"/>
    <w:rsid w:val="00EC78BE"/>
    <w:rsid w:val="00EC7930"/>
    <w:rsid w:val="00EC7EE1"/>
    <w:rsid w:val="00ED01EF"/>
    <w:rsid w:val="00ED06BA"/>
    <w:rsid w:val="00ED082B"/>
    <w:rsid w:val="00ED082D"/>
    <w:rsid w:val="00ED08A5"/>
    <w:rsid w:val="00ED0CFF"/>
    <w:rsid w:val="00ED12BE"/>
    <w:rsid w:val="00ED1559"/>
    <w:rsid w:val="00ED1D34"/>
    <w:rsid w:val="00ED1EF1"/>
    <w:rsid w:val="00ED1FAF"/>
    <w:rsid w:val="00ED2510"/>
    <w:rsid w:val="00ED2519"/>
    <w:rsid w:val="00ED2588"/>
    <w:rsid w:val="00ED293C"/>
    <w:rsid w:val="00ED2953"/>
    <w:rsid w:val="00ED30B2"/>
    <w:rsid w:val="00ED316F"/>
    <w:rsid w:val="00ED35ED"/>
    <w:rsid w:val="00ED3639"/>
    <w:rsid w:val="00ED3A16"/>
    <w:rsid w:val="00ED3E7B"/>
    <w:rsid w:val="00ED3EC0"/>
    <w:rsid w:val="00ED3FE6"/>
    <w:rsid w:val="00ED4314"/>
    <w:rsid w:val="00ED4DE8"/>
    <w:rsid w:val="00ED53A6"/>
    <w:rsid w:val="00ED550C"/>
    <w:rsid w:val="00ED5813"/>
    <w:rsid w:val="00ED61CB"/>
    <w:rsid w:val="00ED6400"/>
    <w:rsid w:val="00ED6784"/>
    <w:rsid w:val="00ED6C59"/>
    <w:rsid w:val="00ED6CA8"/>
    <w:rsid w:val="00ED6CEB"/>
    <w:rsid w:val="00ED6E90"/>
    <w:rsid w:val="00ED70C6"/>
    <w:rsid w:val="00ED7C75"/>
    <w:rsid w:val="00ED7E85"/>
    <w:rsid w:val="00ED7F5E"/>
    <w:rsid w:val="00EE0247"/>
    <w:rsid w:val="00EE077A"/>
    <w:rsid w:val="00EE079C"/>
    <w:rsid w:val="00EE0A53"/>
    <w:rsid w:val="00EE0DD9"/>
    <w:rsid w:val="00EE1005"/>
    <w:rsid w:val="00EE144D"/>
    <w:rsid w:val="00EE1553"/>
    <w:rsid w:val="00EE1703"/>
    <w:rsid w:val="00EE17A5"/>
    <w:rsid w:val="00EE186E"/>
    <w:rsid w:val="00EE19E8"/>
    <w:rsid w:val="00EE2007"/>
    <w:rsid w:val="00EE2200"/>
    <w:rsid w:val="00EE258B"/>
    <w:rsid w:val="00EE271F"/>
    <w:rsid w:val="00EE2979"/>
    <w:rsid w:val="00EE2BEA"/>
    <w:rsid w:val="00EE2DA0"/>
    <w:rsid w:val="00EE4206"/>
    <w:rsid w:val="00EE56E6"/>
    <w:rsid w:val="00EE68E2"/>
    <w:rsid w:val="00EE6E3D"/>
    <w:rsid w:val="00EE72AA"/>
    <w:rsid w:val="00EE7578"/>
    <w:rsid w:val="00EE75FA"/>
    <w:rsid w:val="00EE7AC3"/>
    <w:rsid w:val="00EE7B88"/>
    <w:rsid w:val="00EE7D6F"/>
    <w:rsid w:val="00EE7E7A"/>
    <w:rsid w:val="00EF03B9"/>
    <w:rsid w:val="00EF17D3"/>
    <w:rsid w:val="00EF18F2"/>
    <w:rsid w:val="00EF1A29"/>
    <w:rsid w:val="00EF1C15"/>
    <w:rsid w:val="00EF1C16"/>
    <w:rsid w:val="00EF1CE5"/>
    <w:rsid w:val="00EF1F54"/>
    <w:rsid w:val="00EF21EF"/>
    <w:rsid w:val="00EF220B"/>
    <w:rsid w:val="00EF2770"/>
    <w:rsid w:val="00EF2E69"/>
    <w:rsid w:val="00EF2F39"/>
    <w:rsid w:val="00EF2FE1"/>
    <w:rsid w:val="00EF4A81"/>
    <w:rsid w:val="00EF4F9A"/>
    <w:rsid w:val="00EF532B"/>
    <w:rsid w:val="00EF53CD"/>
    <w:rsid w:val="00EF5D9A"/>
    <w:rsid w:val="00EF6150"/>
    <w:rsid w:val="00EF646D"/>
    <w:rsid w:val="00EF6731"/>
    <w:rsid w:val="00EF674C"/>
    <w:rsid w:val="00EF6788"/>
    <w:rsid w:val="00EF6904"/>
    <w:rsid w:val="00EF69E7"/>
    <w:rsid w:val="00EF6A3E"/>
    <w:rsid w:val="00EF6AC3"/>
    <w:rsid w:val="00EF6B27"/>
    <w:rsid w:val="00EF6EE8"/>
    <w:rsid w:val="00EF725F"/>
    <w:rsid w:val="00EF72BA"/>
    <w:rsid w:val="00EF75FC"/>
    <w:rsid w:val="00EF7B05"/>
    <w:rsid w:val="00EF7FB6"/>
    <w:rsid w:val="00F00C55"/>
    <w:rsid w:val="00F00E71"/>
    <w:rsid w:val="00F01221"/>
    <w:rsid w:val="00F012F8"/>
    <w:rsid w:val="00F012FF"/>
    <w:rsid w:val="00F01424"/>
    <w:rsid w:val="00F0173C"/>
    <w:rsid w:val="00F019CC"/>
    <w:rsid w:val="00F01F09"/>
    <w:rsid w:val="00F01F21"/>
    <w:rsid w:val="00F02228"/>
    <w:rsid w:val="00F0225A"/>
    <w:rsid w:val="00F02387"/>
    <w:rsid w:val="00F02439"/>
    <w:rsid w:val="00F02450"/>
    <w:rsid w:val="00F02464"/>
    <w:rsid w:val="00F025B3"/>
    <w:rsid w:val="00F0284D"/>
    <w:rsid w:val="00F03489"/>
    <w:rsid w:val="00F036DA"/>
    <w:rsid w:val="00F03DE9"/>
    <w:rsid w:val="00F045BD"/>
    <w:rsid w:val="00F045D1"/>
    <w:rsid w:val="00F04623"/>
    <w:rsid w:val="00F04AA0"/>
    <w:rsid w:val="00F04F00"/>
    <w:rsid w:val="00F0519A"/>
    <w:rsid w:val="00F0535A"/>
    <w:rsid w:val="00F05378"/>
    <w:rsid w:val="00F0561E"/>
    <w:rsid w:val="00F05704"/>
    <w:rsid w:val="00F05A03"/>
    <w:rsid w:val="00F060C9"/>
    <w:rsid w:val="00F0677C"/>
    <w:rsid w:val="00F0746C"/>
    <w:rsid w:val="00F077F9"/>
    <w:rsid w:val="00F07D2B"/>
    <w:rsid w:val="00F10255"/>
    <w:rsid w:val="00F104F7"/>
    <w:rsid w:val="00F107AC"/>
    <w:rsid w:val="00F108B6"/>
    <w:rsid w:val="00F10907"/>
    <w:rsid w:val="00F10940"/>
    <w:rsid w:val="00F10A39"/>
    <w:rsid w:val="00F1113F"/>
    <w:rsid w:val="00F1114B"/>
    <w:rsid w:val="00F114D3"/>
    <w:rsid w:val="00F11660"/>
    <w:rsid w:val="00F11755"/>
    <w:rsid w:val="00F11C8F"/>
    <w:rsid w:val="00F11E1C"/>
    <w:rsid w:val="00F1242D"/>
    <w:rsid w:val="00F124FD"/>
    <w:rsid w:val="00F1288F"/>
    <w:rsid w:val="00F12C3E"/>
    <w:rsid w:val="00F12C82"/>
    <w:rsid w:val="00F12CD8"/>
    <w:rsid w:val="00F12E62"/>
    <w:rsid w:val="00F1350D"/>
    <w:rsid w:val="00F13A2E"/>
    <w:rsid w:val="00F13D6A"/>
    <w:rsid w:val="00F13EBD"/>
    <w:rsid w:val="00F14089"/>
    <w:rsid w:val="00F14C8A"/>
    <w:rsid w:val="00F14CCD"/>
    <w:rsid w:val="00F14EFC"/>
    <w:rsid w:val="00F14FC9"/>
    <w:rsid w:val="00F15345"/>
    <w:rsid w:val="00F155EE"/>
    <w:rsid w:val="00F1584F"/>
    <w:rsid w:val="00F15911"/>
    <w:rsid w:val="00F16287"/>
    <w:rsid w:val="00F1692F"/>
    <w:rsid w:val="00F16BCF"/>
    <w:rsid w:val="00F16F25"/>
    <w:rsid w:val="00F170BD"/>
    <w:rsid w:val="00F172A9"/>
    <w:rsid w:val="00F17462"/>
    <w:rsid w:val="00F17981"/>
    <w:rsid w:val="00F17A12"/>
    <w:rsid w:val="00F2037D"/>
    <w:rsid w:val="00F20393"/>
    <w:rsid w:val="00F20BF1"/>
    <w:rsid w:val="00F20CAB"/>
    <w:rsid w:val="00F20E58"/>
    <w:rsid w:val="00F21018"/>
    <w:rsid w:val="00F210F4"/>
    <w:rsid w:val="00F21A3D"/>
    <w:rsid w:val="00F21FE6"/>
    <w:rsid w:val="00F22512"/>
    <w:rsid w:val="00F226D7"/>
    <w:rsid w:val="00F229FD"/>
    <w:rsid w:val="00F22B5B"/>
    <w:rsid w:val="00F22BA9"/>
    <w:rsid w:val="00F22E6C"/>
    <w:rsid w:val="00F2316D"/>
    <w:rsid w:val="00F234DA"/>
    <w:rsid w:val="00F23CD6"/>
    <w:rsid w:val="00F23F3C"/>
    <w:rsid w:val="00F2401B"/>
    <w:rsid w:val="00F24090"/>
    <w:rsid w:val="00F241D8"/>
    <w:rsid w:val="00F2450C"/>
    <w:rsid w:val="00F247BF"/>
    <w:rsid w:val="00F24AF1"/>
    <w:rsid w:val="00F24D3C"/>
    <w:rsid w:val="00F250E5"/>
    <w:rsid w:val="00F25220"/>
    <w:rsid w:val="00F2534F"/>
    <w:rsid w:val="00F25666"/>
    <w:rsid w:val="00F258FB"/>
    <w:rsid w:val="00F25A07"/>
    <w:rsid w:val="00F2601E"/>
    <w:rsid w:val="00F26392"/>
    <w:rsid w:val="00F270ED"/>
    <w:rsid w:val="00F273C6"/>
    <w:rsid w:val="00F279D3"/>
    <w:rsid w:val="00F27CF7"/>
    <w:rsid w:val="00F27E51"/>
    <w:rsid w:val="00F301D6"/>
    <w:rsid w:val="00F305C7"/>
    <w:rsid w:val="00F30914"/>
    <w:rsid w:val="00F30A23"/>
    <w:rsid w:val="00F30BE7"/>
    <w:rsid w:val="00F30F89"/>
    <w:rsid w:val="00F310DF"/>
    <w:rsid w:val="00F310F9"/>
    <w:rsid w:val="00F31140"/>
    <w:rsid w:val="00F311AC"/>
    <w:rsid w:val="00F311BC"/>
    <w:rsid w:val="00F31A02"/>
    <w:rsid w:val="00F31D6D"/>
    <w:rsid w:val="00F31F8C"/>
    <w:rsid w:val="00F321AF"/>
    <w:rsid w:val="00F32AD1"/>
    <w:rsid w:val="00F32B1C"/>
    <w:rsid w:val="00F32E06"/>
    <w:rsid w:val="00F32E77"/>
    <w:rsid w:val="00F3320B"/>
    <w:rsid w:val="00F336BA"/>
    <w:rsid w:val="00F33962"/>
    <w:rsid w:val="00F34728"/>
    <w:rsid w:val="00F34750"/>
    <w:rsid w:val="00F34F5C"/>
    <w:rsid w:val="00F34FD3"/>
    <w:rsid w:val="00F35134"/>
    <w:rsid w:val="00F351AD"/>
    <w:rsid w:val="00F36027"/>
    <w:rsid w:val="00F36054"/>
    <w:rsid w:val="00F36129"/>
    <w:rsid w:val="00F3628E"/>
    <w:rsid w:val="00F36D3E"/>
    <w:rsid w:val="00F36F80"/>
    <w:rsid w:val="00F378CB"/>
    <w:rsid w:val="00F37ED8"/>
    <w:rsid w:val="00F40214"/>
    <w:rsid w:val="00F4050D"/>
    <w:rsid w:val="00F40558"/>
    <w:rsid w:val="00F40A6B"/>
    <w:rsid w:val="00F412B1"/>
    <w:rsid w:val="00F41701"/>
    <w:rsid w:val="00F417F3"/>
    <w:rsid w:val="00F41A2E"/>
    <w:rsid w:val="00F421F1"/>
    <w:rsid w:val="00F4266C"/>
    <w:rsid w:val="00F427D1"/>
    <w:rsid w:val="00F43024"/>
    <w:rsid w:val="00F43243"/>
    <w:rsid w:val="00F436D5"/>
    <w:rsid w:val="00F45631"/>
    <w:rsid w:val="00F45AFC"/>
    <w:rsid w:val="00F463EA"/>
    <w:rsid w:val="00F46423"/>
    <w:rsid w:val="00F4658D"/>
    <w:rsid w:val="00F465A6"/>
    <w:rsid w:val="00F46688"/>
    <w:rsid w:val="00F466D9"/>
    <w:rsid w:val="00F4677F"/>
    <w:rsid w:val="00F46F30"/>
    <w:rsid w:val="00F470DC"/>
    <w:rsid w:val="00F47700"/>
    <w:rsid w:val="00F47945"/>
    <w:rsid w:val="00F47A93"/>
    <w:rsid w:val="00F47BC5"/>
    <w:rsid w:val="00F47DC2"/>
    <w:rsid w:val="00F47F5E"/>
    <w:rsid w:val="00F50358"/>
    <w:rsid w:val="00F50839"/>
    <w:rsid w:val="00F50C71"/>
    <w:rsid w:val="00F50E40"/>
    <w:rsid w:val="00F50EBE"/>
    <w:rsid w:val="00F50F93"/>
    <w:rsid w:val="00F5112B"/>
    <w:rsid w:val="00F512C5"/>
    <w:rsid w:val="00F51379"/>
    <w:rsid w:val="00F516E7"/>
    <w:rsid w:val="00F5184D"/>
    <w:rsid w:val="00F51C8B"/>
    <w:rsid w:val="00F52089"/>
    <w:rsid w:val="00F5218C"/>
    <w:rsid w:val="00F52637"/>
    <w:rsid w:val="00F52718"/>
    <w:rsid w:val="00F52ACF"/>
    <w:rsid w:val="00F52BAA"/>
    <w:rsid w:val="00F53053"/>
    <w:rsid w:val="00F530B1"/>
    <w:rsid w:val="00F531B8"/>
    <w:rsid w:val="00F53599"/>
    <w:rsid w:val="00F54560"/>
    <w:rsid w:val="00F54578"/>
    <w:rsid w:val="00F54712"/>
    <w:rsid w:val="00F54863"/>
    <w:rsid w:val="00F549E1"/>
    <w:rsid w:val="00F54E37"/>
    <w:rsid w:val="00F55007"/>
    <w:rsid w:val="00F55A58"/>
    <w:rsid w:val="00F55AEA"/>
    <w:rsid w:val="00F55CB8"/>
    <w:rsid w:val="00F55D51"/>
    <w:rsid w:val="00F55F2F"/>
    <w:rsid w:val="00F55F87"/>
    <w:rsid w:val="00F560A4"/>
    <w:rsid w:val="00F56494"/>
    <w:rsid w:val="00F56507"/>
    <w:rsid w:val="00F56708"/>
    <w:rsid w:val="00F569C4"/>
    <w:rsid w:val="00F57777"/>
    <w:rsid w:val="00F57938"/>
    <w:rsid w:val="00F579DC"/>
    <w:rsid w:val="00F57ADF"/>
    <w:rsid w:val="00F57FAC"/>
    <w:rsid w:val="00F60154"/>
    <w:rsid w:val="00F605C2"/>
    <w:rsid w:val="00F6101A"/>
    <w:rsid w:val="00F612F6"/>
    <w:rsid w:val="00F6134D"/>
    <w:rsid w:val="00F614D4"/>
    <w:rsid w:val="00F61691"/>
    <w:rsid w:val="00F61BC2"/>
    <w:rsid w:val="00F62359"/>
    <w:rsid w:val="00F623E6"/>
    <w:rsid w:val="00F62490"/>
    <w:rsid w:val="00F62F53"/>
    <w:rsid w:val="00F63798"/>
    <w:rsid w:val="00F63A99"/>
    <w:rsid w:val="00F6410D"/>
    <w:rsid w:val="00F648F7"/>
    <w:rsid w:val="00F64A22"/>
    <w:rsid w:val="00F65005"/>
    <w:rsid w:val="00F656A2"/>
    <w:rsid w:val="00F65E4F"/>
    <w:rsid w:val="00F65EC4"/>
    <w:rsid w:val="00F65EF2"/>
    <w:rsid w:val="00F6629C"/>
    <w:rsid w:val="00F663BE"/>
    <w:rsid w:val="00F66527"/>
    <w:rsid w:val="00F66C50"/>
    <w:rsid w:val="00F66CC4"/>
    <w:rsid w:val="00F66E23"/>
    <w:rsid w:val="00F6719D"/>
    <w:rsid w:val="00F67392"/>
    <w:rsid w:val="00F6798E"/>
    <w:rsid w:val="00F701D7"/>
    <w:rsid w:val="00F70514"/>
    <w:rsid w:val="00F710FE"/>
    <w:rsid w:val="00F712EF"/>
    <w:rsid w:val="00F7131E"/>
    <w:rsid w:val="00F71369"/>
    <w:rsid w:val="00F71528"/>
    <w:rsid w:val="00F71565"/>
    <w:rsid w:val="00F71822"/>
    <w:rsid w:val="00F719E1"/>
    <w:rsid w:val="00F71A90"/>
    <w:rsid w:val="00F720DD"/>
    <w:rsid w:val="00F720EC"/>
    <w:rsid w:val="00F722E1"/>
    <w:rsid w:val="00F72513"/>
    <w:rsid w:val="00F73140"/>
    <w:rsid w:val="00F7329C"/>
    <w:rsid w:val="00F735FE"/>
    <w:rsid w:val="00F73707"/>
    <w:rsid w:val="00F7370F"/>
    <w:rsid w:val="00F73C9F"/>
    <w:rsid w:val="00F73FA4"/>
    <w:rsid w:val="00F74031"/>
    <w:rsid w:val="00F740CC"/>
    <w:rsid w:val="00F743E3"/>
    <w:rsid w:val="00F746B2"/>
    <w:rsid w:val="00F74EB4"/>
    <w:rsid w:val="00F75210"/>
    <w:rsid w:val="00F7532F"/>
    <w:rsid w:val="00F75531"/>
    <w:rsid w:val="00F75907"/>
    <w:rsid w:val="00F75BB3"/>
    <w:rsid w:val="00F76015"/>
    <w:rsid w:val="00F760F7"/>
    <w:rsid w:val="00F769EA"/>
    <w:rsid w:val="00F76C0D"/>
    <w:rsid w:val="00F770A5"/>
    <w:rsid w:val="00F80A16"/>
    <w:rsid w:val="00F80D7C"/>
    <w:rsid w:val="00F810A2"/>
    <w:rsid w:val="00F81501"/>
    <w:rsid w:val="00F8161A"/>
    <w:rsid w:val="00F8183F"/>
    <w:rsid w:val="00F81941"/>
    <w:rsid w:val="00F81D86"/>
    <w:rsid w:val="00F8202E"/>
    <w:rsid w:val="00F821C4"/>
    <w:rsid w:val="00F82385"/>
    <w:rsid w:val="00F8258A"/>
    <w:rsid w:val="00F82A3B"/>
    <w:rsid w:val="00F831AD"/>
    <w:rsid w:val="00F83255"/>
    <w:rsid w:val="00F83345"/>
    <w:rsid w:val="00F83452"/>
    <w:rsid w:val="00F835AB"/>
    <w:rsid w:val="00F83B0F"/>
    <w:rsid w:val="00F83C7B"/>
    <w:rsid w:val="00F83CA0"/>
    <w:rsid w:val="00F84035"/>
    <w:rsid w:val="00F84122"/>
    <w:rsid w:val="00F84448"/>
    <w:rsid w:val="00F84EB2"/>
    <w:rsid w:val="00F85487"/>
    <w:rsid w:val="00F8587D"/>
    <w:rsid w:val="00F85CF1"/>
    <w:rsid w:val="00F860FB"/>
    <w:rsid w:val="00F861C4"/>
    <w:rsid w:val="00F86615"/>
    <w:rsid w:val="00F86C59"/>
    <w:rsid w:val="00F87006"/>
    <w:rsid w:val="00F87013"/>
    <w:rsid w:val="00F870E5"/>
    <w:rsid w:val="00F87846"/>
    <w:rsid w:val="00F87B06"/>
    <w:rsid w:val="00F87EFE"/>
    <w:rsid w:val="00F90CA9"/>
    <w:rsid w:val="00F91110"/>
    <w:rsid w:val="00F91F98"/>
    <w:rsid w:val="00F92150"/>
    <w:rsid w:val="00F9229E"/>
    <w:rsid w:val="00F929D2"/>
    <w:rsid w:val="00F92A96"/>
    <w:rsid w:val="00F930C5"/>
    <w:rsid w:val="00F93761"/>
    <w:rsid w:val="00F93D59"/>
    <w:rsid w:val="00F93E19"/>
    <w:rsid w:val="00F941D3"/>
    <w:rsid w:val="00F94FD5"/>
    <w:rsid w:val="00F953C8"/>
    <w:rsid w:val="00F956B4"/>
    <w:rsid w:val="00F95DFA"/>
    <w:rsid w:val="00F96371"/>
    <w:rsid w:val="00F96F00"/>
    <w:rsid w:val="00F96F3E"/>
    <w:rsid w:val="00F97B16"/>
    <w:rsid w:val="00F97CCE"/>
    <w:rsid w:val="00FA00B6"/>
    <w:rsid w:val="00FA0119"/>
    <w:rsid w:val="00FA0334"/>
    <w:rsid w:val="00FA0B6A"/>
    <w:rsid w:val="00FA1049"/>
    <w:rsid w:val="00FA1195"/>
    <w:rsid w:val="00FA11F1"/>
    <w:rsid w:val="00FA2113"/>
    <w:rsid w:val="00FA215C"/>
    <w:rsid w:val="00FA27CD"/>
    <w:rsid w:val="00FA2A7C"/>
    <w:rsid w:val="00FA2AB1"/>
    <w:rsid w:val="00FA2BA3"/>
    <w:rsid w:val="00FA34D8"/>
    <w:rsid w:val="00FA3B46"/>
    <w:rsid w:val="00FA419E"/>
    <w:rsid w:val="00FA4213"/>
    <w:rsid w:val="00FA42AC"/>
    <w:rsid w:val="00FA44A7"/>
    <w:rsid w:val="00FA46AB"/>
    <w:rsid w:val="00FA4DC2"/>
    <w:rsid w:val="00FA5010"/>
    <w:rsid w:val="00FA513F"/>
    <w:rsid w:val="00FA52F7"/>
    <w:rsid w:val="00FA54FD"/>
    <w:rsid w:val="00FA5B14"/>
    <w:rsid w:val="00FA5D92"/>
    <w:rsid w:val="00FA5DE7"/>
    <w:rsid w:val="00FA61D8"/>
    <w:rsid w:val="00FA6297"/>
    <w:rsid w:val="00FA69FE"/>
    <w:rsid w:val="00FA6CD7"/>
    <w:rsid w:val="00FA6D16"/>
    <w:rsid w:val="00FA6D70"/>
    <w:rsid w:val="00FA7113"/>
    <w:rsid w:val="00FA78EF"/>
    <w:rsid w:val="00FA79AA"/>
    <w:rsid w:val="00FA7AD9"/>
    <w:rsid w:val="00FA7CDD"/>
    <w:rsid w:val="00FA7D85"/>
    <w:rsid w:val="00FB0140"/>
    <w:rsid w:val="00FB01A7"/>
    <w:rsid w:val="00FB0C0D"/>
    <w:rsid w:val="00FB10E3"/>
    <w:rsid w:val="00FB1138"/>
    <w:rsid w:val="00FB1C59"/>
    <w:rsid w:val="00FB1E17"/>
    <w:rsid w:val="00FB1E49"/>
    <w:rsid w:val="00FB219C"/>
    <w:rsid w:val="00FB25F7"/>
    <w:rsid w:val="00FB28F1"/>
    <w:rsid w:val="00FB29D2"/>
    <w:rsid w:val="00FB2B37"/>
    <w:rsid w:val="00FB2C8A"/>
    <w:rsid w:val="00FB2EB0"/>
    <w:rsid w:val="00FB329F"/>
    <w:rsid w:val="00FB337B"/>
    <w:rsid w:val="00FB367D"/>
    <w:rsid w:val="00FB3D68"/>
    <w:rsid w:val="00FB3E89"/>
    <w:rsid w:val="00FB404C"/>
    <w:rsid w:val="00FB429A"/>
    <w:rsid w:val="00FB4CD3"/>
    <w:rsid w:val="00FB5218"/>
    <w:rsid w:val="00FB52DB"/>
    <w:rsid w:val="00FB5701"/>
    <w:rsid w:val="00FB582A"/>
    <w:rsid w:val="00FB5BEE"/>
    <w:rsid w:val="00FB5CD9"/>
    <w:rsid w:val="00FB608E"/>
    <w:rsid w:val="00FB60CA"/>
    <w:rsid w:val="00FB6133"/>
    <w:rsid w:val="00FB6527"/>
    <w:rsid w:val="00FB6D6E"/>
    <w:rsid w:val="00FB6E33"/>
    <w:rsid w:val="00FB6E97"/>
    <w:rsid w:val="00FB7168"/>
    <w:rsid w:val="00FB7673"/>
    <w:rsid w:val="00FB76E8"/>
    <w:rsid w:val="00FB77B1"/>
    <w:rsid w:val="00FB7CE4"/>
    <w:rsid w:val="00FC06E9"/>
    <w:rsid w:val="00FC09EA"/>
    <w:rsid w:val="00FC1CFD"/>
    <w:rsid w:val="00FC1FBD"/>
    <w:rsid w:val="00FC2206"/>
    <w:rsid w:val="00FC2254"/>
    <w:rsid w:val="00FC2416"/>
    <w:rsid w:val="00FC2517"/>
    <w:rsid w:val="00FC2903"/>
    <w:rsid w:val="00FC2A19"/>
    <w:rsid w:val="00FC2A51"/>
    <w:rsid w:val="00FC2FDB"/>
    <w:rsid w:val="00FC3718"/>
    <w:rsid w:val="00FC3DAA"/>
    <w:rsid w:val="00FC3DB7"/>
    <w:rsid w:val="00FC3EB4"/>
    <w:rsid w:val="00FC4B6D"/>
    <w:rsid w:val="00FC4D63"/>
    <w:rsid w:val="00FC4E1C"/>
    <w:rsid w:val="00FC570C"/>
    <w:rsid w:val="00FC5756"/>
    <w:rsid w:val="00FC5819"/>
    <w:rsid w:val="00FC5A75"/>
    <w:rsid w:val="00FC5B0B"/>
    <w:rsid w:val="00FC5D8E"/>
    <w:rsid w:val="00FC6236"/>
    <w:rsid w:val="00FC662E"/>
    <w:rsid w:val="00FC66D9"/>
    <w:rsid w:val="00FC6D86"/>
    <w:rsid w:val="00FC6F46"/>
    <w:rsid w:val="00FC732C"/>
    <w:rsid w:val="00FC768C"/>
    <w:rsid w:val="00FC7700"/>
    <w:rsid w:val="00FC7833"/>
    <w:rsid w:val="00FC7888"/>
    <w:rsid w:val="00FC7979"/>
    <w:rsid w:val="00FC7CC3"/>
    <w:rsid w:val="00FC7EA7"/>
    <w:rsid w:val="00FC7F83"/>
    <w:rsid w:val="00FD007F"/>
    <w:rsid w:val="00FD05D4"/>
    <w:rsid w:val="00FD0A8F"/>
    <w:rsid w:val="00FD1060"/>
    <w:rsid w:val="00FD1141"/>
    <w:rsid w:val="00FD12ED"/>
    <w:rsid w:val="00FD1A3B"/>
    <w:rsid w:val="00FD2297"/>
    <w:rsid w:val="00FD2350"/>
    <w:rsid w:val="00FD2598"/>
    <w:rsid w:val="00FD2727"/>
    <w:rsid w:val="00FD273B"/>
    <w:rsid w:val="00FD2ED4"/>
    <w:rsid w:val="00FD3077"/>
    <w:rsid w:val="00FD30CC"/>
    <w:rsid w:val="00FD3131"/>
    <w:rsid w:val="00FD3201"/>
    <w:rsid w:val="00FD37E1"/>
    <w:rsid w:val="00FD3A80"/>
    <w:rsid w:val="00FD3EF2"/>
    <w:rsid w:val="00FD3F60"/>
    <w:rsid w:val="00FD3F87"/>
    <w:rsid w:val="00FD4FEC"/>
    <w:rsid w:val="00FD536B"/>
    <w:rsid w:val="00FD5482"/>
    <w:rsid w:val="00FD5587"/>
    <w:rsid w:val="00FD5AA6"/>
    <w:rsid w:val="00FD5ACD"/>
    <w:rsid w:val="00FD5C6C"/>
    <w:rsid w:val="00FD5FD1"/>
    <w:rsid w:val="00FD6869"/>
    <w:rsid w:val="00FD77E5"/>
    <w:rsid w:val="00FD7959"/>
    <w:rsid w:val="00FD7BB6"/>
    <w:rsid w:val="00FD7BBA"/>
    <w:rsid w:val="00FE0310"/>
    <w:rsid w:val="00FE049C"/>
    <w:rsid w:val="00FE0888"/>
    <w:rsid w:val="00FE09FD"/>
    <w:rsid w:val="00FE0C1D"/>
    <w:rsid w:val="00FE1793"/>
    <w:rsid w:val="00FE1E94"/>
    <w:rsid w:val="00FE2032"/>
    <w:rsid w:val="00FE2283"/>
    <w:rsid w:val="00FE2328"/>
    <w:rsid w:val="00FE24D1"/>
    <w:rsid w:val="00FE2795"/>
    <w:rsid w:val="00FE285B"/>
    <w:rsid w:val="00FE2D4F"/>
    <w:rsid w:val="00FE3A9B"/>
    <w:rsid w:val="00FE3E3A"/>
    <w:rsid w:val="00FE41AE"/>
    <w:rsid w:val="00FE44CE"/>
    <w:rsid w:val="00FE458E"/>
    <w:rsid w:val="00FE45BC"/>
    <w:rsid w:val="00FE46D9"/>
    <w:rsid w:val="00FE4A18"/>
    <w:rsid w:val="00FE5236"/>
    <w:rsid w:val="00FE569E"/>
    <w:rsid w:val="00FE57AC"/>
    <w:rsid w:val="00FE6055"/>
    <w:rsid w:val="00FE6218"/>
    <w:rsid w:val="00FE6522"/>
    <w:rsid w:val="00FE6C56"/>
    <w:rsid w:val="00FE6CB5"/>
    <w:rsid w:val="00FE6D32"/>
    <w:rsid w:val="00FE6E42"/>
    <w:rsid w:val="00FE7462"/>
    <w:rsid w:val="00FE787F"/>
    <w:rsid w:val="00FE7CB5"/>
    <w:rsid w:val="00FF04E9"/>
    <w:rsid w:val="00FF0507"/>
    <w:rsid w:val="00FF069C"/>
    <w:rsid w:val="00FF0886"/>
    <w:rsid w:val="00FF0D46"/>
    <w:rsid w:val="00FF0E75"/>
    <w:rsid w:val="00FF0EBC"/>
    <w:rsid w:val="00FF0F77"/>
    <w:rsid w:val="00FF10DC"/>
    <w:rsid w:val="00FF1AB3"/>
    <w:rsid w:val="00FF29F9"/>
    <w:rsid w:val="00FF30B0"/>
    <w:rsid w:val="00FF312D"/>
    <w:rsid w:val="00FF3573"/>
    <w:rsid w:val="00FF3EB4"/>
    <w:rsid w:val="00FF3F05"/>
    <w:rsid w:val="00FF3F97"/>
    <w:rsid w:val="00FF4041"/>
    <w:rsid w:val="00FF4746"/>
    <w:rsid w:val="00FF4751"/>
    <w:rsid w:val="00FF4788"/>
    <w:rsid w:val="00FF47CC"/>
    <w:rsid w:val="00FF4C5D"/>
    <w:rsid w:val="00FF4E37"/>
    <w:rsid w:val="00FF52A7"/>
    <w:rsid w:val="00FF5CA2"/>
    <w:rsid w:val="00FF6376"/>
    <w:rsid w:val="00FF66AB"/>
    <w:rsid w:val="00FF6870"/>
    <w:rsid w:val="00FF6D7C"/>
    <w:rsid w:val="00FF6DA2"/>
    <w:rsid w:val="00FF6EBE"/>
    <w:rsid w:val="00FF6FC6"/>
    <w:rsid w:val="00FF726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159"/>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C93159"/>
    <w:pPr>
      <w:spacing w:before="100" w:beforeAutospacing="1" w:after="100" w:afterAutospacing="1"/>
      <w:outlineLvl w:val="1"/>
    </w:pPr>
    <w:rPr>
      <w:b/>
      <w:bCs/>
      <w:sz w:val="36"/>
      <w:szCs w:val="36"/>
    </w:rPr>
  </w:style>
  <w:style w:type="paragraph" w:styleId="3">
    <w:name w:val="heading 3"/>
    <w:basedOn w:val="a"/>
    <w:link w:val="30"/>
    <w:qFormat/>
    <w:rsid w:val="00C9315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9315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C93159"/>
    <w:rPr>
      <w:rFonts w:ascii="Times New Roman" w:eastAsia="Times New Roman" w:hAnsi="Times New Roman" w:cs="Times New Roman"/>
      <w:b/>
      <w:bCs/>
      <w:sz w:val="27"/>
      <w:szCs w:val="27"/>
      <w:lang w:eastAsia="ru-RU"/>
    </w:rPr>
  </w:style>
  <w:style w:type="paragraph" w:styleId="a3">
    <w:name w:val="Normal (Web)"/>
    <w:basedOn w:val="a"/>
    <w:rsid w:val="00C93159"/>
    <w:pPr>
      <w:spacing w:before="100" w:beforeAutospacing="1" w:after="100" w:afterAutospacing="1"/>
    </w:pPr>
  </w:style>
  <w:style w:type="paragraph" w:styleId="a4">
    <w:name w:val="Balloon Text"/>
    <w:basedOn w:val="a"/>
    <w:link w:val="a5"/>
    <w:uiPriority w:val="99"/>
    <w:semiHidden/>
    <w:unhideWhenUsed/>
    <w:rsid w:val="00C93159"/>
    <w:rPr>
      <w:rFonts w:ascii="Tahoma" w:hAnsi="Tahoma" w:cs="Tahoma"/>
      <w:sz w:val="16"/>
      <w:szCs w:val="16"/>
    </w:rPr>
  </w:style>
  <w:style w:type="character" w:customStyle="1" w:styleId="a5">
    <w:name w:val="Текст выноски Знак"/>
    <w:basedOn w:val="a0"/>
    <w:link w:val="a4"/>
    <w:uiPriority w:val="99"/>
    <w:semiHidden/>
    <w:rsid w:val="00C9315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97232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NULL"/><Relationship Id="rId5" Type="http://schemas.openxmlformats.org/officeDocument/2006/relationships/image" Target="NULL"/><Relationship Id="rId4" Type="http://schemas.openxmlformats.org/officeDocument/2006/relationships/image" Target="NUL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14178</Words>
  <Characters>80818</Characters>
  <Application>Microsoft Office Word</Application>
  <DocSecurity>0</DocSecurity>
  <Lines>673</Lines>
  <Paragraphs>189</Paragraphs>
  <ScaleCrop>false</ScaleCrop>
  <Company>SPecialiST RePack</Company>
  <LinksUpToDate>false</LinksUpToDate>
  <CharactersWithSpaces>94807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2017-02-16T09:13:00Z</dcterms:created>
  <dcterms:modified xsi:type="dcterms:W3CDTF">2017-02-16T09:14:00Z</dcterms:modified>
</cp:coreProperties>
</file>