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69" w:type="dxa"/>
        <w:tblInd w:w="-1281" w:type="dxa"/>
        <w:tblLook w:val="04A0"/>
      </w:tblPr>
      <w:tblGrid>
        <w:gridCol w:w="3115"/>
        <w:gridCol w:w="4824"/>
        <w:gridCol w:w="3130"/>
      </w:tblGrid>
      <w:tr w:rsidR="008617A5" w:rsidRPr="00275A74" w:rsidTr="00F4558F">
        <w:trPr>
          <w:trHeight w:val="699"/>
        </w:trPr>
        <w:tc>
          <w:tcPr>
            <w:tcW w:w="3115" w:type="dxa"/>
          </w:tcPr>
          <w:p w:rsidR="008617A5" w:rsidRPr="00275A74" w:rsidRDefault="008617A5">
            <w:pPr>
              <w:rPr>
                <w:i/>
                <w:iCs/>
              </w:rPr>
            </w:pPr>
          </w:p>
        </w:tc>
        <w:tc>
          <w:tcPr>
            <w:tcW w:w="4824" w:type="dxa"/>
            <w:vAlign w:val="center"/>
          </w:tcPr>
          <w:p w:rsidR="008617A5" w:rsidRPr="007D5B4E" w:rsidRDefault="00A5354F" w:rsidP="00F455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5B4E">
              <w:rPr>
                <w:rFonts w:ascii="Times New Roman" w:hAnsi="Times New Roman" w:cs="Times New Roman"/>
                <w:sz w:val="28"/>
                <w:szCs w:val="24"/>
              </w:rPr>
              <w:t>ІНФОРМАЦІЙНА КАРТКА</w:t>
            </w:r>
          </w:p>
        </w:tc>
        <w:tc>
          <w:tcPr>
            <w:tcW w:w="3130" w:type="dxa"/>
          </w:tcPr>
          <w:p w:rsidR="008617A5" w:rsidRDefault="008617A5" w:rsidP="00671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управління ДПС у м. Києві</w:t>
            </w:r>
          </w:p>
          <w:p w:rsidR="00682BBF" w:rsidRPr="004C797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55094" w:rsidRDefault="00155094" w:rsidP="00155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16.06.2022 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  <w:r w:rsidRPr="00275A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713AC" w:rsidRPr="00D54A2A" w:rsidRDefault="006713AC" w:rsidP="00682BBF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617A5" w:rsidRPr="00275A74" w:rsidTr="008617A5">
        <w:trPr>
          <w:trHeight w:val="546"/>
        </w:trPr>
        <w:tc>
          <w:tcPr>
            <w:tcW w:w="11069" w:type="dxa"/>
            <w:gridSpan w:val="3"/>
          </w:tcPr>
          <w:p w:rsidR="008617A5" w:rsidRPr="00275A74" w:rsidRDefault="002053E7" w:rsidP="00F455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275A7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Перехід юридичної особи на оподаткування як резидента Дія Сіті</w:t>
            </w:r>
            <w:r w:rsidR="00F4558F" w:rsidRPr="00275A7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 </w:t>
            </w:r>
            <w:r w:rsidRPr="00275A7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– платника податку на особливих умовах </w:t>
            </w:r>
          </w:p>
        </w:tc>
      </w:tr>
      <w:tr w:rsidR="004A6025" w:rsidRPr="00275A74" w:rsidTr="006E5AD5">
        <w:tc>
          <w:tcPr>
            <w:tcW w:w="3115" w:type="dxa"/>
          </w:tcPr>
          <w:p w:rsidR="004A6025" w:rsidRPr="00275A74" w:rsidRDefault="004A6025" w:rsidP="00F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суб’єкта надання адміністративної послуги, місцезнаходження, телефон, адреса електронної пошти та </w:t>
            </w:r>
            <w:proofErr w:type="spellStart"/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вебсайта</w:t>
            </w:r>
            <w:proofErr w:type="spellEnd"/>
          </w:p>
        </w:tc>
        <w:tc>
          <w:tcPr>
            <w:tcW w:w="7954" w:type="dxa"/>
            <w:gridSpan w:val="2"/>
          </w:tcPr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ДПС у м. Києві</w:t>
            </w:r>
          </w:p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04116, м. Київ,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33/19,</w:t>
            </w:r>
          </w:p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(044) 454-70-87</w:t>
            </w:r>
          </w:p>
          <w:p w:rsidR="00682BBF" w:rsidRPr="00682BBF" w:rsidRDefault="00261BBE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kyiv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official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tax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682BBF" w:rsidRPr="00682BBF" w:rsidRDefault="00261BBE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proofErr w:type="spellStart"/>
              <w:proofErr w:type="gramStart"/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kyiv</w:t>
              </w:r>
              <w:proofErr w:type="spellEnd"/>
              <w:proofErr w:type="gramEnd"/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tax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82BBF" w:rsidRPr="00682BB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2BBF" w:rsidRPr="00DC3EB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DA5541" w:rsidRPr="00682BBF" w:rsidRDefault="00DA5541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558F" w:rsidRPr="00275A74" w:rsidTr="006E5AD5">
        <w:tc>
          <w:tcPr>
            <w:tcW w:w="3115" w:type="dxa"/>
          </w:tcPr>
          <w:p w:rsidR="00F4558F" w:rsidRPr="00275A74" w:rsidRDefault="00F4558F" w:rsidP="00F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Місця прийому суб’єктів звернень</w:t>
            </w:r>
          </w:p>
        </w:tc>
        <w:tc>
          <w:tcPr>
            <w:tcW w:w="7954" w:type="dxa"/>
            <w:gridSpan w:val="2"/>
          </w:tcPr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Жилянська, 23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Кошиця, 3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Закревського, 41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бульвар Верховної Ради, 24-Б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просп. Героїв Сталінграда, 58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Лєскова, 4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Верховинна, 9 (вхід з вул. Котельникова, 14)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Смілянська, 6</w:t>
            </w:r>
          </w:p>
          <w:p w:rsidR="00682BBF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вул. Політехнічна, 5а</w:t>
            </w:r>
          </w:p>
          <w:p w:rsidR="00F4558F" w:rsidRPr="00275A74" w:rsidRDefault="00682BBF" w:rsidP="0068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33/19</w:t>
            </w:r>
          </w:p>
        </w:tc>
      </w:tr>
      <w:tr w:rsidR="007D56F0" w:rsidRPr="00275A74" w:rsidTr="0039553B">
        <w:tc>
          <w:tcPr>
            <w:tcW w:w="3115" w:type="dxa"/>
          </w:tcPr>
          <w:p w:rsidR="007D56F0" w:rsidRPr="00275A74" w:rsidRDefault="007D56F0" w:rsidP="00F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Режим роботи</w:t>
            </w:r>
          </w:p>
        </w:tc>
        <w:tc>
          <w:tcPr>
            <w:tcW w:w="7954" w:type="dxa"/>
            <w:gridSpan w:val="2"/>
          </w:tcPr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– четвер: з 08 год. 00 хв. до 17 год. 00 хв.</w:t>
            </w:r>
          </w:p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 з 08 год. 00 хв. до 15 год. 45 хв.</w:t>
            </w:r>
          </w:p>
          <w:p w:rsidR="00682BBF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Обідня перерва: 12 год. 00 хв. до 12 год. 45 хв.</w:t>
            </w:r>
          </w:p>
          <w:p w:rsidR="007D56F0" w:rsidRPr="00275A74" w:rsidRDefault="00682BBF" w:rsidP="0068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Субота, неділя: вихідні дні</w:t>
            </w:r>
          </w:p>
        </w:tc>
      </w:tr>
      <w:tr w:rsidR="007D56F0" w:rsidRPr="00275A74" w:rsidTr="00456818">
        <w:tc>
          <w:tcPr>
            <w:tcW w:w="3115" w:type="dxa"/>
          </w:tcPr>
          <w:p w:rsidR="007D56F0" w:rsidRPr="00275A74" w:rsidRDefault="007D56F0" w:rsidP="00F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954" w:type="dxa"/>
            <w:gridSpan w:val="2"/>
          </w:tcPr>
          <w:p w:rsidR="007D56F0" w:rsidRPr="00275A74" w:rsidRDefault="00C5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Заява за формою, 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затвердженою </w:t>
            </w:r>
            <w:r w:rsidR="00E43A82" w:rsidRPr="00275A74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43A82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Міністерства фінансів України від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A82" w:rsidRPr="00275A7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A82" w:rsidRPr="00275A74">
              <w:rPr>
                <w:rFonts w:ascii="Times New Roman" w:hAnsi="Times New Roman" w:cs="Times New Roman"/>
                <w:sz w:val="24"/>
                <w:szCs w:val="24"/>
              </w:rPr>
              <w:t>.2022 № 99</w:t>
            </w:r>
            <w:r w:rsidR="006608C7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A82" w:rsidRPr="00275A74">
              <w:rPr>
                <w:rFonts w:ascii="Times New Roman" w:hAnsi="Times New Roman" w:cs="Times New Roman"/>
                <w:sz w:val="24"/>
                <w:szCs w:val="24"/>
              </w:rPr>
              <w:t>Про затвердження форми Заяви про перехід юридичної особи на оподаткування як резидента Дія Сіті – платника податку на особливих умовах або відмову від такого оподаткування та Порядку подання та розгляду такої Заяви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08C7" w:rsidRPr="00275A74">
              <w:rPr>
                <w:rFonts w:ascii="Times New Roman" w:hAnsi="Times New Roman" w:cs="Times New Roman"/>
                <w:sz w:val="24"/>
                <w:szCs w:val="24"/>
              </w:rPr>
              <w:t>, зареєстрован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6608C7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8F" w:rsidRPr="00275A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8C7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Міністерстві юстиції України 29.03.2022 за № 364/37700</w:t>
            </w:r>
          </w:p>
        </w:tc>
      </w:tr>
      <w:tr w:rsidR="007D56F0" w:rsidRPr="00275A74" w:rsidTr="00D3385A">
        <w:tc>
          <w:tcPr>
            <w:tcW w:w="3115" w:type="dxa"/>
          </w:tcPr>
          <w:p w:rsidR="007D56F0" w:rsidRPr="00275A74" w:rsidRDefault="007D56F0" w:rsidP="00F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954" w:type="dxa"/>
            <w:gridSpan w:val="2"/>
          </w:tcPr>
          <w:p w:rsidR="0061622D" w:rsidRDefault="000D38BE" w:rsidP="00616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 w:rsidR="0061622D">
              <w:rPr>
                <w:rFonts w:ascii="Times New Roman" w:hAnsi="Times New Roman" w:cs="Times New Roman"/>
                <w:sz w:val="24"/>
                <w:szCs w:val="24"/>
              </w:rPr>
              <w:t xml:space="preserve">подається 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до контролюючого органу за податковою адресою платника</w:t>
            </w:r>
            <w:r w:rsidR="00275A74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22D">
              <w:rPr>
                <w:rFonts w:ascii="Times New Roman" w:hAnsi="Times New Roman" w:cs="Times New Roman"/>
                <w:sz w:val="24"/>
                <w:szCs w:val="24"/>
              </w:rPr>
              <w:t xml:space="preserve">або </w:t>
            </w:r>
            <w:r w:rsidR="0061622D" w:rsidRPr="00275A74">
              <w:rPr>
                <w:rFonts w:ascii="Times New Roman" w:hAnsi="Times New Roman" w:cs="Times New Roman"/>
                <w:sz w:val="24"/>
                <w:szCs w:val="24"/>
              </w:rPr>
              <w:t>до уповноваженого органу</w:t>
            </w:r>
            <w:r w:rsidR="009351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1FC2">
              <w:rPr>
                <w:rFonts w:ascii="Times New Roman" w:hAnsi="Times New Roman" w:cs="Times New Roman"/>
                <w:sz w:val="24"/>
                <w:szCs w:val="24"/>
              </w:rPr>
              <w:t>центральний орган</w:t>
            </w:r>
            <w:r w:rsidR="00EA47D6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виконавчої влади, що забезпечує </w:t>
            </w:r>
            <w:r w:rsidR="00E842CA">
              <w:rPr>
                <w:rFonts w:ascii="Times New Roman" w:hAnsi="Times New Roman" w:cs="Times New Roman"/>
                <w:sz w:val="24"/>
                <w:szCs w:val="24"/>
              </w:rPr>
              <w:t>формування та реалізацію</w:t>
            </w:r>
            <w:r w:rsidR="007C2BF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політики у сфері цифрової економіки) </w:t>
            </w:r>
            <w:r w:rsidR="0061622D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під час звернення про набуття статусу резидента Дія Сіті у порядку, встановленому Законом України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622D" w:rsidRPr="00275A74">
              <w:rPr>
                <w:rFonts w:ascii="Times New Roman" w:hAnsi="Times New Roman" w:cs="Times New Roman"/>
                <w:sz w:val="24"/>
                <w:szCs w:val="24"/>
              </w:rPr>
              <w:t>Про стимулювання розвитку цифрової економіки в Україні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79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електронного зв’язку в електронній формі з дотриманням вимог розділу ІІ </w:t>
            </w:r>
            <w:r w:rsidR="00275A74" w:rsidRPr="00275A74">
              <w:rPr>
                <w:rFonts w:ascii="Times New Roman" w:hAnsi="Times New Roman" w:cs="Times New Roman"/>
                <w:sz w:val="24"/>
                <w:szCs w:val="24"/>
              </w:rPr>
              <w:t>Податкового к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одексу </w:t>
            </w:r>
            <w:r w:rsidR="00275A74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України 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9F79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аконів України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>Про електронні документи та електронний документообіг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>Про електронні довірчі послуги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5D5E" w:rsidRPr="00275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40B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22D" w:rsidRPr="00275A74" w:rsidRDefault="00275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Заяву може бути подано </w:t>
            </w:r>
            <w:r w:rsidR="0070440B" w:rsidRPr="00275A7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собами</w:t>
            </w:r>
            <w:r w:rsidR="0070440B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інформаційно-телекомунікаційної системи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>Електронний кабінет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, вхід до якої здійснюється за адресою: </w:t>
            </w:r>
            <w:proofErr w:type="spellStart"/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>cabinet.tax.gov.ua</w:t>
            </w:r>
            <w:proofErr w:type="spellEnd"/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(розділ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>Листування з ДПС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56F0" w:rsidRPr="00275A74" w:rsidTr="00B543C4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7954" w:type="dxa"/>
            <w:gridSpan w:val="2"/>
          </w:tcPr>
          <w:p w:rsidR="007D56F0" w:rsidRPr="00275A74" w:rsidRDefault="007D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7D56F0" w:rsidRPr="00275A74" w:rsidTr="004A7FEF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7954" w:type="dxa"/>
            <w:gridSpan w:val="2"/>
          </w:tcPr>
          <w:p w:rsidR="007D56F0" w:rsidRPr="00275A74" w:rsidRDefault="00A044D8" w:rsidP="00A044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  <w:r w:rsidR="007D56F0" w:rsidRPr="00275A74">
              <w:rPr>
                <w:rFonts w:ascii="Times New Roman" w:hAnsi="Times New Roman" w:cs="Times New Roman"/>
                <w:sz w:val="24"/>
                <w:szCs w:val="24"/>
              </w:rPr>
              <w:t>обочих днів</w:t>
            </w:r>
          </w:p>
        </w:tc>
      </w:tr>
      <w:tr w:rsidR="007D56F0" w:rsidRPr="00275A74" w:rsidTr="0063131E">
        <w:tc>
          <w:tcPr>
            <w:tcW w:w="3115" w:type="dxa"/>
          </w:tcPr>
          <w:p w:rsidR="007D56F0" w:rsidRPr="00275A74" w:rsidRDefault="007D56F0" w:rsidP="00671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підстав для відмови </w:t>
            </w:r>
            <w:r w:rsidR="006713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13AC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наданні адміністративної послуги</w:t>
            </w:r>
          </w:p>
        </w:tc>
        <w:tc>
          <w:tcPr>
            <w:tcW w:w="7954" w:type="dxa"/>
            <w:gridSpan w:val="2"/>
          </w:tcPr>
          <w:p w:rsidR="007426EA" w:rsidRPr="00E164C9" w:rsidRDefault="00E164C9" w:rsidP="00E164C9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В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ідсутність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платника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податків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9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Дія Сіті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6EA" w:rsidRPr="00E164C9" w:rsidRDefault="00E164C9" w:rsidP="00E164C9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Заява про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перехід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юридичної особи на оподаткування як резидента Дія Сіті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платника податку на особливих умовах або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такого 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оподаткування подана з порушенням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r w:rsidR="00C30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7CF5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п. </w:t>
            </w:r>
            <w:r w:rsidR="003D1352">
              <w:rPr>
                <w:rFonts w:ascii="Times New Roman" w:hAnsi="Times New Roman" w:cs="Times New Roman"/>
                <w:sz w:val="24"/>
                <w:szCs w:val="24"/>
              </w:rPr>
              <w:t>141.10 ст. 141 Податкового кодексу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6EA" w:rsidRPr="00275A74" w:rsidRDefault="00E164C9" w:rsidP="00E164C9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З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дійснення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переходу платника податку на прибуток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на загальних </w:t>
            </w:r>
            <w:r w:rsidRPr="00E164C9">
              <w:rPr>
                <w:rFonts w:ascii="Times New Roman" w:hAnsi="Times New Roman" w:cs="Times New Roman"/>
                <w:sz w:val="24"/>
                <w:szCs w:val="24"/>
              </w:rPr>
              <w:t>підставах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на оподаткування як резидента Дія Сіті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26EA" w:rsidRPr="00E164C9">
              <w:rPr>
                <w:rFonts w:ascii="Times New Roman" w:hAnsi="Times New Roman" w:cs="Times New Roman"/>
                <w:sz w:val="24"/>
                <w:szCs w:val="24"/>
              </w:rPr>
              <w:t xml:space="preserve"> платника податку на особливих умовах понад одного разу протягом календарного року</w:t>
            </w:r>
          </w:p>
        </w:tc>
      </w:tr>
      <w:tr w:rsidR="007D56F0" w:rsidRPr="00275A74" w:rsidTr="00D77589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надання адміністративної послуги</w:t>
            </w:r>
          </w:p>
        </w:tc>
        <w:tc>
          <w:tcPr>
            <w:tcW w:w="7954" w:type="dxa"/>
            <w:gridSpan w:val="2"/>
          </w:tcPr>
          <w:p w:rsidR="007D56F0" w:rsidRPr="00275A74" w:rsidRDefault="00BA571F" w:rsidP="00E16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="0031423D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про погодження (відмову у </w:t>
            </w:r>
            <w:r w:rsidR="00E164C9" w:rsidRPr="00275A74">
              <w:rPr>
                <w:rFonts w:ascii="Times New Roman" w:hAnsi="Times New Roman" w:cs="Times New Roman"/>
                <w:sz w:val="24"/>
                <w:szCs w:val="24"/>
              </w:rPr>
              <w:t>погодженні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) Заяви про перехід юридичної особи на оподаткування як резидента </w:t>
            </w:r>
            <w:r w:rsidR="00E164C9" w:rsidRPr="00275A74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Сіті – платника  податку на особливих умовах або відмову від такого оподаткування</w:t>
            </w:r>
          </w:p>
        </w:tc>
      </w:tr>
      <w:tr w:rsidR="007D56F0" w:rsidRPr="00275A74" w:rsidTr="00AA2A08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Способи отримання результату</w:t>
            </w:r>
          </w:p>
        </w:tc>
        <w:tc>
          <w:tcPr>
            <w:tcW w:w="7954" w:type="dxa"/>
            <w:gridSpan w:val="2"/>
          </w:tcPr>
          <w:p w:rsidR="007D56F0" w:rsidRPr="00275A74" w:rsidRDefault="000D0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</w:t>
            </w:r>
            <w:r w:rsidR="00E164C9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інформаційно-телекомунікаційної системи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6F6F" w:rsidRPr="00275A74">
              <w:rPr>
                <w:rFonts w:ascii="Times New Roman" w:hAnsi="Times New Roman" w:cs="Times New Roman"/>
                <w:sz w:val="24"/>
                <w:szCs w:val="24"/>
              </w:rPr>
              <w:t>Електронний кабінет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25BB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="00345F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25BB"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5E5">
              <w:rPr>
                <w:rFonts w:ascii="Times New Roman" w:hAnsi="Times New Roman" w:cs="Times New Roman"/>
                <w:sz w:val="24"/>
                <w:szCs w:val="24"/>
              </w:rPr>
              <w:t>паперовій формі</w:t>
            </w:r>
            <w:r w:rsidR="00E164C9">
              <w:rPr>
                <w:rFonts w:ascii="Times New Roman" w:hAnsi="Times New Roman" w:cs="Times New Roman"/>
                <w:sz w:val="24"/>
                <w:szCs w:val="24"/>
              </w:rPr>
              <w:t xml:space="preserve"> у разі звернення платника</w:t>
            </w:r>
          </w:p>
        </w:tc>
      </w:tr>
      <w:tr w:rsidR="007D56F0" w:rsidRPr="00275A74" w:rsidTr="00632786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Акти законодавства, що регулюють порядок та умови надання адміністративної послуги</w:t>
            </w:r>
          </w:p>
        </w:tc>
        <w:bookmarkStart w:id="0" w:name="_Hlk96335829"/>
        <w:bookmarkStart w:id="1" w:name="_Hlk95469187"/>
        <w:tc>
          <w:tcPr>
            <w:tcW w:w="7954" w:type="dxa"/>
            <w:gridSpan w:val="2"/>
          </w:tcPr>
          <w:p w:rsidR="00EB2DF2" w:rsidRPr="00EB2DF2" w:rsidRDefault="00EB2DF2" w:rsidP="001A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B2DF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"https://zakon.rada.gov.ua/laws/show/2755-17" \l "Text" </w:instrText>
            </w:r>
            <w:r w:rsidRPr="00EB2D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B2DF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Податковий кодекс України (п. 141.10 ст. 141)</w:t>
            </w:r>
            <w:r w:rsidRPr="00EB2D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B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DF2" w:rsidRPr="00EB2DF2" w:rsidRDefault="00EB2DF2" w:rsidP="001A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Text" w:history="1">
              <w:r w:rsidRPr="00EB2DF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Закон України від 15 липня 2021 року № 1667 «Про стимулювання розвитку цифрової економіки в Україні»</w:t>
              </w:r>
            </w:hyperlink>
            <w:r w:rsidRPr="00EB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6F0" w:rsidRPr="00275A74" w:rsidRDefault="00EB2DF2" w:rsidP="00EB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Text" w:history="1">
              <w:r w:rsidRPr="00EB2DF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Наказ Міністерства фінансів України від 17.03.2022 № 99 «Про затвердження форми Заяви про перехід юридичної особи на оподаткування як резидента Дія Сіті – платника податку на особливих умовах або відмову від такого оподаткування та Порядку подання та розгляду такої Заяви», зареєстрований в Міністерстві юстиції України 29.03.2022 за № 364/37700</w:t>
              </w:r>
            </w:hyperlink>
            <w:bookmarkEnd w:id="0"/>
            <w:bookmarkEnd w:id="1"/>
          </w:p>
        </w:tc>
      </w:tr>
      <w:tr w:rsidR="007D56F0" w:rsidRPr="00275A74" w:rsidTr="00F2249A">
        <w:tc>
          <w:tcPr>
            <w:tcW w:w="3115" w:type="dxa"/>
          </w:tcPr>
          <w:p w:rsidR="007D56F0" w:rsidRPr="00275A74" w:rsidRDefault="007D56F0" w:rsidP="00E1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Довідкова інформація</w:t>
            </w:r>
          </w:p>
        </w:tc>
        <w:tc>
          <w:tcPr>
            <w:tcW w:w="7954" w:type="dxa"/>
            <w:gridSpan w:val="2"/>
          </w:tcPr>
          <w:p w:rsidR="002F5631" w:rsidRDefault="00D664D7" w:rsidP="002F5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Інформаційну картку адміністративної послуги, </w:t>
            </w:r>
            <w:r w:rsidR="00C66F44">
              <w:rPr>
                <w:rFonts w:ascii="Times New Roman" w:hAnsi="Times New Roman" w:cs="Times New Roman"/>
                <w:sz w:val="24"/>
                <w:szCs w:val="24"/>
              </w:rPr>
              <w:t xml:space="preserve">бланк та 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зразок заяви, що подається для її отримання, розміщено у 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розділі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Адміністративні послуги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 xml:space="preserve">розділу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631">
              <w:rPr>
                <w:rFonts w:ascii="Times New Roman" w:hAnsi="Times New Roman" w:cs="Times New Roman"/>
                <w:sz w:val="24"/>
                <w:szCs w:val="24"/>
              </w:rPr>
              <w:t>субсайта</w:t>
            </w:r>
            <w:proofErr w:type="spellEnd"/>
            <w:r w:rsidR="002F5631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суб’єкта надання адміністративної послуги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56F0" w:rsidRPr="00275A74" w:rsidRDefault="00D6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Про неправомірні дії або бездіяльність працівників органів ДПС можна повідомити за 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телефоном 0 800 501 007 (напрямок </w:t>
            </w:r>
            <w:bookmarkStart w:id="2" w:name="_GoBack"/>
            <w:bookmarkEnd w:id="2"/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 та натисніть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), залишити повідомлення про можливі факти вчинення працівниками органів ДПС корупційних або пов’язаних </w:t>
            </w:r>
            <w:r w:rsidR="009F790E" w:rsidRPr="000748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з корупцією правопорушень, інших порушень Закону України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>Про запобігання корупції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 можна за вказаним номером телефону (напрямок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4854">
              <w:rPr>
                <w:rFonts w:ascii="Times New Roman" w:hAnsi="Times New Roman" w:cs="Times New Roman"/>
                <w:sz w:val="24"/>
                <w:szCs w:val="24"/>
              </w:rPr>
              <w:t xml:space="preserve"> та натисніть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5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24D71" w:rsidRDefault="00524D71">
      <w:pPr>
        <w:rPr>
          <w:rFonts w:ascii="Times New Roman" w:hAnsi="Times New Roman" w:cs="Times New Roman"/>
        </w:rPr>
      </w:pPr>
    </w:p>
    <w:p w:rsidR="007D5B4E" w:rsidRDefault="007D5B4E">
      <w:pPr>
        <w:rPr>
          <w:rFonts w:ascii="Times New Roman" w:hAnsi="Times New Roman" w:cs="Times New Roman"/>
        </w:rPr>
      </w:pPr>
    </w:p>
    <w:p w:rsidR="007D5B4E" w:rsidRPr="007D5B4E" w:rsidRDefault="007D5B4E">
      <w:pPr>
        <w:rPr>
          <w:rFonts w:ascii="Times New Roman" w:hAnsi="Times New Roman" w:cs="Times New Roman"/>
        </w:rPr>
      </w:pPr>
    </w:p>
    <w:sectPr w:rsidR="007D5B4E" w:rsidRPr="007D5B4E" w:rsidSect="007D5B4E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C4A3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60DE3" w16cex:dateUtc="2022-05-13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C4A3BE" w16cid:durableId="26360DE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AC" w:rsidRDefault="00B52DAC" w:rsidP="007D5B4E">
      <w:pPr>
        <w:spacing w:after="0" w:line="240" w:lineRule="auto"/>
      </w:pPr>
      <w:r>
        <w:separator/>
      </w:r>
    </w:p>
  </w:endnote>
  <w:endnote w:type="continuationSeparator" w:id="0">
    <w:p w:rsidR="00B52DAC" w:rsidRDefault="00B52DAC" w:rsidP="007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AC" w:rsidRDefault="00B52DAC" w:rsidP="007D5B4E">
      <w:pPr>
        <w:spacing w:after="0" w:line="240" w:lineRule="auto"/>
      </w:pPr>
      <w:r>
        <w:separator/>
      </w:r>
    </w:p>
  </w:footnote>
  <w:footnote w:type="continuationSeparator" w:id="0">
    <w:p w:rsidR="00B52DAC" w:rsidRDefault="00B52DAC" w:rsidP="007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9510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D5B4E" w:rsidRPr="007D5B4E" w:rsidRDefault="00261BB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D5B4E">
          <w:rPr>
            <w:rFonts w:ascii="Times New Roman" w:hAnsi="Times New Roman" w:cs="Times New Roman"/>
            <w:sz w:val="24"/>
          </w:rPr>
          <w:fldChar w:fldCharType="begin"/>
        </w:r>
        <w:r w:rsidR="007D5B4E" w:rsidRPr="007D5B4E">
          <w:rPr>
            <w:rFonts w:ascii="Times New Roman" w:hAnsi="Times New Roman" w:cs="Times New Roman"/>
            <w:sz w:val="24"/>
          </w:rPr>
          <w:instrText>PAGE   \* MERGEFORMAT</w:instrText>
        </w:r>
        <w:r w:rsidRPr="007D5B4E">
          <w:rPr>
            <w:rFonts w:ascii="Times New Roman" w:hAnsi="Times New Roman" w:cs="Times New Roman"/>
            <w:sz w:val="24"/>
          </w:rPr>
          <w:fldChar w:fldCharType="separate"/>
        </w:r>
        <w:r w:rsidR="00EB2DF2" w:rsidRPr="00EB2DF2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7D5B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D5B4E" w:rsidRDefault="007D5B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F39F6"/>
    <w:multiLevelType w:val="hybridMultilevel"/>
    <w:tmpl w:val="68BEACEA"/>
    <w:lvl w:ilvl="0" w:tplc="E41C8DA4">
      <w:start w:val="15"/>
      <w:numFmt w:val="bullet"/>
      <w:lvlText w:val="-"/>
      <w:lvlJc w:val="left"/>
      <w:pPr>
        <w:ind w:left="324" w:hanging="360"/>
      </w:pPr>
      <w:rPr>
        <w:rFonts w:ascii="Calibri" w:eastAsiaTheme="minorHAnsi" w:hAnsi="Calibri" w:cs="Calibr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>
    <w:nsid w:val="71DA79DD"/>
    <w:multiLevelType w:val="hybridMultilevel"/>
    <w:tmpl w:val="40E60F58"/>
    <w:lvl w:ilvl="0" w:tplc="7B0E283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95836"/>
    <w:multiLevelType w:val="hybridMultilevel"/>
    <w:tmpl w:val="B308AF6E"/>
    <w:lvl w:ilvl="0" w:tplc="C63C5E5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D71"/>
    <w:rsid w:val="00005D5E"/>
    <w:rsid w:val="00074854"/>
    <w:rsid w:val="000D0649"/>
    <w:rsid w:val="000D38BE"/>
    <w:rsid w:val="00155094"/>
    <w:rsid w:val="0017242A"/>
    <w:rsid w:val="0018612C"/>
    <w:rsid w:val="001A08F3"/>
    <w:rsid w:val="00201357"/>
    <w:rsid w:val="002053E7"/>
    <w:rsid w:val="0026121D"/>
    <w:rsid w:val="00261BBE"/>
    <w:rsid w:val="00275A74"/>
    <w:rsid w:val="00291692"/>
    <w:rsid w:val="00297E3F"/>
    <w:rsid w:val="002F5631"/>
    <w:rsid w:val="0031423D"/>
    <w:rsid w:val="00341FC2"/>
    <w:rsid w:val="00345F31"/>
    <w:rsid w:val="003625BB"/>
    <w:rsid w:val="003825E5"/>
    <w:rsid w:val="003D1352"/>
    <w:rsid w:val="004415BB"/>
    <w:rsid w:val="004A6025"/>
    <w:rsid w:val="0050169A"/>
    <w:rsid w:val="00524D71"/>
    <w:rsid w:val="00537524"/>
    <w:rsid w:val="00541B02"/>
    <w:rsid w:val="005B696B"/>
    <w:rsid w:val="0060336E"/>
    <w:rsid w:val="0061622D"/>
    <w:rsid w:val="00621702"/>
    <w:rsid w:val="006608C7"/>
    <w:rsid w:val="006659A9"/>
    <w:rsid w:val="006713AC"/>
    <w:rsid w:val="00682BBF"/>
    <w:rsid w:val="0070440B"/>
    <w:rsid w:val="007426EA"/>
    <w:rsid w:val="007C2BF8"/>
    <w:rsid w:val="007D56F0"/>
    <w:rsid w:val="007D5B4E"/>
    <w:rsid w:val="007D6E70"/>
    <w:rsid w:val="00826F6F"/>
    <w:rsid w:val="008617A5"/>
    <w:rsid w:val="00866154"/>
    <w:rsid w:val="008A685A"/>
    <w:rsid w:val="0093511A"/>
    <w:rsid w:val="00957CF5"/>
    <w:rsid w:val="009A2034"/>
    <w:rsid w:val="009F790E"/>
    <w:rsid w:val="009F7C97"/>
    <w:rsid w:val="00A044D8"/>
    <w:rsid w:val="00A06109"/>
    <w:rsid w:val="00A1638D"/>
    <w:rsid w:val="00A47C15"/>
    <w:rsid w:val="00A5354F"/>
    <w:rsid w:val="00A82654"/>
    <w:rsid w:val="00AC352B"/>
    <w:rsid w:val="00AD2683"/>
    <w:rsid w:val="00B073F5"/>
    <w:rsid w:val="00B52DAC"/>
    <w:rsid w:val="00B5752E"/>
    <w:rsid w:val="00BA571F"/>
    <w:rsid w:val="00BD4089"/>
    <w:rsid w:val="00BD49C2"/>
    <w:rsid w:val="00BE499B"/>
    <w:rsid w:val="00C13703"/>
    <w:rsid w:val="00C30800"/>
    <w:rsid w:val="00C342F4"/>
    <w:rsid w:val="00C54323"/>
    <w:rsid w:val="00C57CB8"/>
    <w:rsid w:val="00C66F44"/>
    <w:rsid w:val="00C749E9"/>
    <w:rsid w:val="00C97098"/>
    <w:rsid w:val="00D0558A"/>
    <w:rsid w:val="00D54A2A"/>
    <w:rsid w:val="00D65AE6"/>
    <w:rsid w:val="00D664D7"/>
    <w:rsid w:val="00DA5541"/>
    <w:rsid w:val="00E164C9"/>
    <w:rsid w:val="00E43A82"/>
    <w:rsid w:val="00E842CA"/>
    <w:rsid w:val="00EA47D6"/>
    <w:rsid w:val="00EB2DF2"/>
    <w:rsid w:val="00F13440"/>
    <w:rsid w:val="00F1693B"/>
    <w:rsid w:val="00F3178F"/>
    <w:rsid w:val="00F4083E"/>
    <w:rsid w:val="00F4558F"/>
    <w:rsid w:val="00F54511"/>
    <w:rsid w:val="00F64E15"/>
    <w:rsid w:val="00F943CB"/>
    <w:rsid w:val="00FB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6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B4E"/>
  </w:style>
  <w:style w:type="paragraph" w:styleId="a7">
    <w:name w:val="footer"/>
    <w:basedOn w:val="a"/>
    <w:link w:val="a8"/>
    <w:uiPriority w:val="99"/>
    <w:unhideWhenUsed/>
    <w:rsid w:val="007D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B4E"/>
  </w:style>
  <w:style w:type="character" w:styleId="a9">
    <w:name w:val="annotation reference"/>
    <w:basedOn w:val="a0"/>
    <w:uiPriority w:val="99"/>
    <w:semiHidden/>
    <w:unhideWhenUsed/>
    <w:rsid w:val="009F79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79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790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79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790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F790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9F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90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2B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6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5B4E"/>
  </w:style>
  <w:style w:type="paragraph" w:styleId="a7">
    <w:name w:val="footer"/>
    <w:basedOn w:val="a"/>
    <w:link w:val="a8"/>
    <w:uiPriority w:val="99"/>
    <w:unhideWhenUsed/>
    <w:rsid w:val="007D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5B4E"/>
  </w:style>
  <w:style w:type="character" w:styleId="a9">
    <w:name w:val="annotation reference"/>
    <w:basedOn w:val="a0"/>
    <w:uiPriority w:val="99"/>
    <w:semiHidden/>
    <w:unhideWhenUsed/>
    <w:rsid w:val="009F79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790E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F790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790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F790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F790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9F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F7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.official@tax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yiv.official@tax.gov.ua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s://zakon.rada.gov.ua/laws/show/z0364-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67-20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Zhuchkova</dc:creator>
  <cp:lastModifiedBy>adm</cp:lastModifiedBy>
  <cp:revision>4</cp:revision>
  <cp:lastPrinted>2022-05-13T10:42:00Z</cp:lastPrinted>
  <dcterms:created xsi:type="dcterms:W3CDTF">2022-06-02T08:34:00Z</dcterms:created>
  <dcterms:modified xsi:type="dcterms:W3CDTF">2022-06-21T08:04:00Z</dcterms:modified>
</cp:coreProperties>
</file>