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3F" w:rsidRDefault="0025563F" w:rsidP="0025563F">
      <w:pPr>
        <w:pStyle w:val="2"/>
        <w:jc w:val="center"/>
        <w:rPr>
          <w:lang w:val="uk-UA"/>
        </w:rPr>
      </w:pPr>
      <w:r>
        <w:rPr>
          <w:lang w:val="uk-UA"/>
        </w:rPr>
        <w:t>НАЦІОНАЛЬНА КОМІСІЯ, ЩО ЗДІЙСНЮЄ ДЕРЖАВНЕ РЕГУЛЮВАННЯ У СФЕРАХ ЕНЕРГЕТИКИ ТА КОМУНАЛЬНИХ ПОСЛУГ</w:t>
      </w:r>
    </w:p>
    <w:p w:rsidR="0025563F" w:rsidRDefault="0025563F" w:rsidP="0025563F">
      <w:pPr>
        <w:pStyle w:val="2"/>
        <w:jc w:val="center"/>
        <w:rPr>
          <w:lang w:val="uk-UA"/>
        </w:rPr>
      </w:pPr>
      <w:r>
        <w:rPr>
          <w:lang w:val="uk-UA"/>
        </w:rPr>
        <w:t>ПОСТАНОВА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1"/>
        <w:gridCol w:w="2842"/>
        <w:gridCol w:w="3330"/>
      </w:tblGrid>
      <w:tr w:rsidR="0025563F" w:rsidTr="0025563F">
        <w:trPr>
          <w:tblCellSpacing w:w="22" w:type="dxa"/>
        </w:trPr>
        <w:tc>
          <w:tcPr>
            <w:tcW w:w="1750" w:type="pct"/>
            <w:hideMark/>
          </w:tcPr>
          <w:p w:rsidR="0025563F" w:rsidRDefault="0025563F">
            <w:pPr>
              <w:pStyle w:val="a3"/>
              <w:jc w:val="center"/>
            </w:pPr>
            <w:r>
              <w:rPr>
                <w:b/>
                <w:bCs/>
              </w:rPr>
              <w:t>07.11.2016</w:t>
            </w:r>
          </w:p>
        </w:tc>
        <w:tc>
          <w:tcPr>
            <w:tcW w:w="1500" w:type="pct"/>
            <w:hideMark/>
          </w:tcPr>
          <w:p w:rsidR="0025563F" w:rsidRDefault="0025563F">
            <w:pPr>
              <w:pStyle w:val="a3"/>
              <w:jc w:val="center"/>
            </w:pPr>
            <w:r>
              <w:rPr>
                <w:b/>
                <w:bCs/>
              </w:rPr>
              <w:t xml:space="preserve">м. </w:t>
            </w:r>
            <w:proofErr w:type="spellStart"/>
            <w:r>
              <w:rPr>
                <w:b/>
                <w:bCs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25563F" w:rsidRDefault="0025563F">
            <w:pPr>
              <w:pStyle w:val="a3"/>
              <w:jc w:val="center"/>
            </w:pPr>
            <w:r>
              <w:rPr>
                <w:b/>
                <w:bCs/>
              </w:rPr>
              <w:t>N 1946</w:t>
            </w:r>
          </w:p>
        </w:tc>
      </w:tr>
    </w:tbl>
    <w:p w:rsidR="0025563F" w:rsidRDefault="0025563F" w:rsidP="0025563F">
      <w:pPr>
        <w:rPr>
          <w:lang w:val="uk-UA"/>
        </w:rPr>
      </w:pPr>
      <w:r>
        <w:rPr>
          <w:lang w:val="uk-UA"/>
        </w:rPr>
        <w:br w:type="textWrapping" w:clear="all"/>
      </w:r>
    </w:p>
    <w:p w:rsidR="0025563F" w:rsidRDefault="0025563F" w:rsidP="0025563F">
      <w:pPr>
        <w:pStyle w:val="a3"/>
        <w:jc w:val="center"/>
        <w:rPr>
          <w:lang w:val="uk-UA"/>
        </w:rPr>
      </w:pPr>
      <w:r>
        <w:rPr>
          <w:b/>
          <w:bCs/>
          <w:lang w:val="uk-UA"/>
        </w:rPr>
        <w:t>Зареєстровано в Міністерстві юстиції України</w:t>
      </w:r>
      <w:r>
        <w:rPr>
          <w:lang w:val="uk-UA"/>
        </w:rPr>
        <w:br/>
      </w:r>
      <w:r>
        <w:rPr>
          <w:b/>
          <w:bCs/>
          <w:lang w:val="uk-UA"/>
        </w:rPr>
        <w:t>16 листопада 2016 р. за N 1485/29615</w:t>
      </w:r>
    </w:p>
    <w:p w:rsidR="0025563F" w:rsidRDefault="0025563F" w:rsidP="0025563F">
      <w:pPr>
        <w:pStyle w:val="2"/>
        <w:jc w:val="center"/>
        <w:rPr>
          <w:lang w:val="uk-UA"/>
        </w:rPr>
      </w:pPr>
      <w:r>
        <w:rPr>
          <w:lang w:val="uk-UA"/>
        </w:rPr>
        <w:t>Про затвердження Змін до Методики розрахунку плати за приєднання електроустановок до електричних мереж</w:t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lang w:val="uk-UA"/>
        </w:rPr>
        <w:t xml:space="preserve">Відповідно до </w:t>
      </w:r>
      <w:r>
        <w:rPr>
          <w:color w:val="0000FF"/>
          <w:lang w:val="uk-UA"/>
        </w:rPr>
        <w:t>статей 12</w:t>
      </w:r>
      <w:r>
        <w:rPr>
          <w:lang w:val="uk-UA"/>
        </w:rPr>
        <w:t xml:space="preserve">, </w:t>
      </w:r>
      <w:r>
        <w:rPr>
          <w:color w:val="0000FF"/>
          <w:lang w:val="uk-UA"/>
        </w:rPr>
        <w:t>17</w:t>
      </w:r>
      <w:r>
        <w:rPr>
          <w:color w:val="0000FF"/>
          <w:vertAlign w:val="superscript"/>
          <w:lang w:val="uk-UA"/>
        </w:rPr>
        <w:t xml:space="preserve"> 2</w:t>
      </w:r>
      <w:r>
        <w:rPr>
          <w:color w:val="0000FF"/>
          <w:lang w:val="uk-UA"/>
        </w:rPr>
        <w:t xml:space="preserve"> Закону України "Про електроенергетику"</w:t>
      </w:r>
      <w:r>
        <w:rPr>
          <w:lang w:val="uk-UA"/>
        </w:rPr>
        <w:t xml:space="preserve">, </w:t>
      </w:r>
      <w:r>
        <w:rPr>
          <w:color w:val="0000FF"/>
          <w:lang w:val="uk-UA"/>
        </w:rPr>
        <w:t>Указу Президента України від 10 вересня 2014 року N 715 "Про затвердження Положення про Національну комісію, що здійснює державне регулювання у сферах енергетики та комунальних послуг"</w:t>
      </w:r>
      <w:r>
        <w:rPr>
          <w:lang w:val="uk-UA"/>
        </w:rPr>
        <w:t xml:space="preserve">, </w:t>
      </w:r>
      <w:r>
        <w:rPr>
          <w:color w:val="0000FF"/>
          <w:lang w:val="uk-UA"/>
        </w:rPr>
        <w:t>пункту 2 розпорядження Кабінету Міністрів України від 06 липня 2016 року N 567-р "Про заходи з визначення вартості приєднання споживачів до електричних мереж електропередавальних організацій"</w:t>
      </w:r>
      <w:r>
        <w:rPr>
          <w:lang w:val="uk-UA"/>
        </w:rPr>
        <w:t xml:space="preserve"> Національна комісія, що здійснює державне регулювання у сферах енергетики та комунальних послуг,</w:t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ПОСТАНОВЛЯЄ:</w:t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lang w:val="uk-UA"/>
        </w:rPr>
        <w:t xml:space="preserve">1. Затвердити Зміни до Методики розрахунку плати за приєднання електроустановок до електричних мереж, затвердженої </w:t>
      </w:r>
      <w:r>
        <w:rPr>
          <w:color w:val="0000FF"/>
          <w:lang w:val="uk-UA"/>
        </w:rPr>
        <w:t>постановою Національної комісії, що здійснює державне регулювання у сфері енергетики, від 12 лютого 2013 року N 115</w:t>
      </w:r>
      <w:r>
        <w:rPr>
          <w:lang w:val="uk-UA"/>
        </w:rPr>
        <w:t>, зареєстрованої у Міністерстві юстиції України 28 лютого 2013 року за N 339/22871, що додаються.</w:t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lang w:val="uk-UA"/>
        </w:rPr>
        <w:t xml:space="preserve">2. Електропередавальним організаціям у порядку, встановленому Методикою оцінки активів суб'єктів природних монополій, суб'єктів господарювання на суміжних ринках у сфері комбінованого виробництва електричної та теплової енергії, затвердженою </w:t>
      </w:r>
      <w:r>
        <w:rPr>
          <w:color w:val="0000FF"/>
          <w:lang w:val="uk-UA"/>
        </w:rPr>
        <w:t>наказом Фонду державного майна України від 12 березня 2013 року N 293</w:t>
      </w:r>
      <w:r>
        <w:rPr>
          <w:lang w:val="uk-UA"/>
        </w:rPr>
        <w:t>, зареєстрованою в Міністерстві юстиції України 29 березня 2013 року за N 522/23054, упродовж шести місяців з дня набрання чинності цією постановою здійснити оцінку величини вартості заміщення (відтворення) активів електропередавальної організації з урахуванням фізичного зносу та коефіцієнта оптимізації.</w:t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lang w:val="uk-UA"/>
        </w:rPr>
        <w:t>3. Департаменту із регулювання відносин у сфері енергетики в установленому порядку забезпечити подання цієї постанови на державну реєстрацію до Міністерства юстиції України.</w:t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lang w:val="uk-UA"/>
        </w:rPr>
        <w:t>4. Ця постанова набирає чинності з дня її офіційного опублікування.</w:t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25563F" w:rsidTr="0025563F">
        <w:trPr>
          <w:tblCellSpacing w:w="22" w:type="dxa"/>
        </w:trPr>
        <w:tc>
          <w:tcPr>
            <w:tcW w:w="2500" w:type="pct"/>
            <w:hideMark/>
          </w:tcPr>
          <w:p w:rsidR="0025563F" w:rsidRDefault="0025563F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 xml:space="preserve">Голова </w:t>
            </w:r>
            <w:proofErr w:type="spellStart"/>
            <w:r>
              <w:rPr>
                <w:b/>
                <w:bCs/>
              </w:rPr>
              <w:t>Комісії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25563F" w:rsidRDefault="0025563F">
            <w:pPr>
              <w:pStyle w:val="a3"/>
              <w:jc w:val="center"/>
            </w:pPr>
            <w:r>
              <w:rPr>
                <w:b/>
                <w:bCs/>
              </w:rPr>
              <w:t>Д. Вовк</w:t>
            </w:r>
          </w:p>
        </w:tc>
      </w:tr>
      <w:tr w:rsidR="0025563F" w:rsidTr="0025563F">
        <w:trPr>
          <w:tblCellSpacing w:w="22" w:type="dxa"/>
        </w:trPr>
        <w:tc>
          <w:tcPr>
            <w:tcW w:w="2500" w:type="pct"/>
            <w:hideMark/>
          </w:tcPr>
          <w:p w:rsidR="0025563F" w:rsidRDefault="0025563F">
            <w:pPr>
              <w:pStyle w:val="a3"/>
              <w:jc w:val="center"/>
            </w:pPr>
            <w:r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25563F" w:rsidRDefault="0025563F">
            <w:pPr>
              <w:pStyle w:val="a3"/>
              <w:jc w:val="center"/>
            </w:pPr>
            <w:r>
              <w:t> </w:t>
            </w:r>
          </w:p>
        </w:tc>
      </w:tr>
      <w:tr w:rsidR="0025563F" w:rsidTr="0025563F">
        <w:trPr>
          <w:tblCellSpacing w:w="22" w:type="dxa"/>
        </w:trPr>
        <w:tc>
          <w:tcPr>
            <w:tcW w:w="2500" w:type="pct"/>
            <w:hideMark/>
          </w:tcPr>
          <w:p w:rsidR="0025563F" w:rsidRDefault="0025563F">
            <w:pPr>
              <w:pStyle w:val="a3"/>
              <w:jc w:val="center"/>
            </w:pPr>
            <w:r>
              <w:rPr>
                <w:b/>
                <w:bCs/>
              </w:rPr>
              <w:t>Голова Антимонопольного</w:t>
            </w:r>
            <w:r>
              <w:br/>
            </w:r>
            <w:proofErr w:type="spellStart"/>
            <w:r>
              <w:rPr>
                <w:b/>
                <w:bCs/>
              </w:rPr>
              <w:t>комітету</w:t>
            </w:r>
            <w:proofErr w:type="spellEnd"/>
            <w:r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25563F" w:rsidRDefault="0025563F">
            <w:pPr>
              <w:pStyle w:val="a3"/>
              <w:jc w:val="center"/>
            </w:pPr>
            <w:r>
              <w:rPr>
                <w:b/>
                <w:bCs/>
              </w:rPr>
              <w:t xml:space="preserve">Ю. </w:t>
            </w:r>
            <w:proofErr w:type="spellStart"/>
            <w:r>
              <w:rPr>
                <w:b/>
                <w:bCs/>
              </w:rPr>
              <w:t>Терентьєв</w:t>
            </w:r>
            <w:proofErr w:type="spellEnd"/>
          </w:p>
        </w:tc>
      </w:tr>
      <w:tr w:rsidR="0025563F" w:rsidTr="0025563F">
        <w:trPr>
          <w:tblCellSpacing w:w="22" w:type="dxa"/>
        </w:trPr>
        <w:tc>
          <w:tcPr>
            <w:tcW w:w="2500" w:type="pct"/>
            <w:hideMark/>
          </w:tcPr>
          <w:p w:rsidR="0025563F" w:rsidRDefault="0025563F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Міністр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енергетики</w:t>
            </w:r>
            <w:proofErr w:type="spellEnd"/>
            <w:r>
              <w:rPr>
                <w:b/>
                <w:bCs/>
              </w:rPr>
              <w:t xml:space="preserve"> та </w:t>
            </w:r>
            <w:proofErr w:type="spellStart"/>
            <w:r>
              <w:rPr>
                <w:b/>
                <w:bCs/>
              </w:rPr>
              <w:t>вугільної</w:t>
            </w:r>
            <w:proofErr w:type="spellEnd"/>
            <w:r>
              <w:br/>
            </w:r>
            <w:proofErr w:type="spellStart"/>
            <w:r>
              <w:rPr>
                <w:b/>
                <w:bCs/>
              </w:rPr>
              <w:t>промисловості</w:t>
            </w:r>
            <w:proofErr w:type="spellEnd"/>
            <w:r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25563F" w:rsidRDefault="0025563F">
            <w:pPr>
              <w:pStyle w:val="a3"/>
              <w:jc w:val="center"/>
            </w:pPr>
            <w:r>
              <w:rPr>
                <w:b/>
                <w:bCs/>
              </w:rPr>
              <w:t xml:space="preserve">І. </w:t>
            </w:r>
            <w:proofErr w:type="spellStart"/>
            <w:r>
              <w:rPr>
                <w:b/>
                <w:bCs/>
              </w:rPr>
              <w:t>Насалик</w:t>
            </w:r>
            <w:proofErr w:type="spellEnd"/>
          </w:p>
        </w:tc>
      </w:tr>
      <w:tr w:rsidR="0025563F" w:rsidTr="0025563F">
        <w:trPr>
          <w:tblCellSpacing w:w="22" w:type="dxa"/>
        </w:trPr>
        <w:tc>
          <w:tcPr>
            <w:tcW w:w="2500" w:type="pct"/>
            <w:hideMark/>
          </w:tcPr>
          <w:p w:rsidR="0025563F" w:rsidRDefault="0025563F">
            <w:pPr>
              <w:pStyle w:val="a3"/>
              <w:jc w:val="center"/>
            </w:pPr>
            <w:r>
              <w:rPr>
                <w:b/>
                <w:bCs/>
              </w:rPr>
              <w:t>Голова Державної</w:t>
            </w:r>
            <w:r>
              <w:br/>
            </w:r>
            <w:proofErr w:type="spellStart"/>
            <w:r>
              <w:rPr>
                <w:b/>
                <w:bCs/>
              </w:rPr>
              <w:t>регуляторної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служби</w:t>
            </w:r>
            <w:proofErr w:type="spellEnd"/>
            <w:r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25563F" w:rsidRDefault="0025563F">
            <w:pPr>
              <w:pStyle w:val="a3"/>
              <w:jc w:val="center"/>
            </w:pPr>
            <w:r>
              <w:rPr>
                <w:b/>
                <w:bCs/>
              </w:rPr>
              <w:t xml:space="preserve">К. М. </w:t>
            </w:r>
            <w:proofErr w:type="spellStart"/>
            <w:r>
              <w:rPr>
                <w:b/>
                <w:bCs/>
              </w:rPr>
              <w:t>Ляпіна</w:t>
            </w:r>
            <w:proofErr w:type="spellEnd"/>
          </w:p>
        </w:tc>
      </w:tr>
    </w:tbl>
    <w:p w:rsidR="0025563F" w:rsidRDefault="0025563F" w:rsidP="0025563F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25563F" w:rsidTr="0025563F">
        <w:trPr>
          <w:tblCellSpacing w:w="22" w:type="dxa"/>
        </w:trPr>
        <w:tc>
          <w:tcPr>
            <w:tcW w:w="5000" w:type="pct"/>
            <w:hideMark/>
          </w:tcPr>
          <w:p w:rsidR="0025563F" w:rsidRDefault="0025563F">
            <w:pPr>
              <w:pStyle w:val="a3"/>
            </w:pPr>
            <w:r>
              <w:t>ЗАТВЕРДЖЕНО</w:t>
            </w:r>
            <w:r>
              <w:br/>
              <w:t xml:space="preserve">Постанова </w:t>
            </w:r>
            <w:proofErr w:type="spellStart"/>
            <w:r>
              <w:t>Національної</w:t>
            </w:r>
            <w:proofErr w:type="spellEnd"/>
            <w:r>
              <w:t xml:space="preserve"> </w:t>
            </w:r>
            <w:proofErr w:type="spellStart"/>
            <w:r>
              <w:t>комісії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здійснює</w:t>
            </w:r>
            <w:proofErr w:type="spellEnd"/>
            <w:r>
              <w:t xml:space="preserve"> </w:t>
            </w:r>
            <w:proofErr w:type="spellStart"/>
            <w:r>
              <w:t>державне</w:t>
            </w:r>
            <w:proofErr w:type="spellEnd"/>
            <w:r>
              <w:t xml:space="preserve"> </w:t>
            </w:r>
            <w:proofErr w:type="spellStart"/>
            <w:r>
              <w:t>регулювання</w:t>
            </w:r>
            <w:proofErr w:type="spellEnd"/>
            <w:r>
              <w:t xml:space="preserve"> у сферах </w:t>
            </w:r>
            <w:proofErr w:type="spellStart"/>
            <w:r>
              <w:t>енергетики</w:t>
            </w:r>
            <w:proofErr w:type="spellEnd"/>
            <w:r>
              <w:t xml:space="preserve"> та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br/>
              <w:t>07 листопада 2016 року N 1946</w:t>
            </w:r>
          </w:p>
          <w:p w:rsidR="0025563F" w:rsidRDefault="0025563F">
            <w:pPr>
              <w:pStyle w:val="a3"/>
            </w:pPr>
            <w:proofErr w:type="spellStart"/>
            <w:r>
              <w:t>Зареєстровано</w:t>
            </w:r>
            <w:proofErr w:type="spellEnd"/>
            <w:r>
              <w:br/>
              <w:t xml:space="preserve">в </w:t>
            </w:r>
            <w:proofErr w:type="spellStart"/>
            <w:r>
              <w:t>Міністерстві</w:t>
            </w:r>
            <w:proofErr w:type="spellEnd"/>
            <w:r>
              <w:t xml:space="preserve"> </w:t>
            </w:r>
            <w:proofErr w:type="spellStart"/>
            <w:r>
              <w:t>юстиції</w:t>
            </w:r>
            <w:proofErr w:type="spellEnd"/>
            <w:r>
              <w:t xml:space="preserve"> України</w:t>
            </w:r>
            <w:r>
              <w:br/>
              <w:t>16 листопада 2016 р. за N 1485/29615</w:t>
            </w:r>
          </w:p>
        </w:tc>
      </w:tr>
    </w:tbl>
    <w:p w:rsidR="0025563F" w:rsidRDefault="0025563F" w:rsidP="0025563F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25563F" w:rsidRDefault="0025563F" w:rsidP="0025563F">
      <w:pPr>
        <w:pStyle w:val="3"/>
        <w:jc w:val="center"/>
        <w:rPr>
          <w:color w:val="0000FF"/>
          <w:lang w:val="uk-UA"/>
        </w:rPr>
      </w:pPr>
      <w:r>
        <w:rPr>
          <w:lang w:val="uk-UA"/>
        </w:rPr>
        <w:t xml:space="preserve">Зміни до </w:t>
      </w:r>
      <w:r>
        <w:rPr>
          <w:color w:val="0000FF"/>
          <w:lang w:val="uk-UA"/>
        </w:rPr>
        <w:t>Методики розрахунку плати за приєднання електроустановок до електричних мереж</w:t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lang w:val="uk-UA"/>
        </w:rPr>
        <w:t>1. Підпункт 2.1.1 пункту 2 розділу II викласти в такій редакції:</w:t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lang w:val="uk-UA"/>
        </w:rPr>
        <w:t>"2.1.1. Розробку технічних умов та підготовку проекту договору про приєднання.</w:t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lang w:val="uk-UA"/>
        </w:rPr>
        <w:t>Для замовників із заявленою до приєднання потужністю електроустановок від 160 кВт до 5000 кВт технічні умови містять виключно такі вимоги:</w:t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lang w:val="uk-UA"/>
        </w:rPr>
        <w:t>щодо проектування та будівництва електричних мереж лінійної частини приєднання (від найближчої точки в існуючих (діючих) електричних мережах (повітряна лінія, трансформаторна підстанція або розподільний пункт) електропередавальної організації відповідного ступеня напруги, від якої необхідно здійснювати будівництво електричних мереж, до точки приєднання електроустановок замовника);</w:t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lang w:val="uk-UA"/>
        </w:rPr>
        <w:t>щодо проектування електричних мереж внутрішнього електрозабезпечення електроустановок замовника (в межах земельної ділянки замовника);</w:t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lang w:val="uk-UA"/>
        </w:rPr>
        <w:t>щодо безпеки електропостачання та улаштування вузла обліку електричної енергії.".</w:t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lang w:val="uk-UA"/>
        </w:rPr>
        <w:t>2. Пункт 2.7 розділу II викласти в такій редакції:</w:t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t xml:space="preserve">"2.7. Лінійна складова частина плати за нестандартне приєднання, яка включає лише витрати на будівництво лінії </w:t>
      </w:r>
      <w:proofErr w:type="spellStart"/>
      <w:r>
        <w:rPr>
          <w:lang w:val="uk-UA"/>
        </w:rPr>
        <w:t>електропередавання</w:t>
      </w:r>
      <w:proofErr w:type="spellEnd"/>
      <w:r>
        <w:rPr>
          <w:lang w:val="uk-UA"/>
        </w:rPr>
        <w:t xml:space="preserve"> виключно для потреб замовника від найближчої точки в існуючих (діючих) електричних мережах (повітряна лінія, трансформаторна підстанція або розподільчий пункт) електропередавальної організації відповідного ступеня напруги, від якої необхідно здійснювати будівництво електричних мереж, до точки приєднання електроустановок замовника, визначається в кожному конкретному випадку на підставі проектної документації.</w:t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lang w:val="uk-UA"/>
        </w:rPr>
        <w:t>Кошторисна частина проектної документації розробляється відповідно до вимог ДСТУ Б Д.1.1-1:2013 "Правила визначення вартості будівництва".</w:t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lang w:val="uk-UA"/>
        </w:rPr>
        <w:t>Величина витрат (без податку на додану вартість) визначається за кошторисною частиною проектної документації, що зменшується на величину витрат на підготовку експлуатаційних кадрів.".</w:t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lang w:val="uk-UA"/>
        </w:rPr>
        <w:t>2. Розділ IV викласти в такій редакції:</w:t>
      </w:r>
    </w:p>
    <w:p w:rsidR="0025563F" w:rsidRDefault="0025563F" w:rsidP="0025563F">
      <w:pPr>
        <w:pStyle w:val="a3"/>
        <w:jc w:val="center"/>
        <w:rPr>
          <w:lang w:val="uk-UA"/>
        </w:rPr>
      </w:pPr>
      <w:r>
        <w:rPr>
          <w:lang w:val="uk-UA"/>
        </w:rPr>
        <w:t>"</w:t>
      </w:r>
      <w:r>
        <w:rPr>
          <w:b/>
          <w:bCs/>
          <w:lang w:val="uk-UA"/>
        </w:rPr>
        <w:t>IV. Плата за нестандартне приєднання</w:t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lang w:val="uk-UA"/>
        </w:rPr>
        <w:t xml:space="preserve">4.1. Плата за нестандартне приєднання електроустановок замовника до електричних мереж електропередавальної організації </w:t>
      </w:r>
      <w:r>
        <w:rPr>
          <w:i/>
          <w:iCs/>
          <w:lang w:val="uk-UA"/>
        </w:rPr>
        <w:t>П</w:t>
      </w:r>
      <w:r>
        <w:rPr>
          <w:i/>
          <w:iCs/>
          <w:vertAlign w:val="subscript"/>
          <w:lang w:val="uk-UA"/>
        </w:rPr>
        <w:t xml:space="preserve"> </w:t>
      </w:r>
      <w:proofErr w:type="spellStart"/>
      <w:r>
        <w:rPr>
          <w:i/>
          <w:iCs/>
          <w:vertAlign w:val="subscript"/>
          <w:lang w:val="uk-UA"/>
        </w:rPr>
        <w:t>нп</w:t>
      </w:r>
      <w:proofErr w:type="spellEnd"/>
      <w:r>
        <w:rPr>
          <w:lang w:val="uk-UA"/>
        </w:rPr>
        <w:t xml:space="preserve">, тис.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 xml:space="preserve"> (без податку на додану вартість), розраховується за формулою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916"/>
        <w:gridCol w:w="584"/>
      </w:tblGrid>
      <w:tr w:rsidR="0025563F" w:rsidTr="0025563F">
        <w:trPr>
          <w:tblCellSpacing w:w="22" w:type="dxa"/>
          <w:jc w:val="center"/>
        </w:trPr>
        <w:tc>
          <w:tcPr>
            <w:tcW w:w="4750" w:type="pct"/>
            <w:hideMark/>
          </w:tcPr>
          <w:p w:rsidR="0025563F" w:rsidRDefault="0025563F">
            <w:pPr>
              <w:pStyle w:val="a3"/>
              <w:jc w:val="center"/>
            </w:pPr>
            <w:r>
              <w:rPr>
                <w:i/>
                <w:iCs/>
              </w:rPr>
              <w:t>П</w:t>
            </w:r>
            <w:r>
              <w:rPr>
                <w:i/>
                <w:iCs/>
                <w:vertAlign w:val="subscript"/>
              </w:rPr>
              <w:t xml:space="preserve"> </w:t>
            </w:r>
            <w:proofErr w:type="spellStart"/>
            <w:r>
              <w:rPr>
                <w:i/>
                <w:iCs/>
                <w:vertAlign w:val="subscript"/>
              </w:rPr>
              <w:t>нп</w:t>
            </w:r>
            <w:proofErr w:type="spellEnd"/>
            <w:r>
              <w:t> = 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vertAlign w:val="subscript"/>
              </w:rPr>
              <w:t xml:space="preserve"> </w:t>
            </w:r>
            <w:proofErr w:type="spellStart"/>
            <w:r>
              <w:rPr>
                <w:i/>
                <w:iCs/>
                <w:vertAlign w:val="subscript"/>
              </w:rPr>
              <w:t>заявл</w:t>
            </w:r>
            <w:proofErr w:type="spellEnd"/>
            <w:r>
              <w:t> </w:t>
            </w:r>
            <w:r>
              <w:rPr>
                <w:rFonts w:ascii="Symbol" w:hAnsi="Symbol"/>
              </w:rPr>
              <w:t></w:t>
            </w:r>
            <w:r>
              <w:t> 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  <w:vertAlign w:val="subscript"/>
              </w:rPr>
              <w:t xml:space="preserve"> </w:t>
            </w:r>
            <w:proofErr w:type="spellStart"/>
            <w:r>
              <w:rPr>
                <w:i/>
                <w:iCs/>
                <w:vertAlign w:val="subscript"/>
              </w:rPr>
              <w:t>нп</w:t>
            </w:r>
            <w:proofErr w:type="spellEnd"/>
            <w:r>
              <w:t> </w:t>
            </w:r>
            <w:r>
              <w:rPr>
                <w:rFonts w:ascii="Symbol" w:hAnsi="Symbol"/>
              </w:rPr>
              <w:t></w:t>
            </w:r>
            <w:r>
              <w:t> 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vertAlign w:val="subscript"/>
              </w:rPr>
              <w:t xml:space="preserve"> к</w:t>
            </w:r>
            <w:r>
              <w:t> + </w:t>
            </w:r>
            <w:r>
              <w:rPr>
                <w:i/>
                <w:iCs/>
              </w:rPr>
              <w:t>В</w:t>
            </w:r>
            <w:r>
              <w:rPr>
                <w:i/>
                <w:iCs/>
                <w:vertAlign w:val="subscript"/>
              </w:rPr>
              <w:t xml:space="preserve"> </w:t>
            </w:r>
            <w:proofErr w:type="spellStart"/>
            <w:r>
              <w:rPr>
                <w:i/>
                <w:iCs/>
                <w:vertAlign w:val="subscript"/>
              </w:rPr>
              <w:t>лін</w:t>
            </w:r>
            <w:proofErr w:type="spellEnd"/>
            <w:r>
              <w:t>,</w:t>
            </w:r>
          </w:p>
        </w:tc>
        <w:tc>
          <w:tcPr>
            <w:tcW w:w="250" w:type="pct"/>
            <w:hideMark/>
          </w:tcPr>
          <w:p w:rsidR="0025563F" w:rsidRDefault="0025563F">
            <w:pPr>
              <w:pStyle w:val="a3"/>
              <w:jc w:val="center"/>
            </w:pPr>
            <w:r>
              <w:t>(6)</w:t>
            </w:r>
          </w:p>
        </w:tc>
      </w:tr>
    </w:tbl>
    <w:p w:rsidR="0025563F" w:rsidRDefault="0025563F" w:rsidP="0025563F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lang w:val="uk-UA"/>
        </w:rPr>
        <w:t xml:space="preserve">де </w:t>
      </w:r>
      <w:r>
        <w:rPr>
          <w:i/>
          <w:iCs/>
          <w:lang w:val="uk-UA"/>
        </w:rPr>
        <w:t>Р</w:t>
      </w:r>
      <w:r>
        <w:rPr>
          <w:i/>
          <w:iCs/>
          <w:vertAlign w:val="subscript"/>
          <w:lang w:val="uk-UA"/>
        </w:rPr>
        <w:t xml:space="preserve"> </w:t>
      </w:r>
      <w:proofErr w:type="spellStart"/>
      <w:r>
        <w:rPr>
          <w:i/>
          <w:iCs/>
          <w:vertAlign w:val="subscript"/>
          <w:lang w:val="uk-UA"/>
        </w:rPr>
        <w:t>заявл</w:t>
      </w:r>
      <w:proofErr w:type="spellEnd"/>
      <w:r>
        <w:rPr>
          <w:lang w:val="uk-UA"/>
        </w:rPr>
        <w:t xml:space="preserve"> - заявлена до приєднання потужність електроустановок замовника, кВт;</w:t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i/>
          <w:iCs/>
          <w:lang w:val="uk-UA"/>
        </w:rPr>
        <w:t>В</w:t>
      </w:r>
      <w:r>
        <w:rPr>
          <w:i/>
          <w:iCs/>
          <w:vertAlign w:val="subscript"/>
          <w:lang w:val="uk-UA"/>
        </w:rPr>
        <w:t xml:space="preserve"> </w:t>
      </w:r>
      <w:proofErr w:type="spellStart"/>
      <w:r>
        <w:rPr>
          <w:i/>
          <w:iCs/>
          <w:vertAlign w:val="subscript"/>
          <w:lang w:val="uk-UA"/>
        </w:rPr>
        <w:t>лін</w:t>
      </w:r>
      <w:proofErr w:type="spellEnd"/>
      <w:r>
        <w:rPr>
          <w:lang w:val="uk-UA"/>
        </w:rPr>
        <w:t xml:space="preserve"> - визначена відповідно до вимог розділу II цієї Методики загальна вартість будівництва ліній </w:t>
      </w:r>
      <w:proofErr w:type="spellStart"/>
      <w:r>
        <w:rPr>
          <w:lang w:val="uk-UA"/>
        </w:rPr>
        <w:t>електропередавання</w:t>
      </w:r>
      <w:proofErr w:type="spellEnd"/>
      <w:r>
        <w:rPr>
          <w:lang w:val="uk-UA"/>
        </w:rPr>
        <w:t xml:space="preserve"> на відповідних ступенях напруги виключно для потреб замовника від найближчої точки в існуючих (діючих) електричних мережах (повітряна лінія, трансформаторна підстанція або розподільчий пункт) електропередавальної організації відповідного ступеня напруги, від якої необхідно здійснювати будівництво електричних мереж, до точки приєднання електроустановок замовника, тис.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 xml:space="preserve"> (без податку на додану вартість);</w:t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i/>
          <w:iCs/>
          <w:lang w:val="uk-UA"/>
        </w:rPr>
        <w:t>К</w:t>
      </w:r>
      <w:r>
        <w:rPr>
          <w:i/>
          <w:iCs/>
          <w:vertAlign w:val="subscript"/>
          <w:lang w:val="uk-UA"/>
        </w:rPr>
        <w:t xml:space="preserve"> </w:t>
      </w:r>
      <w:proofErr w:type="spellStart"/>
      <w:r>
        <w:rPr>
          <w:i/>
          <w:iCs/>
          <w:vertAlign w:val="subscript"/>
          <w:lang w:val="uk-UA"/>
        </w:rPr>
        <w:t>к</w:t>
      </w:r>
      <w:proofErr w:type="spellEnd"/>
      <w:r>
        <w:rPr>
          <w:lang w:val="uk-UA"/>
        </w:rPr>
        <w:t xml:space="preserve"> - коефіцієнт категорії надійності (додаток 2);</w:t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i/>
          <w:iCs/>
          <w:lang w:val="uk-UA"/>
        </w:rPr>
        <w:t>В</w:t>
      </w:r>
      <w:r>
        <w:rPr>
          <w:i/>
          <w:iCs/>
          <w:vertAlign w:val="subscript"/>
          <w:lang w:val="uk-UA"/>
        </w:rPr>
        <w:t xml:space="preserve"> </w:t>
      </w:r>
      <w:proofErr w:type="spellStart"/>
      <w:r>
        <w:rPr>
          <w:i/>
          <w:iCs/>
          <w:vertAlign w:val="subscript"/>
          <w:lang w:val="uk-UA"/>
        </w:rPr>
        <w:t>нп</w:t>
      </w:r>
      <w:proofErr w:type="spellEnd"/>
      <w:r>
        <w:rPr>
          <w:lang w:val="uk-UA"/>
        </w:rPr>
        <w:t xml:space="preserve"> - питома вартість нестандартного приєднання, тис.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>/кВт (без податку на додану вартість), яка встановлюється НКРЕКП та визначається за формулою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499"/>
        <w:gridCol w:w="2419"/>
        <w:gridCol w:w="582"/>
      </w:tblGrid>
      <w:tr w:rsidR="0025563F" w:rsidTr="0025563F">
        <w:trPr>
          <w:tblCellSpacing w:w="22" w:type="dxa"/>
          <w:jc w:val="center"/>
        </w:trPr>
        <w:tc>
          <w:tcPr>
            <w:tcW w:w="3600" w:type="pct"/>
            <w:vAlign w:val="center"/>
            <w:hideMark/>
          </w:tcPr>
          <w:p w:rsidR="0025563F" w:rsidRDefault="0025563F">
            <w:pPr>
              <w:pStyle w:val="a3"/>
              <w:jc w:val="right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2458720" cy="543560"/>
                  <wp:effectExtent l="19050" t="0" r="0" b="0"/>
                  <wp:docPr id="2" name="Рисунок 2" descr="C:\Users\Sorochenko_A\AppData\Roaming\Liga70\Client\Session\Re29615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orochenko_A\AppData\Roaming\Liga70\Client\Session\Re29615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720" cy="54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1150" w:type="pct"/>
            <w:vAlign w:val="center"/>
            <w:hideMark/>
          </w:tcPr>
          <w:p w:rsidR="0025563F" w:rsidRDefault="0025563F">
            <w:pPr>
              <w:pStyle w:val="a3"/>
            </w:pPr>
            <w:r>
              <w:t>,</w:t>
            </w:r>
          </w:p>
        </w:tc>
        <w:tc>
          <w:tcPr>
            <w:tcW w:w="250" w:type="pct"/>
            <w:vAlign w:val="center"/>
            <w:hideMark/>
          </w:tcPr>
          <w:p w:rsidR="0025563F" w:rsidRDefault="0025563F">
            <w:pPr>
              <w:pStyle w:val="a3"/>
              <w:jc w:val="center"/>
            </w:pPr>
            <w:r>
              <w:t>(7)</w:t>
            </w:r>
          </w:p>
        </w:tc>
      </w:tr>
    </w:tbl>
    <w:p w:rsidR="0025563F" w:rsidRDefault="0025563F" w:rsidP="0025563F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t xml:space="preserve">де </w:t>
      </w:r>
      <w:r>
        <w:rPr>
          <w:i/>
          <w:iCs/>
          <w:lang w:val="uk-UA"/>
        </w:rPr>
        <w:t>В</w:t>
      </w:r>
      <w:r>
        <w:rPr>
          <w:i/>
          <w:iCs/>
          <w:vertAlign w:val="subscript"/>
          <w:lang w:val="uk-UA"/>
        </w:rPr>
        <w:t xml:space="preserve"> заміщення</w:t>
      </w:r>
      <w:r>
        <w:rPr>
          <w:lang w:val="uk-UA"/>
        </w:rPr>
        <w:t xml:space="preserve"> - визначена для суб'єктів природних монополій вартість заміщення (відтворення) активів електропередавальної організації з урахуванням фізичного зносу та коефіцієнта оптимізації, тис.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 xml:space="preserve"> (без податку на додану вартість);</w:t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i/>
          <w:iCs/>
          <w:lang w:val="uk-UA"/>
        </w:rPr>
        <w:t>Р</w:t>
      </w:r>
      <w:r>
        <w:rPr>
          <w:i/>
          <w:iCs/>
          <w:vertAlign w:val="subscript"/>
          <w:lang w:val="uk-UA"/>
        </w:rPr>
        <w:t xml:space="preserve"> </w:t>
      </w:r>
      <w:proofErr w:type="spellStart"/>
      <w:r>
        <w:rPr>
          <w:i/>
          <w:iCs/>
          <w:vertAlign w:val="subscript"/>
          <w:lang w:val="uk-UA"/>
        </w:rPr>
        <w:t>ПС</w:t>
      </w:r>
      <w:proofErr w:type="spellEnd"/>
      <w:r>
        <w:rPr>
          <w:vertAlign w:val="subscript"/>
          <w:lang w:val="uk-UA"/>
        </w:rPr>
        <w:t xml:space="preserve"> 110/35/10</w:t>
      </w:r>
      <w:r>
        <w:rPr>
          <w:i/>
          <w:iCs/>
          <w:vertAlign w:val="subscript"/>
          <w:lang w:val="uk-UA"/>
        </w:rPr>
        <w:t xml:space="preserve"> кВ</w:t>
      </w:r>
      <w:r>
        <w:rPr>
          <w:lang w:val="uk-UA"/>
        </w:rPr>
        <w:t xml:space="preserve"> - загальна номінальна величина потужності трансформаторів, безпосередньо підключених до електричних мереж високої напруги, без урахування резервних трансформаторів та трансформаторів, що задіяні в повторній трансформації, трансформаторних підстанцій електропередавальної організації напругою 110(150)/(20)10(6) кВ та 110(150)/35(20)/(20)10(6) кВ, кВА;</w:t>
      </w:r>
    </w:p>
    <w:p w:rsidR="0025563F" w:rsidRDefault="0025563F" w:rsidP="0025563F">
      <w:pPr>
        <w:pStyle w:val="a3"/>
        <w:jc w:val="both"/>
        <w:rPr>
          <w:lang w:val="uk-UA"/>
        </w:rPr>
      </w:pPr>
      <w:proofErr w:type="spellStart"/>
      <w:r>
        <w:rPr>
          <w:lang w:val="uk-UA"/>
        </w:rPr>
        <w:t>cos</w:t>
      </w:r>
      <w:proofErr w:type="spellEnd"/>
      <w:r>
        <w:rPr>
          <w:lang w:val="uk-UA"/>
        </w:rPr>
        <w:t>(</w:t>
      </w:r>
      <w:r>
        <w:rPr>
          <w:rFonts w:ascii="Symbol" w:hAnsi="Symbol"/>
          <w:i/>
          <w:iCs/>
          <w:lang w:val="uk-UA"/>
        </w:rPr>
        <w:t></w:t>
      </w:r>
      <w:r>
        <w:rPr>
          <w:lang w:val="uk-UA"/>
        </w:rPr>
        <w:t>) = 0,92 - коефіцієнт потужності;</w:t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i/>
          <w:iCs/>
          <w:lang w:val="uk-UA"/>
        </w:rPr>
        <w:t>К</w:t>
      </w:r>
      <w:r>
        <w:rPr>
          <w:i/>
          <w:iCs/>
          <w:vertAlign w:val="subscript"/>
          <w:lang w:val="uk-UA"/>
        </w:rPr>
        <w:t xml:space="preserve"> </w:t>
      </w:r>
      <w:proofErr w:type="spellStart"/>
      <w:r>
        <w:rPr>
          <w:i/>
          <w:iCs/>
          <w:vertAlign w:val="subscript"/>
          <w:lang w:val="uk-UA"/>
        </w:rPr>
        <w:t>інд</w:t>
      </w:r>
      <w:proofErr w:type="spellEnd"/>
      <w:r>
        <w:rPr>
          <w:lang w:val="uk-UA"/>
        </w:rPr>
        <w:t xml:space="preserve"> - коефіцієнт індексу споживчих цін у середньому до попереднього року (застосовується у разі, якщо електропередавальна організація не розраховує щорічно питому вартість нестандартного приєднання).</w:t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lang w:val="uk-UA"/>
        </w:rPr>
        <w:t xml:space="preserve">Питома вартість нестандартного приєднання для електропередавальних організацій, які не визначили вартість заміщення (відтворення) активів, </w:t>
      </w:r>
      <w:r>
        <w:rPr>
          <w:i/>
          <w:iCs/>
          <w:lang w:val="uk-UA"/>
        </w:rPr>
        <w:t>В</w:t>
      </w:r>
      <w:r>
        <w:rPr>
          <w:i/>
          <w:iCs/>
          <w:vertAlign w:val="subscript"/>
          <w:lang w:val="uk-UA"/>
        </w:rPr>
        <w:t xml:space="preserve"> </w:t>
      </w:r>
      <w:proofErr w:type="spellStart"/>
      <w:r>
        <w:rPr>
          <w:i/>
          <w:iCs/>
          <w:vertAlign w:val="subscript"/>
          <w:lang w:val="uk-UA"/>
        </w:rPr>
        <w:t>нп</w:t>
      </w:r>
      <w:proofErr w:type="spellEnd"/>
      <w:r>
        <w:rPr>
          <w:vertAlign w:val="subscript"/>
          <w:lang w:val="uk-UA"/>
        </w:rPr>
        <w:t xml:space="preserve"> 2</w:t>
      </w:r>
      <w:r>
        <w:rPr>
          <w:lang w:val="uk-UA"/>
        </w:rPr>
        <w:t xml:space="preserve">, тис.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>/кВт (без податку на додану вартість), встановлюється НКРЕКП та визначається за формулою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12"/>
        <w:gridCol w:w="2006"/>
        <w:gridCol w:w="582"/>
      </w:tblGrid>
      <w:tr w:rsidR="0025563F" w:rsidTr="0025563F">
        <w:trPr>
          <w:tblCellSpacing w:w="22" w:type="dxa"/>
          <w:jc w:val="center"/>
        </w:trPr>
        <w:tc>
          <w:tcPr>
            <w:tcW w:w="3800" w:type="pct"/>
            <w:vAlign w:val="center"/>
            <w:hideMark/>
          </w:tcPr>
          <w:p w:rsidR="0025563F" w:rsidRDefault="0025563F">
            <w:pPr>
              <w:pStyle w:val="a3"/>
              <w:jc w:val="right"/>
            </w:pP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2984500" cy="1164590"/>
                  <wp:effectExtent l="19050" t="0" r="6350" b="0"/>
                  <wp:docPr id="3" name="Рисунок 3" descr="C:\Users\Sorochenko_A\AppData\Roaming\Liga70\Client\Session\Re29615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orochenko_A\AppData\Roaming\Liga70\Client\Session\Re29615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0" cy="1164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950" w:type="pct"/>
            <w:vAlign w:val="center"/>
            <w:hideMark/>
          </w:tcPr>
          <w:p w:rsidR="0025563F" w:rsidRDefault="0025563F">
            <w:pPr>
              <w:pStyle w:val="a3"/>
            </w:pPr>
            <w:r>
              <w:t>,</w:t>
            </w:r>
          </w:p>
        </w:tc>
        <w:tc>
          <w:tcPr>
            <w:tcW w:w="250" w:type="pct"/>
            <w:vAlign w:val="center"/>
            <w:hideMark/>
          </w:tcPr>
          <w:p w:rsidR="0025563F" w:rsidRDefault="0025563F">
            <w:pPr>
              <w:pStyle w:val="a3"/>
              <w:jc w:val="center"/>
            </w:pPr>
            <w:r>
              <w:t>(8)</w:t>
            </w:r>
          </w:p>
        </w:tc>
      </w:tr>
    </w:tbl>
    <w:p w:rsidR="0025563F" w:rsidRDefault="0025563F" w:rsidP="0025563F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lang w:val="uk-UA"/>
        </w:rPr>
        <w:t xml:space="preserve">де </w:t>
      </w:r>
      <w:r>
        <w:rPr>
          <w:i/>
          <w:iCs/>
          <w:lang w:val="uk-UA"/>
        </w:rPr>
        <w:t>В</w:t>
      </w:r>
      <w:r>
        <w:rPr>
          <w:i/>
          <w:iCs/>
          <w:vertAlign w:val="superscript"/>
          <w:lang w:val="uk-UA"/>
        </w:rPr>
        <w:t xml:space="preserve"> i</w:t>
      </w:r>
      <w:r>
        <w:rPr>
          <w:i/>
          <w:iCs/>
          <w:vertAlign w:val="subscript"/>
          <w:lang w:val="uk-UA"/>
        </w:rPr>
        <w:t xml:space="preserve"> заміщення</w:t>
      </w:r>
      <w:r>
        <w:rPr>
          <w:lang w:val="uk-UA"/>
        </w:rPr>
        <w:t xml:space="preserve"> - визначена для суб'єктів природних монополій вартість заміщення (відтворення) активів електропередавальної організації </w:t>
      </w:r>
      <w:r>
        <w:rPr>
          <w:i/>
          <w:iCs/>
          <w:lang w:val="uk-UA"/>
        </w:rPr>
        <w:t>i</w:t>
      </w:r>
      <w:r>
        <w:rPr>
          <w:lang w:val="uk-UA"/>
        </w:rPr>
        <w:t xml:space="preserve"> з урахуванням фізичного зносу та коефіцієнта оптимізації, тис.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 xml:space="preserve"> (без податку на додану вартість);</w:t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i/>
          <w:iCs/>
          <w:lang w:val="uk-UA"/>
        </w:rPr>
        <w:t>Р</w:t>
      </w:r>
      <w:r>
        <w:rPr>
          <w:i/>
          <w:iCs/>
          <w:vertAlign w:val="superscript"/>
          <w:lang w:val="uk-UA"/>
        </w:rPr>
        <w:t xml:space="preserve"> i</w:t>
      </w:r>
      <w:r>
        <w:rPr>
          <w:i/>
          <w:iCs/>
          <w:vertAlign w:val="subscript"/>
          <w:lang w:val="uk-UA"/>
        </w:rPr>
        <w:t xml:space="preserve"> </w:t>
      </w:r>
      <w:proofErr w:type="spellStart"/>
      <w:r>
        <w:rPr>
          <w:i/>
          <w:iCs/>
          <w:vertAlign w:val="subscript"/>
          <w:lang w:val="uk-UA"/>
        </w:rPr>
        <w:t>ПС</w:t>
      </w:r>
      <w:proofErr w:type="spellEnd"/>
      <w:r>
        <w:rPr>
          <w:vertAlign w:val="subscript"/>
          <w:lang w:val="uk-UA"/>
        </w:rPr>
        <w:t xml:space="preserve"> 110/35/10</w:t>
      </w:r>
      <w:r>
        <w:rPr>
          <w:i/>
          <w:iCs/>
          <w:vertAlign w:val="subscript"/>
          <w:lang w:val="uk-UA"/>
        </w:rPr>
        <w:t xml:space="preserve"> кВ</w:t>
      </w:r>
      <w:r>
        <w:rPr>
          <w:lang w:val="uk-UA"/>
        </w:rPr>
        <w:t xml:space="preserve"> - загальна номінальна величина потужності трансформаторів, безпосередньо підключених до електричних мереж високої напруги, без урахування резервних трансформаторів та трансформаторів, що задіяні в повторній трансформації, трансформаторних підстанцій електропередавальної організації </w:t>
      </w:r>
      <w:r>
        <w:rPr>
          <w:i/>
          <w:iCs/>
          <w:lang w:val="uk-UA"/>
        </w:rPr>
        <w:t>i</w:t>
      </w:r>
      <w:r>
        <w:rPr>
          <w:lang w:val="uk-UA"/>
        </w:rPr>
        <w:t xml:space="preserve"> напругою 110(150)/(20)10(6) кВ та 110(150)/35(20)/(20)10(6) кВ, кВА;</w:t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i/>
          <w:iCs/>
          <w:lang w:val="uk-UA"/>
        </w:rPr>
        <w:t>n</w:t>
      </w:r>
      <w:r>
        <w:rPr>
          <w:lang w:val="uk-UA"/>
        </w:rPr>
        <w:t xml:space="preserve"> - кількість електропередавальних організацій, які визначили вартість заміщення (відтворення) активів;</w:t>
      </w:r>
    </w:p>
    <w:p w:rsidR="0025563F" w:rsidRDefault="0025563F" w:rsidP="0025563F">
      <w:pPr>
        <w:pStyle w:val="a3"/>
        <w:jc w:val="both"/>
        <w:rPr>
          <w:lang w:val="uk-UA"/>
        </w:rPr>
      </w:pPr>
      <w:proofErr w:type="spellStart"/>
      <w:r>
        <w:rPr>
          <w:lang w:val="uk-UA"/>
        </w:rPr>
        <w:t>cos</w:t>
      </w:r>
      <w:proofErr w:type="spellEnd"/>
      <w:r>
        <w:rPr>
          <w:lang w:val="uk-UA"/>
        </w:rPr>
        <w:t>(</w:t>
      </w:r>
      <w:r>
        <w:rPr>
          <w:rFonts w:ascii="Symbol" w:hAnsi="Symbol"/>
          <w:i/>
          <w:iCs/>
          <w:lang w:val="uk-UA"/>
        </w:rPr>
        <w:t></w:t>
      </w:r>
      <w:r>
        <w:rPr>
          <w:lang w:val="uk-UA"/>
        </w:rPr>
        <w:t>) = 0,92 - коефіцієнт потужності;</w:t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i/>
          <w:iCs/>
          <w:lang w:val="uk-UA"/>
        </w:rPr>
        <w:t>К</w:t>
      </w:r>
      <w:r>
        <w:rPr>
          <w:i/>
          <w:iCs/>
          <w:vertAlign w:val="subscript"/>
          <w:lang w:val="uk-UA"/>
        </w:rPr>
        <w:t xml:space="preserve"> </w:t>
      </w:r>
      <w:proofErr w:type="spellStart"/>
      <w:r>
        <w:rPr>
          <w:i/>
          <w:iCs/>
          <w:vertAlign w:val="subscript"/>
          <w:lang w:val="uk-UA"/>
        </w:rPr>
        <w:t>інд</w:t>
      </w:r>
      <w:proofErr w:type="spellEnd"/>
      <w:r>
        <w:rPr>
          <w:lang w:val="uk-UA"/>
        </w:rPr>
        <w:t xml:space="preserve"> - коефіцієнт індексу споживчих цін у середньому до попереднього року (застосовується у разі, якщо електропередавальна організація не розраховує щорічно питому вартість нестандартного приєднання).</w:t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lang w:val="uk-UA"/>
        </w:rPr>
        <w:t xml:space="preserve">4.2. Електропередавальна організація відповідно до формули 7 цієї Методики може щорічно (але не рідше одного разу на п'ять років) розраховувати питому вартість </w:t>
      </w:r>
      <w:r>
        <w:rPr>
          <w:lang w:val="uk-UA"/>
        </w:rPr>
        <w:lastRenderedPageBreak/>
        <w:t xml:space="preserve">нестандартного приєднання, тис.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>/кВт (без податку на додану вартість), та надавати НКРЕКП відповідне розрахункове значення з обґрунтуваннями.</w:t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lang w:val="uk-UA"/>
        </w:rPr>
        <w:t>НКРЕКП розглядає надані електропередавальними організаціями відповідні розрахункові значення питомих вартостей нестандартного приєднання та встановлює на наступний календарний рік відповідні величини питомої вартості нестандартного приєднання, визначені відповідно до формули 7 цієї Методики, для кожної електропередавальної організації.</w:t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lang w:val="uk-UA"/>
        </w:rPr>
        <w:t>До дати визначення для суб'єктів природних монополій вартості заміщення (відтворення) активів з урахуванням фізичного зносу та коефіцієнта оптимізації усіма без винятку електропередавальними організаціями питома вартість нестандартного приєднання для електропередавальних організацій, які не визначили вартість заміщення (відтворення) активів, визначається відповідно до формули 8 цієї Методики на рівні середнього питомого значення за вихідними даними електропередавальних організацій, які вже визначили вартість заміщення (відтворення) активів.</w:t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lang w:val="uk-UA"/>
        </w:rPr>
        <w:t>4.3. У разі якщо величина заявленої до приєднання потужності електроустановок замовника становить більше 5000 кВт, плата за приєднання до електричних мереж визначається згідно з кошторисом, який є невід'ємною частиною відповідної проектної документації, розробленої відповідно до технічних умов нестандартного приєднання.".</w:t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lang w:val="uk-UA"/>
        </w:rPr>
        <w:t>3. Розділ V виключити.</w:t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lang w:val="uk-UA"/>
        </w:rPr>
        <w:t>У зв'язку з цим розділ VI вважати розділом V.</w:t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lang w:val="uk-UA"/>
        </w:rPr>
        <w:t>4. У додатках до Методики:</w:t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lang w:val="uk-UA"/>
        </w:rPr>
        <w:t>1) у додатку 2 цифри "0,8" замінити цифрами "1,0";</w:t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lang w:val="uk-UA"/>
        </w:rPr>
        <w:t>2) заголовок додатка 3 викласти в такій редакції:</w:t>
      </w:r>
    </w:p>
    <w:p w:rsidR="0025563F" w:rsidRDefault="0025563F" w:rsidP="0025563F">
      <w:pPr>
        <w:pStyle w:val="a3"/>
        <w:jc w:val="center"/>
        <w:rPr>
          <w:lang w:val="uk-UA"/>
        </w:rPr>
      </w:pPr>
      <w:r>
        <w:rPr>
          <w:lang w:val="uk-UA"/>
        </w:rPr>
        <w:t>"</w:t>
      </w:r>
      <w:r>
        <w:rPr>
          <w:b/>
          <w:bCs/>
          <w:lang w:val="uk-UA"/>
        </w:rPr>
        <w:t>Коефіцієнт ступеня напруги в точці приєднання (</w:t>
      </w:r>
      <w:r>
        <w:rPr>
          <w:b/>
          <w:bCs/>
          <w:i/>
          <w:iCs/>
          <w:lang w:val="uk-UA"/>
        </w:rPr>
        <w:t>К</w:t>
      </w:r>
      <w:r>
        <w:rPr>
          <w:b/>
          <w:bCs/>
          <w:i/>
          <w:iCs/>
          <w:vertAlign w:val="subscript"/>
          <w:lang w:val="uk-UA"/>
        </w:rPr>
        <w:t xml:space="preserve"> Н</w:t>
      </w:r>
      <w:r>
        <w:rPr>
          <w:b/>
          <w:bCs/>
          <w:lang w:val="uk-UA"/>
        </w:rPr>
        <w:t>)</w:t>
      </w:r>
      <w:r>
        <w:rPr>
          <w:lang w:val="uk-UA"/>
        </w:rPr>
        <w:t>";</w:t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lang w:val="uk-UA"/>
        </w:rPr>
        <w:t>3) у додатку 4:</w:t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lang w:val="uk-UA"/>
        </w:rPr>
        <w:t>у другому рядку цифри "0,9" замінити цифрами "1,0";</w:t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lang w:val="uk-UA"/>
        </w:rPr>
        <w:t>у третьому рядку цифри "0,85" замінити цифрами "1,0";</w:t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lang w:val="uk-UA"/>
        </w:rPr>
        <w:t>4) додаток 5 виключити.</w:t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25563F" w:rsidTr="0025563F">
        <w:trPr>
          <w:tblCellSpacing w:w="22" w:type="dxa"/>
        </w:trPr>
        <w:tc>
          <w:tcPr>
            <w:tcW w:w="2500" w:type="pct"/>
            <w:hideMark/>
          </w:tcPr>
          <w:p w:rsidR="0025563F" w:rsidRDefault="0025563F">
            <w:pPr>
              <w:pStyle w:val="a3"/>
              <w:jc w:val="center"/>
            </w:pPr>
            <w:r>
              <w:rPr>
                <w:b/>
                <w:bCs/>
              </w:rPr>
              <w:t>Заступник директора</w:t>
            </w:r>
            <w:r>
              <w:br/>
            </w:r>
            <w:r>
              <w:rPr>
                <w:b/>
                <w:bCs/>
              </w:rPr>
              <w:t xml:space="preserve">Департаменту </w:t>
            </w:r>
            <w:proofErr w:type="spellStart"/>
            <w:r>
              <w:rPr>
                <w:b/>
                <w:bCs/>
              </w:rPr>
              <w:t>із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регулювання</w:t>
            </w:r>
            <w:proofErr w:type="spellEnd"/>
            <w:r>
              <w:br/>
            </w:r>
            <w:proofErr w:type="spellStart"/>
            <w:r>
              <w:rPr>
                <w:b/>
                <w:bCs/>
              </w:rPr>
              <w:t>відносин</w:t>
            </w:r>
            <w:proofErr w:type="spellEnd"/>
            <w:r>
              <w:rPr>
                <w:b/>
                <w:bCs/>
              </w:rPr>
              <w:t xml:space="preserve"> у </w:t>
            </w:r>
            <w:proofErr w:type="spellStart"/>
            <w:r>
              <w:rPr>
                <w:b/>
                <w:bCs/>
              </w:rPr>
              <w:t>сфері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енергетики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25563F" w:rsidRDefault="0025563F">
            <w:pPr>
              <w:pStyle w:val="a3"/>
              <w:jc w:val="center"/>
            </w:pPr>
            <w:r>
              <w:rPr>
                <w:b/>
                <w:bCs/>
              </w:rPr>
              <w:t xml:space="preserve">А. </w:t>
            </w:r>
            <w:proofErr w:type="spellStart"/>
            <w:r>
              <w:rPr>
                <w:b/>
                <w:bCs/>
              </w:rPr>
              <w:t>Огньов</w:t>
            </w:r>
            <w:proofErr w:type="spellEnd"/>
          </w:p>
        </w:tc>
      </w:tr>
    </w:tbl>
    <w:p w:rsidR="0025563F" w:rsidRDefault="0025563F" w:rsidP="0025563F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25563F" w:rsidRDefault="0025563F" w:rsidP="0025563F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5563F"/>
    <w:rsid w:val="0000013B"/>
    <w:rsid w:val="00000305"/>
    <w:rsid w:val="00000757"/>
    <w:rsid w:val="00000A33"/>
    <w:rsid w:val="00000B72"/>
    <w:rsid w:val="00000E7B"/>
    <w:rsid w:val="000014F0"/>
    <w:rsid w:val="0000171A"/>
    <w:rsid w:val="00001B61"/>
    <w:rsid w:val="00002B30"/>
    <w:rsid w:val="00003170"/>
    <w:rsid w:val="00003D7F"/>
    <w:rsid w:val="00003F6C"/>
    <w:rsid w:val="00004622"/>
    <w:rsid w:val="00004647"/>
    <w:rsid w:val="00004BB4"/>
    <w:rsid w:val="0000507E"/>
    <w:rsid w:val="000058FA"/>
    <w:rsid w:val="000059A5"/>
    <w:rsid w:val="00005D21"/>
    <w:rsid w:val="00006674"/>
    <w:rsid w:val="000069C6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186"/>
    <w:rsid w:val="000123E4"/>
    <w:rsid w:val="0001278B"/>
    <w:rsid w:val="00012E57"/>
    <w:rsid w:val="00013645"/>
    <w:rsid w:val="000140BE"/>
    <w:rsid w:val="000140FB"/>
    <w:rsid w:val="0001424A"/>
    <w:rsid w:val="0001463E"/>
    <w:rsid w:val="00014A4C"/>
    <w:rsid w:val="000152AF"/>
    <w:rsid w:val="000156B4"/>
    <w:rsid w:val="00015DAB"/>
    <w:rsid w:val="00015EAD"/>
    <w:rsid w:val="00016065"/>
    <w:rsid w:val="000163E6"/>
    <w:rsid w:val="000165C4"/>
    <w:rsid w:val="0001706D"/>
    <w:rsid w:val="00017193"/>
    <w:rsid w:val="00017579"/>
    <w:rsid w:val="00017C77"/>
    <w:rsid w:val="00017D8A"/>
    <w:rsid w:val="00020ADD"/>
    <w:rsid w:val="00020FD4"/>
    <w:rsid w:val="000219F5"/>
    <w:rsid w:val="00021ADF"/>
    <w:rsid w:val="00022465"/>
    <w:rsid w:val="00022488"/>
    <w:rsid w:val="000226AD"/>
    <w:rsid w:val="000227B8"/>
    <w:rsid w:val="00022BCF"/>
    <w:rsid w:val="00023784"/>
    <w:rsid w:val="00023C08"/>
    <w:rsid w:val="00024ECD"/>
    <w:rsid w:val="00025078"/>
    <w:rsid w:val="00025B19"/>
    <w:rsid w:val="00025FF1"/>
    <w:rsid w:val="000260FE"/>
    <w:rsid w:val="00026890"/>
    <w:rsid w:val="00027131"/>
    <w:rsid w:val="000271FE"/>
    <w:rsid w:val="00027301"/>
    <w:rsid w:val="000301C6"/>
    <w:rsid w:val="000316A2"/>
    <w:rsid w:val="00031AAD"/>
    <w:rsid w:val="0003248D"/>
    <w:rsid w:val="00032782"/>
    <w:rsid w:val="000331CE"/>
    <w:rsid w:val="0003360C"/>
    <w:rsid w:val="000336D8"/>
    <w:rsid w:val="000339A4"/>
    <w:rsid w:val="00033A12"/>
    <w:rsid w:val="00033CAD"/>
    <w:rsid w:val="00034151"/>
    <w:rsid w:val="00034BF2"/>
    <w:rsid w:val="000358D5"/>
    <w:rsid w:val="0003592E"/>
    <w:rsid w:val="00036365"/>
    <w:rsid w:val="000366CA"/>
    <w:rsid w:val="000367A7"/>
    <w:rsid w:val="000376AB"/>
    <w:rsid w:val="00040116"/>
    <w:rsid w:val="00040666"/>
    <w:rsid w:val="0004074C"/>
    <w:rsid w:val="0004218D"/>
    <w:rsid w:val="00042904"/>
    <w:rsid w:val="00042A5A"/>
    <w:rsid w:val="00042B14"/>
    <w:rsid w:val="00042D3A"/>
    <w:rsid w:val="00042E74"/>
    <w:rsid w:val="000440A3"/>
    <w:rsid w:val="00044A85"/>
    <w:rsid w:val="00046458"/>
    <w:rsid w:val="00046EFF"/>
    <w:rsid w:val="00047700"/>
    <w:rsid w:val="00047B8D"/>
    <w:rsid w:val="00047C05"/>
    <w:rsid w:val="00047CAE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C62"/>
    <w:rsid w:val="0005485E"/>
    <w:rsid w:val="00054EA8"/>
    <w:rsid w:val="0005531B"/>
    <w:rsid w:val="00055B4A"/>
    <w:rsid w:val="0005607A"/>
    <w:rsid w:val="000565A7"/>
    <w:rsid w:val="0005677E"/>
    <w:rsid w:val="00057262"/>
    <w:rsid w:val="00057F0A"/>
    <w:rsid w:val="00057F5F"/>
    <w:rsid w:val="0006005D"/>
    <w:rsid w:val="000609A8"/>
    <w:rsid w:val="00060B99"/>
    <w:rsid w:val="00060C62"/>
    <w:rsid w:val="00060E7B"/>
    <w:rsid w:val="00060F64"/>
    <w:rsid w:val="00060F94"/>
    <w:rsid w:val="000611E5"/>
    <w:rsid w:val="00061B3B"/>
    <w:rsid w:val="00061BA1"/>
    <w:rsid w:val="00061C14"/>
    <w:rsid w:val="00061E76"/>
    <w:rsid w:val="0006218A"/>
    <w:rsid w:val="00062625"/>
    <w:rsid w:val="000626C9"/>
    <w:rsid w:val="00062CA7"/>
    <w:rsid w:val="00063ACE"/>
    <w:rsid w:val="00063CA8"/>
    <w:rsid w:val="00064202"/>
    <w:rsid w:val="00064576"/>
    <w:rsid w:val="00065060"/>
    <w:rsid w:val="000652A3"/>
    <w:rsid w:val="00065593"/>
    <w:rsid w:val="000655EA"/>
    <w:rsid w:val="00065944"/>
    <w:rsid w:val="000659AA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479"/>
    <w:rsid w:val="000728BD"/>
    <w:rsid w:val="00072CC3"/>
    <w:rsid w:val="000731CC"/>
    <w:rsid w:val="00073581"/>
    <w:rsid w:val="00073900"/>
    <w:rsid w:val="00073B4C"/>
    <w:rsid w:val="00073DDD"/>
    <w:rsid w:val="00074105"/>
    <w:rsid w:val="00074153"/>
    <w:rsid w:val="00074CCC"/>
    <w:rsid w:val="00075657"/>
    <w:rsid w:val="00075CFF"/>
    <w:rsid w:val="00075D03"/>
    <w:rsid w:val="00075DA8"/>
    <w:rsid w:val="00076812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3CD5"/>
    <w:rsid w:val="00084566"/>
    <w:rsid w:val="00084751"/>
    <w:rsid w:val="00084D92"/>
    <w:rsid w:val="00085256"/>
    <w:rsid w:val="00085864"/>
    <w:rsid w:val="00085C8C"/>
    <w:rsid w:val="00085D6C"/>
    <w:rsid w:val="000865DC"/>
    <w:rsid w:val="000866CA"/>
    <w:rsid w:val="00087727"/>
    <w:rsid w:val="00087A44"/>
    <w:rsid w:val="0009019F"/>
    <w:rsid w:val="000902C7"/>
    <w:rsid w:val="000906AF"/>
    <w:rsid w:val="00090870"/>
    <w:rsid w:val="00090A06"/>
    <w:rsid w:val="00090ACC"/>
    <w:rsid w:val="00090CC8"/>
    <w:rsid w:val="00090E59"/>
    <w:rsid w:val="000912E9"/>
    <w:rsid w:val="0009156C"/>
    <w:rsid w:val="00091761"/>
    <w:rsid w:val="000926B9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D59"/>
    <w:rsid w:val="00096D6D"/>
    <w:rsid w:val="00097181"/>
    <w:rsid w:val="0009742E"/>
    <w:rsid w:val="00097A95"/>
    <w:rsid w:val="000A06EA"/>
    <w:rsid w:val="000A12B5"/>
    <w:rsid w:val="000A14BA"/>
    <w:rsid w:val="000A1B09"/>
    <w:rsid w:val="000A1E6F"/>
    <w:rsid w:val="000A25CB"/>
    <w:rsid w:val="000A27AF"/>
    <w:rsid w:val="000A2AB3"/>
    <w:rsid w:val="000A2F1A"/>
    <w:rsid w:val="000A3A28"/>
    <w:rsid w:val="000A3CB6"/>
    <w:rsid w:val="000A407A"/>
    <w:rsid w:val="000A49A2"/>
    <w:rsid w:val="000A4A99"/>
    <w:rsid w:val="000A56E6"/>
    <w:rsid w:val="000A6019"/>
    <w:rsid w:val="000A613D"/>
    <w:rsid w:val="000A63C8"/>
    <w:rsid w:val="000A6A74"/>
    <w:rsid w:val="000A6A93"/>
    <w:rsid w:val="000A7E86"/>
    <w:rsid w:val="000B05A2"/>
    <w:rsid w:val="000B05E5"/>
    <w:rsid w:val="000B0D53"/>
    <w:rsid w:val="000B0E54"/>
    <w:rsid w:val="000B2248"/>
    <w:rsid w:val="000B330F"/>
    <w:rsid w:val="000B3DC7"/>
    <w:rsid w:val="000B40EE"/>
    <w:rsid w:val="000B459B"/>
    <w:rsid w:val="000B4FA4"/>
    <w:rsid w:val="000B5ACB"/>
    <w:rsid w:val="000B66AB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2E04"/>
    <w:rsid w:val="000C32FA"/>
    <w:rsid w:val="000C3E47"/>
    <w:rsid w:val="000C4205"/>
    <w:rsid w:val="000C42C0"/>
    <w:rsid w:val="000C47F1"/>
    <w:rsid w:val="000C5060"/>
    <w:rsid w:val="000C50E4"/>
    <w:rsid w:val="000C56EA"/>
    <w:rsid w:val="000C5B47"/>
    <w:rsid w:val="000C5E65"/>
    <w:rsid w:val="000C6540"/>
    <w:rsid w:val="000C6CC5"/>
    <w:rsid w:val="000C7056"/>
    <w:rsid w:val="000C7813"/>
    <w:rsid w:val="000C7A28"/>
    <w:rsid w:val="000D0EAA"/>
    <w:rsid w:val="000D0F87"/>
    <w:rsid w:val="000D0FF3"/>
    <w:rsid w:val="000D1B8D"/>
    <w:rsid w:val="000D1C87"/>
    <w:rsid w:val="000D1E8D"/>
    <w:rsid w:val="000D20DA"/>
    <w:rsid w:val="000D22F8"/>
    <w:rsid w:val="000D3295"/>
    <w:rsid w:val="000D33BB"/>
    <w:rsid w:val="000D3533"/>
    <w:rsid w:val="000D3A87"/>
    <w:rsid w:val="000D3CBD"/>
    <w:rsid w:val="000D4AC2"/>
    <w:rsid w:val="000D4DBD"/>
    <w:rsid w:val="000D50FC"/>
    <w:rsid w:val="000D52C8"/>
    <w:rsid w:val="000D5710"/>
    <w:rsid w:val="000D59DA"/>
    <w:rsid w:val="000D62F2"/>
    <w:rsid w:val="000D65C7"/>
    <w:rsid w:val="000D6947"/>
    <w:rsid w:val="000D722B"/>
    <w:rsid w:val="000D7584"/>
    <w:rsid w:val="000D7F00"/>
    <w:rsid w:val="000E0302"/>
    <w:rsid w:val="000E040D"/>
    <w:rsid w:val="000E0616"/>
    <w:rsid w:val="000E0887"/>
    <w:rsid w:val="000E0B6F"/>
    <w:rsid w:val="000E0F7D"/>
    <w:rsid w:val="000E128D"/>
    <w:rsid w:val="000E21C4"/>
    <w:rsid w:val="000E2F74"/>
    <w:rsid w:val="000E379E"/>
    <w:rsid w:val="000E37C4"/>
    <w:rsid w:val="000E3F6D"/>
    <w:rsid w:val="000E3F90"/>
    <w:rsid w:val="000E4817"/>
    <w:rsid w:val="000E4968"/>
    <w:rsid w:val="000E4B9C"/>
    <w:rsid w:val="000E622D"/>
    <w:rsid w:val="000E653F"/>
    <w:rsid w:val="000E6854"/>
    <w:rsid w:val="000E68D8"/>
    <w:rsid w:val="000E6D9D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19E"/>
    <w:rsid w:val="000F6CA7"/>
    <w:rsid w:val="000F70CC"/>
    <w:rsid w:val="000F765B"/>
    <w:rsid w:val="000F7AF5"/>
    <w:rsid w:val="000F7BC4"/>
    <w:rsid w:val="000F7C8C"/>
    <w:rsid w:val="000F7FF7"/>
    <w:rsid w:val="0010085A"/>
    <w:rsid w:val="00100E72"/>
    <w:rsid w:val="001013F7"/>
    <w:rsid w:val="0010151E"/>
    <w:rsid w:val="0010175A"/>
    <w:rsid w:val="00101F94"/>
    <w:rsid w:val="0010209B"/>
    <w:rsid w:val="00102312"/>
    <w:rsid w:val="0010271E"/>
    <w:rsid w:val="00102B9A"/>
    <w:rsid w:val="00102F36"/>
    <w:rsid w:val="0010300B"/>
    <w:rsid w:val="00103226"/>
    <w:rsid w:val="001032D2"/>
    <w:rsid w:val="001034E6"/>
    <w:rsid w:val="001038AC"/>
    <w:rsid w:val="0010403C"/>
    <w:rsid w:val="00104646"/>
    <w:rsid w:val="001056C4"/>
    <w:rsid w:val="00105EAF"/>
    <w:rsid w:val="00106063"/>
    <w:rsid w:val="0010627C"/>
    <w:rsid w:val="0010641F"/>
    <w:rsid w:val="00106916"/>
    <w:rsid w:val="0011032C"/>
    <w:rsid w:val="00110EAF"/>
    <w:rsid w:val="00110EB9"/>
    <w:rsid w:val="0011145D"/>
    <w:rsid w:val="00111D25"/>
    <w:rsid w:val="00111E7D"/>
    <w:rsid w:val="00112016"/>
    <w:rsid w:val="001123FA"/>
    <w:rsid w:val="0011294C"/>
    <w:rsid w:val="00112AD5"/>
    <w:rsid w:val="00112DE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20502"/>
    <w:rsid w:val="00120547"/>
    <w:rsid w:val="00120D49"/>
    <w:rsid w:val="001221E1"/>
    <w:rsid w:val="001234DA"/>
    <w:rsid w:val="0012353A"/>
    <w:rsid w:val="00123C18"/>
    <w:rsid w:val="00123F94"/>
    <w:rsid w:val="001244D7"/>
    <w:rsid w:val="0012646E"/>
    <w:rsid w:val="0012696B"/>
    <w:rsid w:val="00127A12"/>
    <w:rsid w:val="00130ACC"/>
    <w:rsid w:val="0013146D"/>
    <w:rsid w:val="001315F5"/>
    <w:rsid w:val="0013172B"/>
    <w:rsid w:val="0013231B"/>
    <w:rsid w:val="001329CA"/>
    <w:rsid w:val="00132B7D"/>
    <w:rsid w:val="001330EC"/>
    <w:rsid w:val="00134945"/>
    <w:rsid w:val="00134E3D"/>
    <w:rsid w:val="00134FCB"/>
    <w:rsid w:val="001354EA"/>
    <w:rsid w:val="001358AB"/>
    <w:rsid w:val="00135C1B"/>
    <w:rsid w:val="00135D1D"/>
    <w:rsid w:val="001363B8"/>
    <w:rsid w:val="001365E2"/>
    <w:rsid w:val="001367DD"/>
    <w:rsid w:val="00137A06"/>
    <w:rsid w:val="00137EAE"/>
    <w:rsid w:val="001405EB"/>
    <w:rsid w:val="001408CE"/>
    <w:rsid w:val="0014114C"/>
    <w:rsid w:val="001413EF"/>
    <w:rsid w:val="001419C1"/>
    <w:rsid w:val="00142BA9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63F6"/>
    <w:rsid w:val="00146DAA"/>
    <w:rsid w:val="00150474"/>
    <w:rsid w:val="0015049E"/>
    <w:rsid w:val="00151254"/>
    <w:rsid w:val="00151EE8"/>
    <w:rsid w:val="00152050"/>
    <w:rsid w:val="001520CE"/>
    <w:rsid w:val="00152E41"/>
    <w:rsid w:val="00153E0B"/>
    <w:rsid w:val="00153E60"/>
    <w:rsid w:val="0015455E"/>
    <w:rsid w:val="001547F4"/>
    <w:rsid w:val="00154EF0"/>
    <w:rsid w:val="00155046"/>
    <w:rsid w:val="0015519E"/>
    <w:rsid w:val="00155CEF"/>
    <w:rsid w:val="001579F2"/>
    <w:rsid w:val="00157C89"/>
    <w:rsid w:val="00157EE0"/>
    <w:rsid w:val="0016051B"/>
    <w:rsid w:val="00161C3A"/>
    <w:rsid w:val="00162676"/>
    <w:rsid w:val="00163DEB"/>
    <w:rsid w:val="001642E8"/>
    <w:rsid w:val="00164A8F"/>
    <w:rsid w:val="00164CA0"/>
    <w:rsid w:val="0016581D"/>
    <w:rsid w:val="001665D6"/>
    <w:rsid w:val="00167109"/>
    <w:rsid w:val="0016716A"/>
    <w:rsid w:val="00167218"/>
    <w:rsid w:val="00167756"/>
    <w:rsid w:val="00167C72"/>
    <w:rsid w:val="00167E1C"/>
    <w:rsid w:val="001706FD"/>
    <w:rsid w:val="00170875"/>
    <w:rsid w:val="00171387"/>
    <w:rsid w:val="001720FA"/>
    <w:rsid w:val="0017325D"/>
    <w:rsid w:val="00173A92"/>
    <w:rsid w:val="00173E82"/>
    <w:rsid w:val="0017425F"/>
    <w:rsid w:val="001743B0"/>
    <w:rsid w:val="00174447"/>
    <w:rsid w:val="00174D9F"/>
    <w:rsid w:val="00174F4F"/>
    <w:rsid w:val="00174FF6"/>
    <w:rsid w:val="00175257"/>
    <w:rsid w:val="00176CED"/>
    <w:rsid w:val="00176D63"/>
    <w:rsid w:val="001779AC"/>
    <w:rsid w:val="0018000A"/>
    <w:rsid w:val="001806DD"/>
    <w:rsid w:val="00180AF0"/>
    <w:rsid w:val="0018100D"/>
    <w:rsid w:val="001811DE"/>
    <w:rsid w:val="00181287"/>
    <w:rsid w:val="001812FA"/>
    <w:rsid w:val="001822C1"/>
    <w:rsid w:val="001826B5"/>
    <w:rsid w:val="0018281A"/>
    <w:rsid w:val="00182B34"/>
    <w:rsid w:val="00183797"/>
    <w:rsid w:val="00183D61"/>
    <w:rsid w:val="00184980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B44"/>
    <w:rsid w:val="001904E2"/>
    <w:rsid w:val="00190685"/>
    <w:rsid w:val="0019069F"/>
    <w:rsid w:val="0019088C"/>
    <w:rsid w:val="001911DB"/>
    <w:rsid w:val="001918A0"/>
    <w:rsid w:val="001919E5"/>
    <w:rsid w:val="00191D86"/>
    <w:rsid w:val="00192017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50F6"/>
    <w:rsid w:val="0019554B"/>
    <w:rsid w:val="001955AE"/>
    <w:rsid w:val="001958D3"/>
    <w:rsid w:val="00195A7D"/>
    <w:rsid w:val="00195CDE"/>
    <w:rsid w:val="001962AE"/>
    <w:rsid w:val="001963C3"/>
    <w:rsid w:val="00196687"/>
    <w:rsid w:val="0019709F"/>
    <w:rsid w:val="001973CA"/>
    <w:rsid w:val="00197609"/>
    <w:rsid w:val="001A0317"/>
    <w:rsid w:val="001A04BC"/>
    <w:rsid w:val="001A2741"/>
    <w:rsid w:val="001A2FB9"/>
    <w:rsid w:val="001A3480"/>
    <w:rsid w:val="001A3821"/>
    <w:rsid w:val="001A4676"/>
    <w:rsid w:val="001A48AB"/>
    <w:rsid w:val="001A542D"/>
    <w:rsid w:val="001A5C1E"/>
    <w:rsid w:val="001A6252"/>
    <w:rsid w:val="001A69B0"/>
    <w:rsid w:val="001A7028"/>
    <w:rsid w:val="001A710B"/>
    <w:rsid w:val="001A738D"/>
    <w:rsid w:val="001A77BF"/>
    <w:rsid w:val="001A7D83"/>
    <w:rsid w:val="001A7F97"/>
    <w:rsid w:val="001B03A4"/>
    <w:rsid w:val="001B113C"/>
    <w:rsid w:val="001B1143"/>
    <w:rsid w:val="001B12C8"/>
    <w:rsid w:val="001B1534"/>
    <w:rsid w:val="001B1A9A"/>
    <w:rsid w:val="001B1FE9"/>
    <w:rsid w:val="001B27EA"/>
    <w:rsid w:val="001B2844"/>
    <w:rsid w:val="001B341E"/>
    <w:rsid w:val="001B3D20"/>
    <w:rsid w:val="001B423F"/>
    <w:rsid w:val="001B44B6"/>
    <w:rsid w:val="001B4858"/>
    <w:rsid w:val="001B4DC8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E6F"/>
    <w:rsid w:val="001B71F4"/>
    <w:rsid w:val="001B788B"/>
    <w:rsid w:val="001B7BBD"/>
    <w:rsid w:val="001B7D1E"/>
    <w:rsid w:val="001C00B0"/>
    <w:rsid w:val="001C07FD"/>
    <w:rsid w:val="001C0EB6"/>
    <w:rsid w:val="001C1092"/>
    <w:rsid w:val="001C168F"/>
    <w:rsid w:val="001C1C37"/>
    <w:rsid w:val="001C2AAA"/>
    <w:rsid w:val="001C2C48"/>
    <w:rsid w:val="001C34B1"/>
    <w:rsid w:val="001C3687"/>
    <w:rsid w:val="001C3963"/>
    <w:rsid w:val="001C4EEB"/>
    <w:rsid w:val="001C54FC"/>
    <w:rsid w:val="001C5928"/>
    <w:rsid w:val="001C593C"/>
    <w:rsid w:val="001C59E6"/>
    <w:rsid w:val="001C5F60"/>
    <w:rsid w:val="001C6788"/>
    <w:rsid w:val="001C6866"/>
    <w:rsid w:val="001C6DBC"/>
    <w:rsid w:val="001C6E2B"/>
    <w:rsid w:val="001C7044"/>
    <w:rsid w:val="001C7D87"/>
    <w:rsid w:val="001C7D92"/>
    <w:rsid w:val="001C7F6E"/>
    <w:rsid w:val="001D0942"/>
    <w:rsid w:val="001D0B1F"/>
    <w:rsid w:val="001D1751"/>
    <w:rsid w:val="001D1863"/>
    <w:rsid w:val="001D1AA3"/>
    <w:rsid w:val="001D1EFF"/>
    <w:rsid w:val="001D2080"/>
    <w:rsid w:val="001D24CE"/>
    <w:rsid w:val="001D36C1"/>
    <w:rsid w:val="001D38B4"/>
    <w:rsid w:val="001D4F81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EC0"/>
    <w:rsid w:val="001E34D1"/>
    <w:rsid w:val="001E3562"/>
    <w:rsid w:val="001E3811"/>
    <w:rsid w:val="001E3891"/>
    <w:rsid w:val="001E3BD1"/>
    <w:rsid w:val="001E4341"/>
    <w:rsid w:val="001E45A5"/>
    <w:rsid w:val="001E4A4A"/>
    <w:rsid w:val="001E4AF1"/>
    <w:rsid w:val="001E4EA8"/>
    <w:rsid w:val="001E5A5A"/>
    <w:rsid w:val="001E5DE2"/>
    <w:rsid w:val="001E6827"/>
    <w:rsid w:val="001E693A"/>
    <w:rsid w:val="001E6C3F"/>
    <w:rsid w:val="001E756C"/>
    <w:rsid w:val="001E7928"/>
    <w:rsid w:val="001E7AA4"/>
    <w:rsid w:val="001E7AC8"/>
    <w:rsid w:val="001F045A"/>
    <w:rsid w:val="001F05A0"/>
    <w:rsid w:val="001F08B0"/>
    <w:rsid w:val="001F1471"/>
    <w:rsid w:val="001F162C"/>
    <w:rsid w:val="001F1907"/>
    <w:rsid w:val="001F1B03"/>
    <w:rsid w:val="001F1CB8"/>
    <w:rsid w:val="001F2013"/>
    <w:rsid w:val="001F2258"/>
    <w:rsid w:val="001F24C4"/>
    <w:rsid w:val="001F390C"/>
    <w:rsid w:val="001F406A"/>
    <w:rsid w:val="001F473C"/>
    <w:rsid w:val="001F4B9D"/>
    <w:rsid w:val="001F4C4E"/>
    <w:rsid w:val="001F4E54"/>
    <w:rsid w:val="001F4F50"/>
    <w:rsid w:val="001F55A8"/>
    <w:rsid w:val="001F602E"/>
    <w:rsid w:val="001F64CF"/>
    <w:rsid w:val="001F64E8"/>
    <w:rsid w:val="001F6A15"/>
    <w:rsid w:val="001F6F48"/>
    <w:rsid w:val="001F71BE"/>
    <w:rsid w:val="001F7261"/>
    <w:rsid w:val="001F7D7C"/>
    <w:rsid w:val="00200CA0"/>
    <w:rsid w:val="00200FB9"/>
    <w:rsid w:val="002011EB"/>
    <w:rsid w:val="0020221B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C23"/>
    <w:rsid w:val="00203D7F"/>
    <w:rsid w:val="002040CC"/>
    <w:rsid w:val="00205231"/>
    <w:rsid w:val="002053E1"/>
    <w:rsid w:val="0020568E"/>
    <w:rsid w:val="002057E0"/>
    <w:rsid w:val="00205BFA"/>
    <w:rsid w:val="00205C4A"/>
    <w:rsid w:val="00206762"/>
    <w:rsid w:val="002073D6"/>
    <w:rsid w:val="00207C5F"/>
    <w:rsid w:val="00207CDC"/>
    <w:rsid w:val="00207D43"/>
    <w:rsid w:val="002114FB"/>
    <w:rsid w:val="00211551"/>
    <w:rsid w:val="00211B1F"/>
    <w:rsid w:val="00211DB2"/>
    <w:rsid w:val="00212154"/>
    <w:rsid w:val="00212E24"/>
    <w:rsid w:val="00213ACB"/>
    <w:rsid w:val="00213BFC"/>
    <w:rsid w:val="00213C16"/>
    <w:rsid w:val="00214EB8"/>
    <w:rsid w:val="00215289"/>
    <w:rsid w:val="00215304"/>
    <w:rsid w:val="00215B27"/>
    <w:rsid w:val="00215F6A"/>
    <w:rsid w:val="0021698A"/>
    <w:rsid w:val="00216A29"/>
    <w:rsid w:val="0021704E"/>
    <w:rsid w:val="00217558"/>
    <w:rsid w:val="00217C24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4185"/>
    <w:rsid w:val="0022418D"/>
    <w:rsid w:val="002253F4"/>
    <w:rsid w:val="002254DA"/>
    <w:rsid w:val="002254E2"/>
    <w:rsid w:val="0022572A"/>
    <w:rsid w:val="0022622E"/>
    <w:rsid w:val="002269FB"/>
    <w:rsid w:val="00227460"/>
    <w:rsid w:val="002275EE"/>
    <w:rsid w:val="00230229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E3D"/>
    <w:rsid w:val="002350C5"/>
    <w:rsid w:val="00235B35"/>
    <w:rsid w:val="00235D49"/>
    <w:rsid w:val="00235E3F"/>
    <w:rsid w:val="002371F3"/>
    <w:rsid w:val="00240AD3"/>
    <w:rsid w:val="00240D13"/>
    <w:rsid w:val="00240D1F"/>
    <w:rsid w:val="002411D3"/>
    <w:rsid w:val="0024129C"/>
    <w:rsid w:val="00241965"/>
    <w:rsid w:val="00241F22"/>
    <w:rsid w:val="00242068"/>
    <w:rsid w:val="00242160"/>
    <w:rsid w:val="002424FD"/>
    <w:rsid w:val="002429C2"/>
    <w:rsid w:val="00242AC2"/>
    <w:rsid w:val="00242CCF"/>
    <w:rsid w:val="00242E7A"/>
    <w:rsid w:val="0024309D"/>
    <w:rsid w:val="00243394"/>
    <w:rsid w:val="00243421"/>
    <w:rsid w:val="00243759"/>
    <w:rsid w:val="00244378"/>
    <w:rsid w:val="0024439B"/>
    <w:rsid w:val="0024472A"/>
    <w:rsid w:val="0024493C"/>
    <w:rsid w:val="00244A78"/>
    <w:rsid w:val="00244A81"/>
    <w:rsid w:val="002451FA"/>
    <w:rsid w:val="00245639"/>
    <w:rsid w:val="00245778"/>
    <w:rsid w:val="002458F4"/>
    <w:rsid w:val="00245914"/>
    <w:rsid w:val="00245D8A"/>
    <w:rsid w:val="00245EAF"/>
    <w:rsid w:val="002465E4"/>
    <w:rsid w:val="00250B96"/>
    <w:rsid w:val="00250F9F"/>
    <w:rsid w:val="00251041"/>
    <w:rsid w:val="00251128"/>
    <w:rsid w:val="002516E5"/>
    <w:rsid w:val="00251C64"/>
    <w:rsid w:val="00251E94"/>
    <w:rsid w:val="00252095"/>
    <w:rsid w:val="002521CE"/>
    <w:rsid w:val="00252367"/>
    <w:rsid w:val="00252985"/>
    <w:rsid w:val="00253531"/>
    <w:rsid w:val="00253AF9"/>
    <w:rsid w:val="00253B64"/>
    <w:rsid w:val="002550EC"/>
    <w:rsid w:val="0025563F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6011C"/>
    <w:rsid w:val="002603D2"/>
    <w:rsid w:val="00260BAB"/>
    <w:rsid w:val="00260D3B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AA4"/>
    <w:rsid w:val="00263CAA"/>
    <w:rsid w:val="00263E2D"/>
    <w:rsid w:val="00264592"/>
    <w:rsid w:val="002645B6"/>
    <w:rsid w:val="002650F8"/>
    <w:rsid w:val="00265EB5"/>
    <w:rsid w:val="00266010"/>
    <w:rsid w:val="002662C0"/>
    <w:rsid w:val="002663E0"/>
    <w:rsid w:val="002667A4"/>
    <w:rsid w:val="002669C3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780"/>
    <w:rsid w:val="00274AAF"/>
    <w:rsid w:val="00275D52"/>
    <w:rsid w:val="00276175"/>
    <w:rsid w:val="00276862"/>
    <w:rsid w:val="002772D3"/>
    <w:rsid w:val="0027757F"/>
    <w:rsid w:val="00277D8A"/>
    <w:rsid w:val="00280297"/>
    <w:rsid w:val="00280DE2"/>
    <w:rsid w:val="00280F8F"/>
    <w:rsid w:val="00281101"/>
    <w:rsid w:val="0028124B"/>
    <w:rsid w:val="0028193B"/>
    <w:rsid w:val="0028231D"/>
    <w:rsid w:val="00282940"/>
    <w:rsid w:val="002830FF"/>
    <w:rsid w:val="002838C1"/>
    <w:rsid w:val="002853A6"/>
    <w:rsid w:val="002855A0"/>
    <w:rsid w:val="00285AF6"/>
    <w:rsid w:val="00286840"/>
    <w:rsid w:val="00286AE0"/>
    <w:rsid w:val="002871BE"/>
    <w:rsid w:val="0029021D"/>
    <w:rsid w:val="0029054F"/>
    <w:rsid w:val="00290812"/>
    <w:rsid w:val="002908FC"/>
    <w:rsid w:val="00291221"/>
    <w:rsid w:val="00291773"/>
    <w:rsid w:val="00291C03"/>
    <w:rsid w:val="00292016"/>
    <w:rsid w:val="002927F0"/>
    <w:rsid w:val="0029281B"/>
    <w:rsid w:val="00292D2D"/>
    <w:rsid w:val="0029309E"/>
    <w:rsid w:val="0029339E"/>
    <w:rsid w:val="0029355A"/>
    <w:rsid w:val="00293E9B"/>
    <w:rsid w:val="00293EDF"/>
    <w:rsid w:val="00294067"/>
    <w:rsid w:val="00294269"/>
    <w:rsid w:val="002945F2"/>
    <w:rsid w:val="002949CD"/>
    <w:rsid w:val="00294ACD"/>
    <w:rsid w:val="00295DE5"/>
    <w:rsid w:val="00296323"/>
    <w:rsid w:val="0029641A"/>
    <w:rsid w:val="002965BB"/>
    <w:rsid w:val="00296896"/>
    <w:rsid w:val="00296949"/>
    <w:rsid w:val="00296C2E"/>
    <w:rsid w:val="00296CEF"/>
    <w:rsid w:val="00296FD5"/>
    <w:rsid w:val="002970DE"/>
    <w:rsid w:val="002971EB"/>
    <w:rsid w:val="002A0200"/>
    <w:rsid w:val="002A0511"/>
    <w:rsid w:val="002A0826"/>
    <w:rsid w:val="002A09D7"/>
    <w:rsid w:val="002A0BF4"/>
    <w:rsid w:val="002A0E3B"/>
    <w:rsid w:val="002A1754"/>
    <w:rsid w:val="002A19C6"/>
    <w:rsid w:val="002A1B04"/>
    <w:rsid w:val="002A1B89"/>
    <w:rsid w:val="002A295E"/>
    <w:rsid w:val="002A3328"/>
    <w:rsid w:val="002A38BC"/>
    <w:rsid w:val="002A38CA"/>
    <w:rsid w:val="002A3990"/>
    <w:rsid w:val="002A3A6A"/>
    <w:rsid w:val="002A4458"/>
    <w:rsid w:val="002A4E8F"/>
    <w:rsid w:val="002A4F33"/>
    <w:rsid w:val="002A58B2"/>
    <w:rsid w:val="002A5D54"/>
    <w:rsid w:val="002A6141"/>
    <w:rsid w:val="002A6271"/>
    <w:rsid w:val="002A72FB"/>
    <w:rsid w:val="002A7398"/>
    <w:rsid w:val="002A789E"/>
    <w:rsid w:val="002B00A1"/>
    <w:rsid w:val="002B067C"/>
    <w:rsid w:val="002B08FE"/>
    <w:rsid w:val="002B0A75"/>
    <w:rsid w:val="002B1339"/>
    <w:rsid w:val="002B17E2"/>
    <w:rsid w:val="002B1A14"/>
    <w:rsid w:val="002B292A"/>
    <w:rsid w:val="002B2C3F"/>
    <w:rsid w:val="002B35D3"/>
    <w:rsid w:val="002B3BBB"/>
    <w:rsid w:val="002B4FC5"/>
    <w:rsid w:val="002B5235"/>
    <w:rsid w:val="002B55C8"/>
    <w:rsid w:val="002B5A60"/>
    <w:rsid w:val="002B610A"/>
    <w:rsid w:val="002B628B"/>
    <w:rsid w:val="002B62EC"/>
    <w:rsid w:val="002B6777"/>
    <w:rsid w:val="002B6EFF"/>
    <w:rsid w:val="002B7214"/>
    <w:rsid w:val="002B7454"/>
    <w:rsid w:val="002C00B3"/>
    <w:rsid w:val="002C0CFA"/>
    <w:rsid w:val="002C1EAE"/>
    <w:rsid w:val="002C204C"/>
    <w:rsid w:val="002C25FB"/>
    <w:rsid w:val="002C2763"/>
    <w:rsid w:val="002C3099"/>
    <w:rsid w:val="002C3966"/>
    <w:rsid w:val="002C464F"/>
    <w:rsid w:val="002C472D"/>
    <w:rsid w:val="002C491F"/>
    <w:rsid w:val="002C579A"/>
    <w:rsid w:val="002C6234"/>
    <w:rsid w:val="002C63A9"/>
    <w:rsid w:val="002C652D"/>
    <w:rsid w:val="002C6B0A"/>
    <w:rsid w:val="002D0375"/>
    <w:rsid w:val="002D05B2"/>
    <w:rsid w:val="002D36F8"/>
    <w:rsid w:val="002D400F"/>
    <w:rsid w:val="002D4B2E"/>
    <w:rsid w:val="002D4CDB"/>
    <w:rsid w:val="002D4F15"/>
    <w:rsid w:val="002D5152"/>
    <w:rsid w:val="002D5C35"/>
    <w:rsid w:val="002D6CC5"/>
    <w:rsid w:val="002D6F3D"/>
    <w:rsid w:val="002D70D0"/>
    <w:rsid w:val="002D7E6B"/>
    <w:rsid w:val="002E0821"/>
    <w:rsid w:val="002E0BD2"/>
    <w:rsid w:val="002E0D43"/>
    <w:rsid w:val="002E0FD6"/>
    <w:rsid w:val="002E1B55"/>
    <w:rsid w:val="002E2607"/>
    <w:rsid w:val="002E2A51"/>
    <w:rsid w:val="002E3923"/>
    <w:rsid w:val="002E3941"/>
    <w:rsid w:val="002E43D1"/>
    <w:rsid w:val="002E4B5E"/>
    <w:rsid w:val="002E4F99"/>
    <w:rsid w:val="002E4F9F"/>
    <w:rsid w:val="002E4FBA"/>
    <w:rsid w:val="002E59A8"/>
    <w:rsid w:val="002E6111"/>
    <w:rsid w:val="002E689F"/>
    <w:rsid w:val="002E69D9"/>
    <w:rsid w:val="002E6EA6"/>
    <w:rsid w:val="002E7261"/>
    <w:rsid w:val="002E73B2"/>
    <w:rsid w:val="002E7976"/>
    <w:rsid w:val="002F03D2"/>
    <w:rsid w:val="002F0A52"/>
    <w:rsid w:val="002F0EB9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30FD"/>
    <w:rsid w:val="002F3377"/>
    <w:rsid w:val="002F38D4"/>
    <w:rsid w:val="002F4304"/>
    <w:rsid w:val="002F4CAD"/>
    <w:rsid w:val="002F50EE"/>
    <w:rsid w:val="002F52A9"/>
    <w:rsid w:val="002F5513"/>
    <w:rsid w:val="002F5584"/>
    <w:rsid w:val="002F5855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31"/>
    <w:rsid w:val="002F7EBC"/>
    <w:rsid w:val="00301E56"/>
    <w:rsid w:val="0030209C"/>
    <w:rsid w:val="00302A8D"/>
    <w:rsid w:val="00302F28"/>
    <w:rsid w:val="0030414C"/>
    <w:rsid w:val="00304FAD"/>
    <w:rsid w:val="00305602"/>
    <w:rsid w:val="0030582D"/>
    <w:rsid w:val="00305E17"/>
    <w:rsid w:val="003065C8"/>
    <w:rsid w:val="0030696B"/>
    <w:rsid w:val="00307251"/>
    <w:rsid w:val="003072D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1DCA"/>
    <w:rsid w:val="003129C1"/>
    <w:rsid w:val="00312B6E"/>
    <w:rsid w:val="00312BC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69D0"/>
    <w:rsid w:val="00316D61"/>
    <w:rsid w:val="0031702F"/>
    <w:rsid w:val="003176E7"/>
    <w:rsid w:val="00317BA4"/>
    <w:rsid w:val="003202D0"/>
    <w:rsid w:val="00320C38"/>
    <w:rsid w:val="00320DF3"/>
    <w:rsid w:val="00320F74"/>
    <w:rsid w:val="00321475"/>
    <w:rsid w:val="003219D7"/>
    <w:rsid w:val="003224AB"/>
    <w:rsid w:val="00322CA6"/>
    <w:rsid w:val="00324163"/>
    <w:rsid w:val="0032442C"/>
    <w:rsid w:val="0032499B"/>
    <w:rsid w:val="00324FC8"/>
    <w:rsid w:val="00325280"/>
    <w:rsid w:val="00325399"/>
    <w:rsid w:val="003254E5"/>
    <w:rsid w:val="00325658"/>
    <w:rsid w:val="0032613C"/>
    <w:rsid w:val="00326393"/>
    <w:rsid w:val="00326451"/>
    <w:rsid w:val="003267EC"/>
    <w:rsid w:val="00326E68"/>
    <w:rsid w:val="00326E6B"/>
    <w:rsid w:val="0032725A"/>
    <w:rsid w:val="00327508"/>
    <w:rsid w:val="00327676"/>
    <w:rsid w:val="00327777"/>
    <w:rsid w:val="00327F39"/>
    <w:rsid w:val="00331508"/>
    <w:rsid w:val="00331539"/>
    <w:rsid w:val="00331714"/>
    <w:rsid w:val="00331BF6"/>
    <w:rsid w:val="0033228C"/>
    <w:rsid w:val="0033272F"/>
    <w:rsid w:val="00332C10"/>
    <w:rsid w:val="00333081"/>
    <w:rsid w:val="003338D3"/>
    <w:rsid w:val="003339E3"/>
    <w:rsid w:val="00333EE0"/>
    <w:rsid w:val="00333FDE"/>
    <w:rsid w:val="0033430A"/>
    <w:rsid w:val="0033432A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F33"/>
    <w:rsid w:val="00340330"/>
    <w:rsid w:val="00340BE6"/>
    <w:rsid w:val="00340EBF"/>
    <w:rsid w:val="00341B45"/>
    <w:rsid w:val="00342BB5"/>
    <w:rsid w:val="0034372C"/>
    <w:rsid w:val="0034386D"/>
    <w:rsid w:val="00343D6A"/>
    <w:rsid w:val="0034424D"/>
    <w:rsid w:val="00344618"/>
    <w:rsid w:val="00344624"/>
    <w:rsid w:val="00344D64"/>
    <w:rsid w:val="003462C5"/>
    <w:rsid w:val="0034712B"/>
    <w:rsid w:val="003471DD"/>
    <w:rsid w:val="003476B2"/>
    <w:rsid w:val="003477EC"/>
    <w:rsid w:val="00347A91"/>
    <w:rsid w:val="00350F94"/>
    <w:rsid w:val="003518CD"/>
    <w:rsid w:val="003518FF"/>
    <w:rsid w:val="00351AD8"/>
    <w:rsid w:val="00351CE1"/>
    <w:rsid w:val="0035253D"/>
    <w:rsid w:val="00353378"/>
    <w:rsid w:val="0035337A"/>
    <w:rsid w:val="003533B2"/>
    <w:rsid w:val="0035355C"/>
    <w:rsid w:val="00353821"/>
    <w:rsid w:val="00353AB1"/>
    <w:rsid w:val="0035436E"/>
    <w:rsid w:val="00354B4C"/>
    <w:rsid w:val="00354C60"/>
    <w:rsid w:val="00355F00"/>
    <w:rsid w:val="0035608E"/>
    <w:rsid w:val="0035627A"/>
    <w:rsid w:val="00356491"/>
    <w:rsid w:val="0035692A"/>
    <w:rsid w:val="00357B0D"/>
    <w:rsid w:val="00360610"/>
    <w:rsid w:val="00361041"/>
    <w:rsid w:val="00361BF0"/>
    <w:rsid w:val="00361C1F"/>
    <w:rsid w:val="00362142"/>
    <w:rsid w:val="003624DA"/>
    <w:rsid w:val="00362979"/>
    <w:rsid w:val="003629E7"/>
    <w:rsid w:val="003635A2"/>
    <w:rsid w:val="003635B1"/>
    <w:rsid w:val="00363890"/>
    <w:rsid w:val="00363909"/>
    <w:rsid w:val="00363E66"/>
    <w:rsid w:val="00364E93"/>
    <w:rsid w:val="00364EF8"/>
    <w:rsid w:val="00364EFE"/>
    <w:rsid w:val="00365204"/>
    <w:rsid w:val="00365B3D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70087"/>
    <w:rsid w:val="00370387"/>
    <w:rsid w:val="0037103C"/>
    <w:rsid w:val="00371367"/>
    <w:rsid w:val="003715C7"/>
    <w:rsid w:val="0037185A"/>
    <w:rsid w:val="00372182"/>
    <w:rsid w:val="00372AA8"/>
    <w:rsid w:val="00372FEF"/>
    <w:rsid w:val="00373052"/>
    <w:rsid w:val="0037339B"/>
    <w:rsid w:val="003736A9"/>
    <w:rsid w:val="00373958"/>
    <w:rsid w:val="00373CC9"/>
    <w:rsid w:val="00374577"/>
    <w:rsid w:val="003745EF"/>
    <w:rsid w:val="00374C98"/>
    <w:rsid w:val="00374D29"/>
    <w:rsid w:val="003756DC"/>
    <w:rsid w:val="003764AC"/>
    <w:rsid w:val="0037676A"/>
    <w:rsid w:val="003769B3"/>
    <w:rsid w:val="00376F3E"/>
    <w:rsid w:val="003777E1"/>
    <w:rsid w:val="00377838"/>
    <w:rsid w:val="00380E52"/>
    <w:rsid w:val="0038130F"/>
    <w:rsid w:val="00381334"/>
    <w:rsid w:val="003813CD"/>
    <w:rsid w:val="003827A4"/>
    <w:rsid w:val="00382BB5"/>
    <w:rsid w:val="00382EE7"/>
    <w:rsid w:val="00383544"/>
    <w:rsid w:val="0038370A"/>
    <w:rsid w:val="003838BD"/>
    <w:rsid w:val="00383989"/>
    <w:rsid w:val="00383EA9"/>
    <w:rsid w:val="0038404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D0E"/>
    <w:rsid w:val="00386DBD"/>
    <w:rsid w:val="00386E5C"/>
    <w:rsid w:val="0038735E"/>
    <w:rsid w:val="003875BE"/>
    <w:rsid w:val="00387FC4"/>
    <w:rsid w:val="003914E0"/>
    <w:rsid w:val="0039155E"/>
    <w:rsid w:val="00391688"/>
    <w:rsid w:val="00391BFC"/>
    <w:rsid w:val="00391E21"/>
    <w:rsid w:val="00392758"/>
    <w:rsid w:val="00392E63"/>
    <w:rsid w:val="003936C1"/>
    <w:rsid w:val="0039392D"/>
    <w:rsid w:val="00393DA0"/>
    <w:rsid w:val="00393E98"/>
    <w:rsid w:val="0039403B"/>
    <w:rsid w:val="00394843"/>
    <w:rsid w:val="00394AD7"/>
    <w:rsid w:val="00394E99"/>
    <w:rsid w:val="00395449"/>
    <w:rsid w:val="003957FD"/>
    <w:rsid w:val="00395CBD"/>
    <w:rsid w:val="003961F0"/>
    <w:rsid w:val="003970C9"/>
    <w:rsid w:val="00397485"/>
    <w:rsid w:val="00397577"/>
    <w:rsid w:val="00397838"/>
    <w:rsid w:val="00397955"/>
    <w:rsid w:val="003A0CD6"/>
    <w:rsid w:val="003A1321"/>
    <w:rsid w:val="003A1963"/>
    <w:rsid w:val="003A1BF8"/>
    <w:rsid w:val="003A24B6"/>
    <w:rsid w:val="003A2670"/>
    <w:rsid w:val="003A26C7"/>
    <w:rsid w:val="003A2BF0"/>
    <w:rsid w:val="003A2D16"/>
    <w:rsid w:val="003A2F55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FC2"/>
    <w:rsid w:val="003A6153"/>
    <w:rsid w:val="003A65F9"/>
    <w:rsid w:val="003A6F3B"/>
    <w:rsid w:val="003A7809"/>
    <w:rsid w:val="003A7E96"/>
    <w:rsid w:val="003B03CA"/>
    <w:rsid w:val="003B04B4"/>
    <w:rsid w:val="003B067B"/>
    <w:rsid w:val="003B0828"/>
    <w:rsid w:val="003B089D"/>
    <w:rsid w:val="003B0B53"/>
    <w:rsid w:val="003B13C9"/>
    <w:rsid w:val="003B143C"/>
    <w:rsid w:val="003B2256"/>
    <w:rsid w:val="003B232B"/>
    <w:rsid w:val="003B276A"/>
    <w:rsid w:val="003B2EF8"/>
    <w:rsid w:val="003B2F1E"/>
    <w:rsid w:val="003B3704"/>
    <w:rsid w:val="003B3709"/>
    <w:rsid w:val="003B37F4"/>
    <w:rsid w:val="003B4744"/>
    <w:rsid w:val="003B4865"/>
    <w:rsid w:val="003B59BE"/>
    <w:rsid w:val="003B62F4"/>
    <w:rsid w:val="003B6BC1"/>
    <w:rsid w:val="003B6CFA"/>
    <w:rsid w:val="003B6F87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21DF"/>
    <w:rsid w:val="003C27A5"/>
    <w:rsid w:val="003C2BB9"/>
    <w:rsid w:val="003C3C0E"/>
    <w:rsid w:val="003C3EFD"/>
    <w:rsid w:val="003C424E"/>
    <w:rsid w:val="003C4EFE"/>
    <w:rsid w:val="003C54CE"/>
    <w:rsid w:val="003C54E3"/>
    <w:rsid w:val="003C5AD8"/>
    <w:rsid w:val="003C62DF"/>
    <w:rsid w:val="003C66C7"/>
    <w:rsid w:val="003C6A76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463"/>
    <w:rsid w:val="003D2F0B"/>
    <w:rsid w:val="003D3BBA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B1D"/>
    <w:rsid w:val="003D60BB"/>
    <w:rsid w:val="003D6443"/>
    <w:rsid w:val="003D67A2"/>
    <w:rsid w:val="003D770B"/>
    <w:rsid w:val="003D7746"/>
    <w:rsid w:val="003D7EC3"/>
    <w:rsid w:val="003E05C6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3CEA"/>
    <w:rsid w:val="003E3DCE"/>
    <w:rsid w:val="003E3E8C"/>
    <w:rsid w:val="003E3EB7"/>
    <w:rsid w:val="003E40BB"/>
    <w:rsid w:val="003E41CB"/>
    <w:rsid w:val="003E422C"/>
    <w:rsid w:val="003E459C"/>
    <w:rsid w:val="003E4BC1"/>
    <w:rsid w:val="003E5473"/>
    <w:rsid w:val="003E5836"/>
    <w:rsid w:val="003E76E1"/>
    <w:rsid w:val="003E7A9A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897"/>
    <w:rsid w:val="003F3DAB"/>
    <w:rsid w:val="003F456E"/>
    <w:rsid w:val="003F4636"/>
    <w:rsid w:val="003F4A68"/>
    <w:rsid w:val="003F5551"/>
    <w:rsid w:val="003F5675"/>
    <w:rsid w:val="003F585D"/>
    <w:rsid w:val="003F5A84"/>
    <w:rsid w:val="003F5B32"/>
    <w:rsid w:val="003F5EDE"/>
    <w:rsid w:val="003F5EEE"/>
    <w:rsid w:val="003F61D7"/>
    <w:rsid w:val="003F6485"/>
    <w:rsid w:val="003F775B"/>
    <w:rsid w:val="003F79CC"/>
    <w:rsid w:val="003F7DDB"/>
    <w:rsid w:val="003F7FD9"/>
    <w:rsid w:val="00400257"/>
    <w:rsid w:val="004006FB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33DB"/>
    <w:rsid w:val="00403688"/>
    <w:rsid w:val="004038E7"/>
    <w:rsid w:val="00404F1F"/>
    <w:rsid w:val="00405DED"/>
    <w:rsid w:val="00406629"/>
    <w:rsid w:val="0040665B"/>
    <w:rsid w:val="0040669F"/>
    <w:rsid w:val="00406FC2"/>
    <w:rsid w:val="004078EC"/>
    <w:rsid w:val="00407C2C"/>
    <w:rsid w:val="00407E4B"/>
    <w:rsid w:val="00411192"/>
    <w:rsid w:val="004111CA"/>
    <w:rsid w:val="00411D8C"/>
    <w:rsid w:val="00412E15"/>
    <w:rsid w:val="004133F3"/>
    <w:rsid w:val="004133F6"/>
    <w:rsid w:val="00414539"/>
    <w:rsid w:val="00414E4F"/>
    <w:rsid w:val="00414F1D"/>
    <w:rsid w:val="0041517F"/>
    <w:rsid w:val="0041602B"/>
    <w:rsid w:val="004164F7"/>
    <w:rsid w:val="00416D57"/>
    <w:rsid w:val="00416F16"/>
    <w:rsid w:val="0041721B"/>
    <w:rsid w:val="00417691"/>
    <w:rsid w:val="00417B25"/>
    <w:rsid w:val="00417D3F"/>
    <w:rsid w:val="00421869"/>
    <w:rsid w:val="00421959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87B"/>
    <w:rsid w:val="00424932"/>
    <w:rsid w:val="00425077"/>
    <w:rsid w:val="00425336"/>
    <w:rsid w:val="004257D9"/>
    <w:rsid w:val="00425832"/>
    <w:rsid w:val="0042691A"/>
    <w:rsid w:val="00426BE0"/>
    <w:rsid w:val="00426EF7"/>
    <w:rsid w:val="00427247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0FC"/>
    <w:rsid w:val="004321A7"/>
    <w:rsid w:val="004322E5"/>
    <w:rsid w:val="00432DD2"/>
    <w:rsid w:val="00433149"/>
    <w:rsid w:val="00433388"/>
    <w:rsid w:val="004339C0"/>
    <w:rsid w:val="00434071"/>
    <w:rsid w:val="00434517"/>
    <w:rsid w:val="00434567"/>
    <w:rsid w:val="00434FF3"/>
    <w:rsid w:val="00435275"/>
    <w:rsid w:val="0043551A"/>
    <w:rsid w:val="00435561"/>
    <w:rsid w:val="004358E1"/>
    <w:rsid w:val="0043653E"/>
    <w:rsid w:val="004372BA"/>
    <w:rsid w:val="004374F2"/>
    <w:rsid w:val="0043791E"/>
    <w:rsid w:val="00437C8E"/>
    <w:rsid w:val="00440138"/>
    <w:rsid w:val="00440365"/>
    <w:rsid w:val="00440588"/>
    <w:rsid w:val="00440EE9"/>
    <w:rsid w:val="0044194D"/>
    <w:rsid w:val="00441D1B"/>
    <w:rsid w:val="004422DB"/>
    <w:rsid w:val="00442806"/>
    <w:rsid w:val="0044285D"/>
    <w:rsid w:val="00442DF9"/>
    <w:rsid w:val="004431BC"/>
    <w:rsid w:val="004433D4"/>
    <w:rsid w:val="004434F8"/>
    <w:rsid w:val="00443A3A"/>
    <w:rsid w:val="0044455E"/>
    <w:rsid w:val="00446073"/>
    <w:rsid w:val="00446414"/>
    <w:rsid w:val="00446982"/>
    <w:rsid w:val="00446D16"/>
    <w:rsid w:val="00447167"/>
    <w:rsid w:val="00447211"/>
    <w:rsid w:val="004472C4"/>
    <w:rsid w:val="0044732E"/>
    <w:rsid w:val="004475D1"/>
    <w:rsid w:val="00447D3D"/>
    <w:rsid w:val="00450146"/>
    <w:rsid w:val="00450B93"/>
    <w:rsid w:val="004519C3"/>
    <w:rsid w:val="004524D8"/>
    <w:rsid w:val="004525BD"/>
    <w:rsid w:val="004529D3"/>
    <w:rsid w:val="00452AA2"/>
    <w:rsid w:val="00452E88"/>
    <w:rsid w:val="0045354E"/>
    <w:rsid w:val="00453A1B"/>
    <w:rsid w:val="00453BBC"/>
    <w:rsid w:val="0045432A"/>
    <w:rsid w:val="00454491"/>
    <w:rsid w:val="004551EC"/>
    <w:rsid w:val="00455AF7"/>
    <w:rsid w:val="00456BE9"/>
    <w:rsid w:val="00456D86"/>
    <w:rsid w:val="0045767F"/>
    <w:rsid w:val="00457D53"/>
    <w:rsid w:val="00457E02"/>
    <w:rsid w:val="004604EC"/>
    <w:rsid w:val="0046095B"/>
    <w:rsid w:val="00460BFC"/>
    <w:rsid w:val="00460FCC"/>
    <w:rsid w:val="0046181A"/>
    <w:rsid w:val="00461A7A"/>
    <w:rsid w:val="00461F29"/>
    <w:rsid w:val="004621ED"/>
    <w:rsid w:val="004626A2"/>
    <w:rsid w:val="00462EED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6912"/>
    <w:rsid w:val="00467B2B"/>
    <w:rsid w:val="0047002C"/>
    <w:rsid w:val="0047005B"/>
    <w:rsid w:val="0047084C"/>
    <w:rsid w:val="00470C71"/>
    <w:rsid w:val="00470EE7"/>
    <w:rsid w:val="004711EF"/>
    <w:rsid w:val="0047132B"/>
    <w:rsid w:val="00471566"/>
    <w:rsid w:val="00471753"/>
    <w:rsid w:val="004718F0"/>
    <w:rsid w:val="00471AA1"/>
    <w:rsid w:val="00471F62"/>
    <w:rsid w:val="00472BD3"/>
    <w:rsid w:val="00473C38"/>
    <w:rsid w:val="004740AB"/>
    <w:rsid w:val="0047512E"/>
    <w:rsid w:val="004754C6"/>
    <w:rsid w:val="004756B6"/>
    <w:rsid w:val="0047578A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FCB"/>
    <w:rsid w:val="00480118"/>
    <w:rsid w:val="00480614"/>
    <w:rsid w:val="004806D6"/>
    <w:rsid w:val="00480A10"/>
    <w:rsid w:val="00480EDB"/>
    <w:rsid w:val="0048124A"/>
    <w:rsid w:val="0048174D"/>
    <w:rsid w:val="004819FB"/>
    <w:rsid w:val="00481E70"/>
    <w:rsid w:val="004821A9"/>
    <w:rsid w:val="004827BC"/>
    <w:rsid w:val="00482DF1"/>
    <w:rsid w:val="004834D6"/>
    <w:rsid w:val="0048469B"/>
    <w:rsid w:val="004864B9"/>
    <w:rsid w:val="00486D45"/>
    <w:rsid w:val="00486EF2"/>
    <w:rsid w:val="00487139"/>
    <w:rsid w:val="00487633"/>
    <w:rsid w:val="00487D52"/>
    <w:rsid w:val="00487E42"/>
    <w:rsid w:val="00487FD5"/>
    <w:rsid w:val="00490E78"/>
    <w:rsid w:val="0049106E"/>
    <w:rsid w:val="004918D8"/>
    <w:rsid w:val="00491983"/>
    <w:rsid w:val="004919ED"/>
    <w:rsid w:val="00491A45"/>
    <w:rsid w:val="00491B84"/>
    <w:rsid w:val="004922A7"/>
    <w:rsid w:val="00492F33"/>
    <w:rsid w:val="00493A11"/>
    <w:rsid w:val="00493C3B"/>
    <w:rsid w:val="00493C3D"/>
    <w:rsid w:val="004952B5"/>
    <w:rsid w:val="004953C7"/>
    <w:rsid w:val="00495D9E"/>
    <w:rsid w:val="00495DCB"/>
    <w:rsid w:val="004967A3"/>
    <w:rsid w:val="00496A72"/>
    <w:rsid w:val="004975AE"/>
    <w:rsid w:val="0049789E"/>
    <w:rsid w:val="00497CF0"/>
    <w:rsid w:val="004A0786"/>
    <w:rsid w:val="004A0A50"/>
    <w:rsid w:val="004A149D"/>
    <w:rsid w:val="004A171A"/>
    <w:rsid w:val="004A1ADE"/>
    <w:rsid w:val="004A1EB8"/>
    <w:rsid w:val="004A208C"/>
    <w:rsid w:val="004A298C"/>
    <w:rsid w:val="004A3048"/>
    <w:rsid w:val="004A3203"/>
    <w:rsid w:val="004A38E9"/>
    <w:rsid w:val="004A3D0B"/>
    <w:rsid w:val="004A3E61"/>
    <w:rsid w:val="004A406B"/>
    <w:rsid w:val="004A40EC"/>
    <w:rsid w:val="004A4AC4"/>
    <w:rsid w:val="004A522F"/>
    <w:rsid w:val="004A5BD8"/>
    <w:rsid w:val="004A60D6"/>
    <w:rsid w:val="004A68E9"/>
    <w:rsid w:val="004A7958"/>
    <w:rsid w:val="004B02C0"/>
    <w:rsid w:val="004B08D2"/>
    <w:rsid w:val="004B0D80"/>
    <w:rsid w:val="004B1644"/>
    <w:rsid w:val="004B16B2"/>
    <w:rsid w:val="004B1789"/>
    <w:rsid w:val="004B183A"/>
    <w:rsid w:val="004B1A6C"/>
    <w:rsid w:val="004B1CEE"/>
    <w:rsid w:val="004B38FB"/>
    <w:rsid w:val="004B3DC6"/>
    <w:rsid w:val="004B41F0"/>
    <w:rsid w:val="004B4A69"/>
    <w:rsid w:val="004B57EC"/>
    <w:rsid w:val="004B5925"/>
    <w:rsid w:val="004B5D96"/>
    <w:rsid w:val="004B65EF"/>
    <w:rsid w:val="004B6C6B"/>
    <w:rsid w:val="004B6CE4"/>
    <w:rsid w:val="004B72E1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1634"/>
    <w:rsid w:val="004C1688"/>
    <w:rsid w:val="004C19D9"/>
    <w:rsid w:val="004C1CED"/>
    <w:rsid w:val="004C1D24"/>
    <w:rsid w:val="004C1E9A"/>
    <w:rsid w:val="004C248C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E9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9C5"/>
    <w:rsid w:val="004D4A6A"/>
    <w:rsid w:val="004D4FFF"/>
    <w:rsid w:val="004D5449"/>
    <w:rsid w:val="004D55AD"/>
    <w:rsid w:val="004D579A"/>
    <w:rsid w:val="004D5CFC"/>
    <w:rsid w:val="004D6333"/>
    <w:rsid w:val="004D6D19"/>
    <w:rsid w:val="004D763B"/>
    <w:rsid w:val="004D77AF"/>
    <w:rsid w:val="004E0595"/>
    <w:rsid w:val="004E09D8"/>
    <w:rsid w:val="004E0C97"/>
    <w:rsid w:val="004E0CD6"/>
    <w:rsid w:val="004E0E59"/>
    <w:rsid w:val="004E1349"/>
    <w:rsid w:val="004E1997"/>
    <w:rsid w:val="004E19BA"/>
    <w:rsid w:val="004E1D26"/>
    <w:rsid w:val="004E20C6"/>
    <w:rsid w:val="004E22D0"/>
    <w:rsid w:val="004E3377"/>
    <w:rsid w:val="004E34FC"/>
    <w:rsid w:val="004E38BD"/>
    <w:rsid w:val="004E39FF"/>
    <w:rsid w:val="004E472D"/>
    <w:rsid w:val="004E52A1"/>
    <w:rsid w:val="004E53B5"/>
    <w:rsid w:val="004E5435"/>
    <w:rsid w:val="004E65DE"/>
    <w:rsid w:val="004E6AD9"/>
    <w:rsid w:val="004E6CCE"/>
    <w:rsid w:val="004E728C"/>
    <w:rsid w:val="004E7630"/>
    <w:rsid w:val="004E7AC8"/>
    <w:rsid w:val="004E7F52"/>
    <w:rsid w:val="004F09CE"/>
    <w:rsid w:val="004F1B1D"/>
    <w:rsid w:val="004F20CF"/>
    <w:rsid w:val="004F2558"/>
    <w:rsid w:val="004F26FB"/>
    <w:rsid w:val="004F2803"/>
    <w:rsid w:val="004F293B"/>
    <w:rsid w:val="004F2B92"/>
    <w:rsid w:val="004F2F9D"/>
    <w:rsid w:val="004F3955"/>
    <w:rsid w:val="004F39EF"/>
    <w:rsid w:val="004F3B0B"/>
    <w:rsid w:val="004F4103"/>
    <w:rsid w:val="004F4916"/>
    <w:rsid w:val="004F4982"/>
    <w:rsid w:val="004F4AD2"/>
    <w:rsid w:val="004F5724"/>
    <w:rsid w:val="004F5CA1"/>
    <w:rsid w:val="004F5E63"/>
    <w:rsid w:val="004F6081"/>
    <w:rsid w:val="004F705B"/>
    <w:rsid w:val="004F7FC7"/>
    <w:rsid w:val="005000E7"/>
    <w:rsid w:val="00500583"/>
    <w:rsid w:val="00500F48"/>
    <w:rsid w:val="00501716"/>
    <w:rsid w:val="0050191A"/>
    <w:rsid w:val="0050192C"/>
    <w:rsid w:val="005019D8"/>
    <w:rsid w:val="00501E32"/>
    <w:rsid w:val="0050215D"/>
    <w:rsid w:val="005021B0"/>
    <w:rsid w:val="00502A93"/>
    <w:rsid w:val="00502E51"/>
    <w:rsid w:val="0050331B"/>
    <w:rsid w:val="00503B57"/>
    <w:rsid w:val="00503DDF"/>
    <w:rsid w:val="0050401E"/>
    <w:rsid w:val="005043E9"/>
    <w:rsid w:val="00504A1A"/>
    <w:rsid w:val="00505613"/>
    <w:rsid w:val="00505AA2"/>
    <w:rsid w:val="0050631E"/>
    <w:rsid w:val="005073B9"/>
    <w:rsid w:val="00507680"/>
    <w:rsid w:val="00507A1D"/>
    <w:rsid w:val="00507A6F"/>
    <w:rsid w:val="005101BD"/>
    <w:rsid w:val="00511007"/>
    <w:rsid w:val="00511259"/>
    <w:rsid w:val="0051128B"/>
    <w:rsid w:val="0051189A"/>
    <w:rsid w:val="005128E1"/>
    <w:rsid w:val="005130D9"/>
    <w:rsid w:val="005139FF"/>
    <w:rsid w:val="005150DC"/>
    <w:rsid w:val="005151FF"/>
    <w:rsid w:val="005153F8"/>
    <w:rsid w:val="005158F2"/>
    <w:rsid w:val="00516B68"/>
    <w:rsid w:val="005179FF"/>
    <w:rsid w:val="00517CBC"/>
    <w:rsid w:val="00520544"/>
    <w:rsid w:val="00520885"/>
    <w:rsid w:val="00520B11"/>
    <w:rsid w:val="00520B55"/>
    <w:rsid w:val="00520DC6"/>
    <w:rsid w:val="00521F56"/>
    <w:rsid w:val="005221CD"/>
    <w:rsid w:val="0052255C"/>
    <w:rsid w:val="00522931"/>
    <w:rsid w:val="00523474"/>
    <w:rsid w:val="005234F3"/>
    <w:rsid w:val="00523D89"/>
    <w:rsid w:val="00523E34"/>
    <w:rsid w:val="00524228"/>
    <w:rsid w:val="0052425B"/>
    <w:rsid w:val="00524648"/>
    <w:rsid w:val="00524B17"/>
    <w:rsid w:val="0052511E"/>
    <w:rsid w:val="00525895"/>
    <w:rsid w:val="00525D08"/>
    <w:rsid w:val="00525FA3"/>
    <w:rsid w:val="00526277"/>
    <w:rsid w:val="00526451"/>
    <w:rsid w:val="005268D4"/>
    <w:rsid w:val="00526910"/>
    <w:rsid w:val="00526B49"/>
    <w:rsid w:val="00526D0E"/>
    <w:rsid w:val="00527897"/>
    <w:rsid w:val="00527D21"/>
    <w:rsid w:val="005300E6"/>
    <w:rsid w:val="00530880"/>
    <w:rsid w:val="005308B2"/>
    <w:rsid w:val="00530A7D"/>
    <w:rsid w:val="00530D33"/>
    <w:rsid w:val="00530E5D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CC3"/>
    <w:rsid w:val="00534044"/>
    <w:rsid w:val="00534223"/>
    <w:rsid w:val="005347A4"/>
    <w:rsid w:val="005349C7"/>
    <w:rsid w:val="005349DD"/>
    <w:rsid w:val="00535294"/>
    <w:rsid w:val="005355A0"/>
    <w:rsid w:val="005356C6"/>
    <w:rsid w:val="00535ACC"/>
    <w:rsid w:val="00535C03"/>
    <w:rsid w:val="0053627D"/>
    <w:rsid w:val="005364F4"/>
    <w:rsid w:val="0053676A"/>
    <w:rsid w:val="005369B8"/>
    <w:rsid w:val="00536F30"/>
    <w:rsid w:val="00540707"/>
    <w:rsid w:val="00540999"/>
    <w:rsid w:val="00540A46"/>
    <w:rsid w:val="00540B3C"/>
    <w:rsid w:val="00540DFA"/>
    <w:rsid w:val="00540F6A"/>
    <w:rsid w:val="0054108E"/>
    <w:rsid w:val="005411C0"/>
    <w:rsid w:val="00541FB6"/>
    <w:rsid w:val="005427B9"/>
    <w:rsid w:val="0054333B"/>
    <w:rsid w:val="005437DF"/>
    <w:rsid w:val="005447B0"/>
    <w:rsid w:val="00544EDC"/>
    <w:rsid w:val="00545217"/>
    <w:rsid w:val="00545C87"/>
    <w:rsid w:val="00545E0B"/>
    <w:rsid w:val="00546DFF"/>
    <w:rsid w:val="0054740B"/>
    <w:rsid w:val="0055060D"/>
    <w:rsid w:val="00550896"/>
    <w:rsid w:val="00550FBE"/>
    <w:rsid w:val="00552F94"/>
    <w:rsid w:val="00553275"/>
    <w:rsid w:val="005532EE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6348"/>
    <w:rsid w:val="005569C7"/>
    <w:rsid w:val="005569D7"/>
    <w:rsid w:val="00556F18"/>
    <w:rsid w:val="00560205"/>
    <w:rsid w:val="005604DA"/>
    <w:rsid w:val="005616E6"/>
    <w:rsid w:val="00561987"/>
    <w:rsid w:val="00561A0A"/>
    <w:rsid w:val="00561A18"/>
    <w:rsid w:val="00561DD0"/>
    <w:rsid w:val="005623E4"/>
    <w:rsid w:val="005626EB"/>
    <w:rsid w:val="00562D1F"/>
    <w:rsid w:val="005630A0"/>
    <w:rsid w:val="005637D4"/>
    <w:rsid w:val="00563E81"/>
    <w:rsid w:val="00563F02"/>
    <w:rsid w:val="00563F94"/>
    <w:rsid w:val="00563F9F"/>
    <w:rsid w:val="005647F3"/>
    <w:rsid w:val="005651E3"/>
    <w:rsid w:val="00565998"/>
    <w:rsid w:val="005659FD"/>
    <w:rsid w:val="005659FF"/>
    <w:rsid w:val="00565B9F"/>
    <w:rsid w:val="005660EC"/>
    <w:rsid w:val="00566E06"/>
    <w:rsid w:val="00566EFE"/>
    <w:rsid w:val="00567E1F"/>
    <w:rsid w:val="00567E46"/>
    <w:rsid w:val="0057016F"/>
    <w:rsid w:val="00570C3E"/>
    <w:rsid w:val="005712DD"/>
    <w:rsid w:val="0057175A"/>
    <w:rsid w:val="00571D16"/>
    <w:rsid w:val="00572752"/>
    <w:rsid w:val="00572A34"/>
    <w:rsid w:val="0057302D"/>
    <w:rsid w:val="00573085"/>
    <w:rsid w:val="0057343E"/>
    <w:rsid w:val="005734F9"/>
    <w:rsid w:val="00573892"/>
    <w:rsid w:val="0057401A"/>
    <w:rsid w:val="005741AE"/>
    <w:rsid w:val="00574214"/>
    <w:rsid w:val="00574397"/>
    <w:rsid w:val="00574985"/>
    <w:rsid w:val="0057596F"/>
    <w:rsid w:val="00577230"/>
    <w:rsid w:val="005773F4"/>
    <w:rsid w:val="0057794A"/>
    <w:rsid w:val="00580661"/>
    <w:rsid w:val="00580691"/>
    <w:rsid w:val="0058165B"/>
    <w:rsid w:val="00581ADF"/>
    <w:rsid w:val="00582294"/>
    <w:rsid w:val="00582DAC"/>
    <w:rsid w:val="00584373"/>
    <w:rsid w:val="0058496F"/>
    <w:rsid w:val="0058497E"/>
    <w:rsid w:val="00584AB3"/>
    <w:rsid w:val="00584AF5"/>
    <w:rsid w:val="00584CF1"/>
    <w:rsid w:val="00585175"/>
    <w:rsid w:val="00585323"/>
    <w:rsid w:val="00585A79"/>
    <w:rsid w:val="00585B39"/>
    <w:rsid w:val="00585E27"/>
    <w:rsid w:val="0058628A"/>
    <w:rsid w:val="005863C6"/>
    <w:rsid w:val="00586B09"/>
    <w:rsid w:val="00586D81"/>
    <w:rsid w:val="00586D94"/>
    <w:rsid w:val="005878FE"/>
    <w:rsid w:val="005912CE"/>
    <w:rsid w:val="00591520"/>
    <w:rsid w:val="00591DDE"/>
    <w:rsid w:val="00592226"/>
    <w:rsid w:val="005929C2"/>
    <w:rsid w:val="00593079"/>
    <w:rsid w:val="0059365C"/>
    <w:rsid w:val="00593662"/>
    <w:rsid w:val="00593789"/>
    <w:rsid w:val="00594130"/>
    <w:rsid w:val="00594594"/>
    <w:rsid w:val="005945BE"/>
    <w:rsid w:val="005946CE"/>
    <w:rsid w:val="005946EF"/>
    <w:rsid w:val="00594705"/>
    <w:rsid w:val="00594BF4"/>
    <w:rsid w:val="00595720"/>
    <w:rsid w:val="00595A88"/>
    <w:rsid w:val="00595AE9"/>
    <w:rsid w:val="00595B9C"/>
    <w:rsid w:val="00595BFA"/>
    <w:rsid w:val="00595D47"/>
    <w:rsid w:val="00596068"/>
    <w:rsid w:val="00596908"/>
    <w:rsid w:val="00596DBC"/>
    <w:rsid w:val="00596FB3"/>
    <w:rsid w:val="00597412"/>
    <w:rsid w:val="00597990"/>
    <w:rsid w:val="005A028A"/>
    <w:rsid w:val="005A03A5"/>
    <w:rsid w:val="005A049B"/>
    <w:rsid w:val="005A066F"/>
    <w:rsid w:val="005A07AF"/>
    <w:rsid w:val="005A0A1E"/>
    <w:rsid w:val="005A0EDF"/>
    <w:rsid w:val="005A1DA7"/>
    <w:rsid w:val="005A2060"/>
    <w:rsid w:val="005A2070"/>
    <w:rsid w:val="005A2339"/>
    <w:rsid w:val="005A2411"/>
    <w:rsid w:val="005A256B"/>
    <w:rsid w:val="005A332E"/>
    <w:rsid w:val="005A395E"/>
    <w:rsid w:val="005A3C57"/>
    <w:rsid w:val="005A4630"/>
    <w:rsid w:val="005A4C13"/>
    <w:rsid w:val="005A4F51"/>
    <w:rsid w:val="005A5139"/>
    <w:rsid w:val="005A560E"/>
    <w:rsid w:val="005A5671"/>
    <w:rsid w:val="005A5CC5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443B"/>
    <w:rsid w:val="005B57C2"/>
    <w:rsid w:val="005B5CA5"/>
    <w:rsid w:val="005B6919"/>
    <w:rsid w:val="005B792D"/>
    <w:rsid w:val="005B79FC"/>
    <w:rsid w:val="005C00C7"/>
    <w:rsid w:val="005C0459"/>
    <w:rsid w:val="005C0A39"/>
    <w:rsid w:val="005C0E96"/>
    <w:rsid w:val="005C1486"/>
    <w:rsid w:val="005C1A9F"/>
    <w:rsid w:val="005C1BB8"/>
    <w:rsid w:val="005C1F4F"/>
    <w:rsid w:val="005C29B8"/>
    <w:rsid w:val="005C39B6"/>
    <w:rsid w:val="005C3FE6"/>
    <w:rsid w:val="005C420E"/>
    <w:rsid w:val="005C457F"/>
    <w:rsid w:val="005C4950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B46"/>
    <w:rsid w:val="005D3E1B"/>
    <w:rsid w:val="005D40FE"/>
    <w:rsid w:val="005D450F"/>
    <w:rsid w:val="005D483B"/>
    <w:rsid w:val="005D4ADE"/>
    <w:rsid w:val="005D558D"/>
    <w:rsid w:val="005D5616"/>
    <w:rsid w:val="005D569D"/>
    <w:rsid w:val="005D66D2"/>
    <w:rsid w:val="005D6ABB"/>
    <w:rsid w:val="005E0037"/>
    <w:rsid w:val="005E055F"/>
    <w:rsid w:val="005E1407"/>
    <w:rsid w:val="005E2499"/>
    <w:rsid w:val="005E30E6"/>
    <w:rsid w:val="005E367F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D35"/>
    <w:rsid w:val="005E6F02"/>
    <w:rsid w:val="005E6F77"/>
    <w:rsid w:val="005F0A48"/>
    <w:rsid w:val="005F11C6"/>
    <w:rsid w:val="005F1328"/>
    <w:rsid w:val="005F18FD"/>
    <w:rsid w:val="005F22C9"/>
    <w:rsid w:val="005F2821"/>
    <w:rsid w:val="005F2DF5"/>
    <w:rsid w:val="005F31F1"/>
    <w:rsid w:val="005F329B"/>
    <w:rsid w:val="005F47C5"/>
    <w:rsid w:val="005F4843"/>
    <w:rsid w:val="005F499C"/>
    <w:rsid w:val="005F4CEB"/>
    <w:rsid w:val="005F4F32"/>
    <w:rsid w:val="005F5743"/>
    <w:rsid w:val="005F684D"/>
    <w:rsid w:val="005F6F21"/>
    <w:rsid w:val="005F7102"/>
    <w:rsid w:val="005F7E86"/>
    <w:rsid w:val="0060086B"/>
    <w:rsid w:val="00600979"/>
    <w:rsid w:val="00600A2C"/>
    <w:rsid w:val="0060127B"/>
    <w:rsid w:val="0060136B"/>
    <w:rsid w:val="00601C49"/>
    <w:rsid w:val="00601DD0"/>
    <w:rsid w:val="00601FBB"/>
    <w:rsid w:val="00602215"/>
    <w:rsid w:val="0060241D"/>
    <w:rsid w:val="00603D85"/>
    <w:rsid w:val="00603D92"/>
    <w:rsid w:val="00604032"/>
    <w:rsid w:val="00604B61"/>
    <w:rsid w:val="00604F96"/>
    <w:rsid w:val="0060504B"/>
    <w:rsid w:val="006058AF"/>
    <w:rsid w:val="006058CB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B8A"/>
    <w:rsid w:val="00611C28"/>
    <w:rsid w:val="0061285A"/>
    <w:rsid w:val="00612961"/>
    <w:rsid w:val="00612EDB"/>
    <w:rsid w:val="006133C6"/>
    <w:rsid w:val="0061352D"/>
    <w:rsid w:val="00613B5A"/>
    <w:rsid w:val="00614C06"/>
    <w:rsid w:val="00615C55"/>
    <w:rsid w:val="00615CBC"/>
    <w:rsid w:val="00615FE4"/>
    <w:rsid w:val="00616370"/>
    <w:rsid w:val="00616974"/>
    <w:rsid w:val="00616CD9"/>
    <w:rsid w:val="00617217"/>
    <w:rsid w:val="0061723F"/>
    <w:rsid w:val="00617B56"/>
    <w:rsid w:val="00617D56"/>
    <w:rsid w:val="00617EF1"/>
    <w:rsid w:val="006214D1"/>
    <w:rsid w:val="0062180D"/>
    <w:rsid w:val="00621E34"/>
    <w:rsid w:val="00621FC5"/>
    <w:rsid w:val="006221BF"/>
    <w:rsid w:val="00622B02"/>
    <w:rsid w:val="0062329F"/>
    <w:rsid w:val="00623E47"/>
    <w:rsid w:val="00623F8E"/>
    <w:rsid w:val="00624530"/>
    <w:rsid w:val="00624698"/>
    <w:rsid w:val="00624AB9"/>
    <w:rsid w:val="00624E5D"/>
    <w:rsid w:val="00624F67"/>
    <w:rsid w:val="0062502C"/>
    <w:rsid w:val="006254AE"/>
    <w:rsid w:val="00626008"/>
    <w:rsid w:val="00626202"/>
    <w:rsid w:val="006262B7"/>
    <w:rsid w:val="00626822"/>
    <w:rsid w:val="00626A1A"/>
    <w:rsid w:val="0062751A"/>
    <w:rsid w:val="00627E39"/>
    <w:rsid w:val="00630282"/>
    <w:rsid w:val="006313BC"/>
    <w:rsid w:val="006316BD"/>
    <w:rsid w:val="00631B83"/>
    <w:rsid w:val="00631DE9"/>
    <w:rsid w:val="0063296A"/>
    <w:rsid w:val="006332C1"/>
    <w:rsid w:val="006332FA"/>
    <w:rsid w:val="006335A1"/>
    <w:rsid w:val="00633E65"/>
    <w:rsid w:val="0063410A"/>
    <w:rsid w:val="0063465B"/>
    <w:rsid w:val="0063472A"/>
    <w:rsid w:val="00634CF5"/>
    <w:rsid w:val="00634E3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41383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9BB"/>
    <w:rsid w:val="006447DD"/>
    <w:rsid w:val="00644803"/>
    <w:rsid w:val="00644D51"/>
    <w:rsid w:val="0064509A"/>
    <w:rsid w:val="006452B3"/>
    <w:rsid w:val="006457BC"/>
    <w:rsid w:val="00646091"/>
    <w:rsid w:val="00646DF1"/>
    <w:rsid w:val="00646ECD"/>
    <w:rsid w:val="006477DF"/>
    <w:rsid w:val="00647A94"/>
    <w:rsid w:val="00647C99"/>
    <w:rsid w:val="00650342"/>
    <w:rsid w:val="00650F9A"/>
    <w:rsid w:val="00651876"/>
    <w:rsid w:val="00651A00"/>
    <w:rsid w:val="00652016"/>
    <w:rsid w:val="0065233A"/>
    <w:rsid w:val="006526CC"/>
    <w:rsid w:val="00652C0D"/>
    <w:rsid w:val="00652D7C"/>
    <w:rsid w:val="0065368C"/>
    <w:rsid w:val="00653A19"/>
    <w:rsid w:val="00653AA9"/>
    <w:rsid w:val="00653D3B"/>
    <w:rsid w:val="006542DF"/>
    <w:rsid w:val="00654BB6"/>
    <w:rsid w:val="00655337"/>
    <w:rsid w:val="00655763"/>
    <w:rsid w:val="00655A86"/>
    <w:rsid w:val="00655A99"/>
    <w:rsid w:val="0065601C"/>
    <w:rsid w:val="00656176"/>
    <w:rsid w:val="00656665"/>
    <w:rsid w:val="00656B05"/>
    <w:rsid w:val="00657000"/>
    <w:rsid w:val="006573C4"/>
    <w:rsid w:val="006577A5"/>
    <w:rsid w:val="00657D21"/>
    <w:rsid w:val="00657FF1"/>
    <w:rsid w:val="00660024"/>
    <w:rsid w:val="00660A80"/>
    <w:rsid w:val="006614BB"/>
    <w:rsid w:val="006626D9"/>
    <w:rsid w:val="00663AFA"/>
    <w:rsid w:val="00663DA4"/>
    <w:rsid w:val="00665446"/>
    <w:rsid w:val="006656B8"/>
    <w:rsid w:val="00665AA4"/>
    <w:rsid w:val="00665D3A"/>
    <w:rsid w:val="00665F3E"/>
    <w:rsid w:val="006661A0"/>
    <w:rsid w:val="00666A08"/>
    <w:rsid w:val="00666A88"/>
    <w:rsid w:val="00667292"/>
    <w:rsid w:val="00667832"/>
    <w:rsid w:val="00670063"/>
    <w:rsid w:val="0067091A"/>
    <w:rsid w:val="00670B4F"/>
    <w:rsid w:val="00671672"/>
    <w:rsid w:val="00671750"/>
    <w:rsid w:val="006717A5"/>
    <w:rsid w:val="006718DE"/>
    <w:rsid w:val="00671CFE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07"/>
    <w:rsid w:val="00674F3C"/>
    <w:rsid w:val="00675BD7"/>
    <w:rsid w:val="00675C26"/>
    <w:rsid w:val="0067605A"/>
    <w:rsid w:val="006762C3"/>
    <w:rsid w:val="00676611"/>
    <w:rsid w:val="006768F2"/>
    <w:rsid w:val="00677138"/>
    <w:rsid w:val="006775A8"/>
    <w:rsid w:val="00677CE0"/>
    <w:rsid w:val="00680CFA"/>
    <w:rsid w:val="00680E09"/>
    <w:rsid w:val="00681691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1AD6"/>
    <w:rsid w:val="00691F8E"/>
    <w:rsid w:val="0069225B"/>
    <w:rsid w:val="006927C9"/>
    <w:rsid w:val="00692871"/>
    <w:rsid w:val="0069313E"/>
    <w:rsid w:val="00693164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47"/>
    <w:rsid w:val="006A0E0A"/>
    <w:rsid w:val="006A1B3B"/>
    <w:rsid w:val="006A1B59"/>
    <w:rsid w:val="006A294B"/>
    <w:rsid w:val="006A29CC"/>
    <w:rsid w:val="006A2CE7"/>
    <w:rsid w:val="006A31DC"/>
    <w:rsid w:val="006A3BC6"/>
    <w:rsid w:val="006A408F"/>
    <w:rsid w:val="006A45F3"/>
    <w:rsid w:val="006A4791"/>
    <w:rsid w:val="006A4C48"/>
    <w:rsid w:val="006A53F2"/>
    <w:rsid w:val="006A5685"/>
    <w:rsid w:val="006A58F4"/>
    <w:rsid w:val="006A6108"/>
    <w:rsid w:val="006A630D"/>
    <w:rsid w:val="006A6D4D"/>
    <w:rsid w:val="006A6F1A"/>
    <w:rsid w:val="006A7103"/>
    <w:rsid w:val="006A731F"/>
    <w:rsid w:val="006A7736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7CF"/>
    <w:rsid w:val="006B5F81"/>
    <w:rsid w:val="006B6079"/>
    <w:rsid w:val="006B73B4"/>
    <w:rsid w:val="006B76B5"/>
    <w:rsid w:val="006B7FA5"/>
    <w:rsid w:val="006C0634"/>
    <w:rsid w:val="006C12F8"/>
    <w:rsid w:val="006C14B3"/>
    <w:rsid w:val="006C2729"/>
    <w:rsid w:val="006C2A69"/>
    <w:rsid w:val="006C2CBA"/>
    <w:rsid w:val="006C2EC8"/>
    <w:rsid w:val="006C3892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71D0"/>
    <w:rsid w:val="006C780D"/>
    <w:rsid w:val="006D0142"/>
    <w:rsid w:val="006D02E9"/>
    <w:rsid w:val="006D08DE"/>
    <w:rsid w:val="006D0DAF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491"/>
    <w:rsid w:val="006D39E1"/>
    <w:rsid w:val="006D3DC4"/>
    <w:rsid w:val="006D4150"/>
    <w:rsid w:val="006D55BE"/>
    <w:rsid w:val="006D5CCF"/>
    <w:rsid w:val="006D6459"/>
    <w:rsid w:val="006D6BF4"/>
    <w:rsid w:val="006D722C"/>
    <w:rsid w:val="006D7985"/>
    <w:rsid w:val="006E016A"/>
    <w:rsid w:val="006E0353"/>
    <w:rsid w:val="006E0D72"/>
    <w:rsid w:val="006E1AD0"/>
    <w:rsid w:val="006E2CDF"/>
    <w:rsid w:val="006E2D96"/>
    <w:rsid w:val="006E3546"/>
    <w:rsid w:val="006E36D9"/>
    <w:rsid w:val="006E462B"/>
    <w:rsid w:val="006E4D38"/>
    <w:rsid w:val="006E4F6D"/>
    <w:rsid w:val="006E615A"/>
    <w:rsid w:val="006E616C"/>
    <w:rsid w:val="006E622E"/>
    <w:rsid w:val="006E6C66"/>
    <w:rsid w:val="006E6D06"/>
    <w:rsid w:val="006E7390"/>
    <w:rsid w:val="006E7C13"/>
    <w:rsid w:val="006F002C"/>
    <w:rsid w:val="006F0B01"/>
    <w:rsid w:val="006F1022"/>
    <w:rsid w:val="006F1129"/>
    <w:rsid w:val="006F17BB"/>
    <w:rsid w:val="006F181C"/>
    <w:rsid w:val="006F189C"/>
    <w:rsid w:val="006F1CEF"/>
    <w:rsid w:val="006F1FAC"/>
    <w:rsid w:val="006F2970"/>
    <w:rsid w:val="006F3366"/>
    <w:rsid w:val="006F3418"/>
    <w:rsid w:val="006F360E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F75"/>
    <w:rsid w:val="006F67B5"/>
    <w:rsid w:val="006F6901"/>
    <w:rsid w:val="006F6F55"/>
    <w:rsid w:val="006F7326"/>
    <w:rsid w:val="006F754B"/>
    <w:rsid w:val="006F756C"/>
    <w:rsid w:val="006F77D1"/>
    <w:rsid w:val="006F797F"/>
    <w:rsid w:val="006F7B97"/>
    <w:rsid w:val="006F7DB2"/>
    <w:rsid w:val="00700ECE"/>
    <w:rsid w:val="007012A6"/>
    <w:rsid w:val="00701AF2"/>
    <w:rsid w:val="00701E11"/>
    <w:rsid w:val="00701E6D"/>
    <w:rsid w:val="00702507"/>
    <w:rsid w:val="0070263F"/>
    <w:rsid w:val="00702C8C"/>
    <w:rsid w:val="00703066"/>
    <w:rsid w:val="007034F0"/>
    <w:rsid w:val="007039F6"/>
    <w:rsid w:val="00704B17"/>
    <w:rsid w:val="00705309"/>
    <w:rsid w:val="00705686"/>
    <w:rsid w:val="00705E66"/>
    <w:rsid w:val="00705F68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2CC9"/>
    <w:rsid w:val="0071342D"/>
    <w:rsid w:val="00713BEA"/>
    <w:rsid w:val="0071429B"/>
    <w:rsid w:val="007149E9"/>
    <w:rsid w:val="00714B3D"/>
    <w:rsid w:val="0071507C"/>
    <w:rsid w:val="007150E3"/>
    <w:rsid w:val="007161E1"/>
    <w:rsid w:val="0071650E"/>
    <w:rsid w:val="00716CDE"/>
    <w:rsid w:val="00716DD4"/>
    <w:rsid w:val="007171EC"/>
    <w:rsid w:val="0071732E"/>
    <w:rsid w:val="007173C8"/>
    <w:rsid w:val="007176F1"/>
    <w:rsid w:val="00717DD2"/>
    <w:rsid w:val="00720298"/>
    <w:rsid w:val="00720343"/>
    <w:rsid w:val="00720726"/>
    <w:rsid w:val="00720FDD"/>
    <w:rsid w:val="00721EB4"/>
    <w:rsid w:val="007220C2"/>
    <w:rsid w:val="007221DD"/>
    <w:rsid w:val="00722A55"/>
    <w:rsid w:val="00722AA3"/>
    <w:rsid w:val="007239E5"/>
    <w:rsid w:val="00724415"/>
    <w:rsid w:val="007249FC"/>
    <w:rsid w:val="00724B2A"/>
    <w:rsid w:val="00725312"/>
    <w:rsid w:val="00726881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F5B"/>
    <w:rsid w:val="00732013"/>
    <w:rsid w:val="00732228"/>
    <w:rsid w:val="0073231A"/>
    <w:rsid w:val="00733344"/>
    <w:rsid w:val="00733469"/>
    <w:rsid w:val="007337BE"/>
    <w:rsid w:val="00733D2B"/>
    <w:rsid w:val="007344B3"/>
    <w:rsid w:val="007344E6"/>
    <w:rsid w:val="0073462A"/>
    <w:rsid w:val="0073471F"/>
    <w:rsid w:val="00735DC6"/>
    <w:rsid w:val="007367C7"/>
    <w:rsid w:val="007369C1"/>
    <w:rsid w:val="0073756E"/>
    <w:rsid w:val="0074028B"/>
    <w:rsid w:val="0074099D"/>
    <w:rsid w:val="00740EAB"/>
    <w:rsid w:val="00740F14"/>
    <w:rsid w:val="00741053"/>
    <w:rsid w:val="007415CD"/>
    <w:rsid w:val="00741D3F"/>
    <w:rsid w:val="00742442"/>
    <w:rsid w:val="007427BD"/>
    <w:rsid w:val="0074289A"/>
    <w:rsid w:val="00742FC5"/>
    <w:rsid w:val="00743342"/>
    <w:rsid w:val="0074405E"/>
    <w:rsid w:val="0074425C"/>
    <w:rsid w:val="007443A3"/>
    <w:rsid w:val="007445CD"/>
    <w:rsid w:val="0074461C"/>
    <w:rsid w:val="0074505D"/>
    <w:rsid w:val="007458E9"/>
    <w:rsid w:val="00745DA1"/>
    <w:rsid w:val="0074696D"/>
    <w:rsid w:val="00746F1E"/>
    <w:rsid w:val="007475F7"/>
    <w:rsid w:val="00747AAE"/>
    <w:rsid w:val="00750245"/>
    <w:rsid w:val="00750727"/>
    <w:rsid w:val="00750BDE"/>
    <w:rsid w:val="00750C59"/>
    <w:rsid w:val="00750D52"/>
    <w:rsid w:val="00750EC6"/>
    <w:rsid w:val="007510C9"/>
    <w:rsid w:val="00751339"/>
    <w:rsid w:val="00751935"/>
    <w:rsid w:val="00751A7D"/>
    <w:rsid w:val="00751C63"/>
    <w:rsid w:val="0075203F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13EB"/>
    <w:rsid w:val="00761C39"/>
    <w:rsid w:val="0076257D"/>
    <w:rsid w:val="007629FF"/>
    <w:rsid w:val="00762ACB"/>
    <w:rsid w:val="00762E6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D81"/>
    <w:rsid w:val="00765220"/>
    <w:rsid w:val="00765844"/>
    <w:rsid w:val="00765F39"/>
    <w:rsid w:val="00766E56"/>
    <w:rsid w:val="00767889"/>
    <w:rsid w:val="007678D0"/>
    <w:rsid w:val="00767A09"/>
    <w:rsid w:val="00767E36"/>
    <w:rsid w:val="00767F41"/>
    <w:rsid w:val="0077004B"/>
    <w:rsid w:val="00770455"/>
    <w:rsid w:val="007704AE"/>
    <w:rsid w:val="007706A9"/>
    <w:rsid w:val="00770994"/>
    <w:rsid w:val="00770DD2"/>
    <w:rsid w:val="007712CE"/>
    <w:rsid w:val="00771513"/>
    <w:rsid w:val="007716AA"/>
    <w:rsid w:val="0077209F"/>
    <w:rsid w:val="007741DC"/>
    <w:rsid w:val="0077452C"/>
    <w:rsid w:val="00774AE8"/>
    <w:rsid w:val="00774CC1"/>
    <w:rsid w:val="007758FE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2160"/>
    <w:rsid w:val="00782D76"/>
    <w:rsid w:val="007831B8"/>
    <w:rsid w:val="00783DCD"/>
    <w:rsid w:val="00784172"/>
    <w:rsid w:val="007842B4"/>
    <w:rsid w:val="00784797"/>
    <w:rsid w:val="00785311"/>
    <w:rsid w:val="00785A37"/>
    <w:rsid w:val="00785AC6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633"/>
    <w:rsid w:val="007909AB"/>
    <w:rsid w:val="00790BCA"/>
    <w:rsid w:val="00790C28"/>
    <w:rsid w:val="00790E36"/>
    <w:rsid w:val="00790F35"/>
    <w:rsid w:val="00791C2D"/>
    <w:rsid w:val="007923AC"/>
    <w:rsid w:val="0079254E"/>
    <w:rsid w:val="00792875"/>
    <w:rsid w:val="00792CE4"/>
    <w:rsid w:val="00792DD5"/>
    <w:rsid w:val="0079378D"/>
    <w:rsid w:val="00793901"/>
    <w:rsid w:val="00793CBF"/>
    <w:rsid w:val="00793E42"/>
    <w:rsid w:val="00793F4E"/>
    <w:rsid w:val="00794161"/>
    <w:rsid w:val="00794EB3"/>
    <w:rsid w:val="0079521D"/>
    <w:rsid w:val="007953FF"/>
    <w:rsid w:val="007954FA"/>
    <w:rsid w:val="007957B3"/>
    <w:rsid w:val="00796026"/>
    <w:rsid w:val="00796998"/>
    <w:rsid w:val="007971B6"/>
    <w:rsid w:val="007972FA"/>
    <w:rsid w:val="007977FA"/>
    <w:rsid w:val="00797A1D"/>
    <w:rsid w:val="00797CA4"/>
    <w:rsid w:val="007A01B2"/>
    <w:rsid w:val="007A09E2"/>
    <w:rsid w:val="007A116B"/>
    <w:rsid w:val="007A1A05"/>
    <w:rsid w:val="007A1D30"/>
    <w:rsid w:val="007A1E4E"/>
    <w:rsid w:val="007A20A6"/>
    <w:rsid w:val="007A30E5"/>
    <w:rsid w:val="007A35B4"/>
    <w:rsid w:val="007A3732"/>
    <w:rsid w:val="007A3880"/>
    <w:rsid w:val="007A3E52"/>
    <w:rsid w:val="007A4A26"/>
    <w:rsid w:val="007A4AC0"/>
    <w:rsid w:val="007A4BA9"/>
    <w:rsid w:val="007A4CA4"/>
    <w:rsid w:val="007A5B73"/>
    <w:rsid w:val="007A5E48"/>
    <w:rsid w:val="007A66DB"/>
    <w:rsid w:val="007A712F"/>
    <w:rsid w:val="007A74CE"/>
    <w:rsid w:val="007A7745"/>
    <w:rsid w:val="007A7B79"/>
    <w:rsid w:val="007B07B2"/>
    <w:rsid w:val="007B0EEB"/>
    <w:rsid w:val="007B142E"/>
    <w:rsid w:val="007B174E"/>
    <w:rsid w:val="007B17AA"/>
    <w:rsid w:val="007B1A59"/>
    <w:rsid w:val="007B1DD8"/>
    <w:rsid w:val="007B20F7"/>
    <w:rsid w:val="007B2161"/>
    <w:rsid w:val="007B24B2"/>
    <w:rsid w:val="007B3DD1"/>
    <w:rsid w:val="007B4177"/>
    <w:rsid w:val="007B41EC"/>
    <w:rsid w:val="007B44F2"/>
    <w:rsid w:val="007B5107"/>
    <w:rsid w:val="007B5479"/>
    <w:rsid w:val="007B54C4"/>
    <w:rsid w:val="007B55B9"/>
    <w:rsid w:val="007B58F0"/>
    <w:rsid w:val="007B5E9F"/>
    <w:rsid w:val="007B631D"/>
    <w:rsid w:val="007B65C8"/>
    <w:rsid w:val="007B660D"/>
    <w:rsid w:val="007B6627"/>
    <w:rsid w:val="007B683F"/>
    <w:rsid w:val="007B6A1E"/>
    <w:rsid w:val="007B6C97"/>
    <w:rsid w:val="007B708E"/>
    <w:rsid w:val="007B7598"/>
    <w:rsid w:val="007C04A5"/>
    <w:rsid w:val="007C04E1"/>
    <w:rsid w:val="007C05AE"/>
    <w:rsid w:val="007C0640"/>
    <w:rsid w:val="007C090F"/>
    <w:rsid w:val="007C0AD5"/>
    <w:rsid w:val="007C0C70"/>
    <w:rsid w:val="007C15EF"/>
    <w:rsid w:val="007C19F9"/>
    <w:rsid w:val="007C1E55"/>
    <w:rsid w:val="007C216F"/>
    <w:rsid w:val="007C260F"/>
    <w:rsid w:val="007C26AF"/>
    <w:rsid w:val="007C26F0"/>
    <w:rsid w:val="007C2A88"/>
    <w:rsid w:val="007C319F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6378"/>
    <w:rsid w:val="007C694B"/>
    <w:rsid w:val="007C6CD4"/>
    <w:rsid w:val="007C71E1"/>
    <w:rsid w:val="007C7968"/>
    <w:rsid w:val="007C7B39"/>
    <w:rsid w:val="007D0A0F"/>
    <w:rsid w:val="007D0CBF"/>
    <w:rsid w:val="007D181E"/>
    <w:rsid w:val="007D192E"/>
    <w:rsid w:val="007D21DA"/>
    <w:rsid w:val="007D239E"/>
    <w:rsid w:val="007D250A"/>
    <w:rsid w:val="007D3D9D"/>
    <w:rsid w:val="007D40ED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8CA"/>
    <w:rsid w:val="007E0A31"/>
    <w:rsid w:val="007E1415"/>
    <w:rsid w:val="007E16AC"/>
    <w:rsid w:val="007E223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507F"/>
    <w:rsid w:val="007E50B5"/>
    <w:rsid w:val="007E54E5"/>
    <w:rsid w:val="007E5CD1"/>
    <w:rsid w:val="007E5F84"/>
    <w:rsid w:val="007E6EF8"/>
    <w:rsid w:val="007E7B8C"/>
    <w:rsid w:val="007E7F88"/>
    <w:rsid w:val="007F0873"/>
    <w:rsid w:val="007F0D43"/>
    <w:rsid w:val="007F13D3"/>
    <w:rsid w:val="007F266D"/>
    <w:rsid w:val="007F2E0B"/>
    <w:rsid w:val="007F32EA"/>
    <w:rsid w:val="007F3462"/>
    <w:rsid w:val="007F3932"/>
    <w:rsid w:val="007F3EEA"/>
    <w:rsid w:val="007F3FB5"/>
    <w:rsid w:val="007F4494"/>
    <w:rsid w:val="007F45B2"/>
    <w:rsid w:val="007F49FC"/>
    <w:rsid w:val="007F4EE7"/>
    <w:rsid w:val="007F539E"/>
    <w:rsid w:val="007F53C5"/>
    <w:rsid w:val="007F5712"/>
    <w:rsid w:val="007F5965"/>
    <w:rsid w:val="007F65E5"/>
    <w:rsid w:val="007F7080"/>
    <w:rsid w:val="007F750D"/>
    <w:rsid w:val="007F7D5A"/>
    <w:rsid w:val="007F7FA2"/>
    <w:rsid w:val="0080038C"/>
    <w:rsid w:val="0080044F"/>
    <w:rsid w:val="00800883"/>
    <w:rsid w:val="00800CDF"/>
    <w:rsid w:val="00801637"/>
    <w:rsid w:val="00801B50"/>
    <w:rsid w:val="00801F11"/>
    <w:rsid w:val="008028C7"/>
    <w:rsid w:val="00802D53"/>
    <w:rsid w:val="0080304A"/>
    <w:rsid w:val="00803905"/>
    <w:rsid w:val="00803A78"/>
    <w:rsid w:val="00803F1F"/>
    <w:rsid w:val="008040CB"/>
    <w:rsid w:val="0080448C"/>
    <w:rsid w:val="00804598"/>
    <w:rsid w:val="00804CEB"/>
    <w:rsid w:val="00804F09"/>
    <w:rsid w:val="00805BC6"/>
    <w:rsid w:val="00805D41"/>
    <w:rsid w:val="00806C7B"/>
    <w:rsid w:val="008075DF"/>
    <w:rsid w:val="00807A69"/>
    <w:rsid w:val="0081003D"/>
    <w:rsid w:val="008100DA"/>
    <w:rsid w:val="00810C48"/>
    <w:rsid w:val="00810EE9"/>
    <w:rsid w:val="00810F7C"/>
    <w:rsid w:val="008118A3"/>
    <w:rsid w:val="00811AA9"/>
    <w:rsid w:val="00812102"/>
    <w:rsid w:val="0081338C"/>
    <w:rsid w:val="008133A0"/>
    <w:rsid w:val="008134D8"/>
    <w:rsid w:val="00813D1A"/>
    <w:rsid w:val="008142C0"/>
    <w:rsid w:val="008145E7"/>
    <w:rsid w:val="00814DA6"/>
    <w:rsid w:val="0081542D"/>
    <w:rsid w:val="00815A00"/>
    <w:rsid w:val="00815F3D"/>
    <w:rsid w:val="0081605B"/>
    <w:rsid w:val="008160F2"/>
    <w:rsid w:val="00817237"/>
    <w:rsid w:val="00817520"/>
    <w:rsid w:val="00817B11"/>
    <w:rsid w:val="00817F9F"/>
    <w:rsid w:val="008201F6"/>
    <w:rsid w:val="008205E0"/>
    <w:rsid w:val="0082071A"/>
    <w:rsid w:val="00820E41"/>
    <w:rsid w:val="008213A7"/>
    <w:rsid w:val="00821F17"/>
    <w:rsid w:val="00821F3D"/>
    <w:rsid w:val="00822217"/>
    <w:rsid w:val="0082227C"/>
    <w:rsid w:val="00822CDC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7A"/>
    <w:rsid w:val="008263EC"/>
    <w:rsid w:val="00826510"/>
    <w:rsid w:val="00826A74"/>
    <w:rsid w:val="00826FF8"/>
    <w:rsid w:val="008271DA"/>
    <w:rsid w:val="0082727B"/>
    <w:rsid w:val="008279FC"/>
    <w:rsid w:val="00830897"/>
    <w:rsid w:val="0083152F"/>
    <w:rsid w:val="008320E6"/>
    <w:rsid w:val="00832459"/>
    <w:rsid w:val="00832619"/>
    <w:rsid w:val="00832EB9"/>
    <w:rsid w:val="00833270"/>
    <w:rsid w:val="00833298"/>
    <w:rsid w:val="00833CC2"/>
    <w:rsid w:val="008348D0"/>
    <w:rsid w:val="00835041"/>
    <w:rsid w:val="00835C3F"/>
    <w:rsid w:val="008369C0"/>
    <w:rsid w:val="0083770E"/>
    <w:rsid w:val="00837954"/>
    <w:rsid w:val="00840654"/>
    <w:rsid w:val="008407B1"/>
    <w:rsid w:val="0084080C"/>
    <w:rsid w:val="00840992"/>
    <w:rsid w:val="00840CF0"/>
    <w:rsid w:val="008414BE"/>
    <w:rsid w:val="00842643"/>
    <w:rsid w:val="00842940"/>
    <w:rsid w:val="00842EFD"/>
    <w:rsid w:val="0084367C"/>
    <w:rsid w:val="00843B60"/>
    <w:rsid w:val="00843F4B"/>
    <w:rsid w:val="00844B28"/>
    <w:rsid w:val="00845B4B"/>
    <w:rsid w:val="00845EFF"/>
    <w:rsid w:val="0084626D"/>
    <w:rsid w:val="00846306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9D3"/>
    <w:rsid w:val="0085297A"/>
    <w:rsid w:val="00853653"/>
    <w:rsid w:val="00853818"/>
    <w:rsid w:val="00853840"/>
    <w:rsid w:val="00853D9B"/>
    <w:rsid w:val="00853EF9"/>
    <w:rsid w:val="00854161"/>
    <w:rsid w:val="008546C4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971"/>
    <w:rsid w:val="00856AAB"/>
    <w:rsid w:val="00856F56"/>
    <w:rsid w:val="008571FC"/>
    <w:rsid w:val="008573F3"/>
    <w:rsid w:val="00857711"/>
    <w:rsid w:val="00857E3F"/>
    <w:rsid w:val="008606A4"/>
    <w:rsid w:val="00861324"/>
    <w:rsid w:val="008615A9"/>
    <w:rsid w:val="00861E3E"/>
    <w:rsid w:val="0086271B"/>
    <w:rsid w:val="00862CC4"/>
    <w:rsid w:val="008630E3"/>
    <w:rsid w:val="00863A06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D2C"/>
    <w:rsid w:val="0086737E"/>
    <w:rsid w:val="008673DB"/>
    <w:rsid w:val="008673DC"/>
    <w:rsid w:val="00867E45"/>
    <w:rsid w:val="00867F1A"/>
    <w:rsid w:val="00870228"/>
    <w:rsid w:val="008710CC"/>
    <w:rsid w:val="0087124A"/>
    <w:rsid w:val="00871B51"/>
    <w:rsid w:val="00871BD6"/>
    <w:rsid w:val="00872D13"/>
    <w:rsid w:val="00872D45"/>
    <w:rsid w:val="00872DAF"/>
    <w:rsid w:val="00872DF4"/>
    <w:rsid w:val="0087384A"/>
    <w:rsid w:val="0087477A"/>
    <w:rsid w:val="00874C12"/>
    <w:rsid w:val="0087567B"/>
    <w:rsid w:val="00875969"/>
    <w:rsid w:val="00876532"/>
    <w:rsid w:val="00876E28"/>
    <w:rsid w:val="00876EFE"/>
    <w:rsid w:val="0088115B"/>
    <w:rsid w:val="00881457"/>
    <w:rsid w:val="00881A80"/>
    <w:rsid w:val="00882371"/>
    <w:rsid w:val="00882742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53BA"/>
    <w:rsid w:val="008853E7"/>
    <w:rsid w:val="00885446"/>
    <w:rsid w:val="008868C4"/>
    <w:rsid w:val="008878EC"/>
    <w:rsid w:val="008878F5"/>
    <w:rsid w:val="00887B21"/>
    <w:rsid w:val="008900D9"/>
    <w:rsid w:val="008908CD"/>
    <w:rsid w:val="00890BFD"/>
    <w:rsid w:val="00890E3B"/>
    <w:rsid w:val="00891B22"/>
    <w:rsid w:val="00891F95"/>
    <w:rsid w:val="00892387"/>
    <w:rsid w:val="00892D08"/>
    <w:rsid w:val="00892D3A"/>
    <w:rsid w:val="00892DD6"/>
    <w:rsid w:val="00892DEE"/>
    <w:rsid w:val="00893280"/>
    <w:rsid w:val="0089400A"/>
    <w:rsid w:val="00894259"/>
    <w:rsid w:val="008945FF"/>
    <w:rsid w:val="008946A8"/>
    <w:rsid w:val="00894BA4"/>
    <w:rsid w:val="008954A5"/>
    <w:rsid w:val="00895AD2"/>
    <w:rsid w:val="008969A1"/>
    <w:rsid w:val="00897176"/>
    <w:rsid w:val="008973C3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41F"/>
    <w:rsid w:val="008A5E3B"/>
    <w:rsid w:val="008A6E99"/>
    <w:rsid w:val="008A7559"/>
    <w:rsid w:val="008A7B95"/>
    <w:rsid w:val="008B0D31"/>
    <w:rsid w:val="008B1642"/>
    <w:rsid w:val="008B1B97"/>
    <w:rsid w:val="008B203A"/>
    <w:rsid w:val="008B2259"/>
    <w:rsid w:val="008B2542"/>
    <w:rsid w:val="008B274E"/>
    <w:rsid w:val="008B32AC"/>
    <w:rsid w:val="008B336D"/>
    <w:rsid w:val="008B3E09"/>
    <w:rsid w:val="008B46F1"/>
    <w:rsid w:val="008B4DBC"/>
    <w:rsid w:val="008B5D68"/>
    <w:rsid w:val="008B6B50"/>
    <w:rsid w:val="008B75F6"/>
    <w:rsid w:val="008B7FB9"/>
    <w:rsid w:val="008C0634"/>
    <w:rsid w:val="008C07D7"/>
    <w:rsid w:val="008C11E6"/>
    <w:rsid w:val="008C145D"/>
    <w:rsid w:val="008C1584"/>
    <w:rsid w:val="008C16D9"/>
    <w:rsid w:val="008C17B1"/>
    <w:rsid w:val="008C17BA"/>
    <w:rsid w:val="008C182F"/>
    <w:rsid w:val="008C201C"/>
    <w:rsid w:val="008C25FC"/>
    <w:rsid w:val="008C2AC3"/>
    <w:rsid w:val="008C3A7A"/>
    <w:rsid w:val="008C3CA0"/>
    <w:rsid w:val="008C3DA0"/>
    <w:rsid w:val="008C3DA8"/>
    <w:rsid w:val="008C3FE4"/>
    <w:rsid w:val="008C4079"/>
    <w:rsid w:val="008C4509"/>
    <w:rsid w:val="008C49D3"/>
    <w:rsid w:val="008C4D90"/>
    <w:rsid w:val="008C4E0D"/>
    <w:rsid w:val="008C4FC7"/>
    <w:rsid w:val="008C5558"/>
    <w:rsid w:val="008C5A73"/>
    <w:rsid w:val="008C5A9A"/>
    <w:rsid w:val="008C5ABB"/>
    <w:rsid w:val="008C6642"/>
    <w:rsid w:val="008C6AFD"/>
    <w:rsid w:val="008C7384"/>
    <w:rsid w:val="008C73E5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BAE"/>
    <w:rsid w:val="008D3BFF"/>
    <w:rsid w:val="008D4FE9"/>
    <w:rsid w:val="008D5006"/>
    <w:rsid w:val="008D506E"/>
    <w:rsid w:val="008D555B"/>
    <w:rsid w:val="008D5C17"/>
    <w:rsid w:val="008D5C6C"/>
    <w:rsid w:val="008D604E"/>
    <w:rsid w:val="008D6079"/>
    <w:rsid w:val="008D673A"/>
    <w:rsid w:val="008D6A06"/>
    <w:rsid w:val="008D6B77"/>
    <w:rsid w:val="008D6E32"/>
    <w:rsid w:val="008D6E97"/>
    <w:rsid w:val="008D6FA9"/>
    <w:rsid w:val="008E0339"/>
    <w:rsid w:val="008E053E"/>
    <w:rsid w:val="008E0584"/>
    <w:rsid w:val="008E0A31"/>
    <w:rsid w:val="008E13E5"/>
    <w:rsid w:val="008E1506"/>
    <w:rsid w:val="008E235A"/>
    <w:rsid w:val="008E2D26"/>
    <w:rsid w:val="008E3235"/>
    <w:rsid w:val="008E3532"/>
    <w:rsid w:val="008E354B"/>
    <w:rsid w:val="008E3B39"/>
    <w:rsid w:val="008E3CCB"/>
    <w:rsid w:val="008E3D6D"/>
    <w:rsid w:val="008E4787"/>
    <w:rsid w:val="008E487D"/>
    <w:rsid w:val="008E57FF"/>
    <w:rsid w:val="008E590C"/>
    <w:rsid w:val="008E76D6"/>
    <w:rsid w:val="008E7976"/>
    <w:rsid w:val="008E79D2"/>
    <w:rsid w:val="008E7C84"/>
    <w:rsid w:val="008F02B9"/>
    <w:rsid w:val="008F02FA"/>
    <w:rsid w:val="008F0729"/>
    <w:rsid w:val="008F07FD"/>
    <w:rsid w:val="008F1061"/>
    <w:rsid w:val="008F12B6"/>
    <w:rsid w:val="008F1871"/>
    <w:rsid w:val="008F1AC0"/>
    <w:rsid w:val="008F201A"/>
    <w:rsid w:val="008F2396"/>
    <w:rsid w:val="008F2F44"/>
    <w:rsid w:val="008F305C"/>
    <w:rsid w:val="008F3CB0"/>
    <w:rsid w:val="008F3D09"/>
    <w:rsid w:val="008F4752"/>
    <w:rsid w:val="008F49B2"/>
    <w:rsid w:val="008F4E6D"/>
    <w:rsid w:val="008F555F"/>
    <w:rsid w:val="008F56AB"/>
    <w:rsid w:val="008F5C28"/>
    <w:rsid w:val="008F5D8D"/>
    <w:rsid w:val="008F60C9"/>
    <w:rsid w:val="008F60D6"/>
    <w:rsid w:val="008F63A3"/>
    <w:rsid w:val="008F7776"/>
    <w:rsid w:val="008F7CF9"/>
    <w:rsid w:val="009001EA"/>
    <w:rsid w:val="009010F0"/>
    <w:rsid w:val="0090231B"/>
    <w:rsid w:val="00902480"/>
    <w:rsid w:val="009035B1"/>
    <w:rsid w:val="00903B74"/>
    <w:rsid w:val="00903EFB"/>
    <w:rsid w:val="00904265"/>
    <w:rsid w:val="00904971"/>
    <w:rsid w:val="0090538A"/>
    <w:rsid w:val="00905E57"/>
    <w:rsid w:val="009060DD"/>
    <w:rsid w:val="00906CE0"/>
    <w:rsid w:val="009074A6"/>
    <w:rsid w:val="00907E74"/>
    <w:rsid w:val="00910233"/>
    <w:rsid w:val="00910415"/>
    <w:rsid w:val="00910603"/>
    <w:rsid w:val="00910C2D"/>
    <w:rsid w:val="00910E6B"/>
    <w:rsid w:val="00911777"/>
    <w:rsid w:val="009119AF"/>
    <w:rsid w:val="00912D01"/>
    <w:rsid w:val="00913453"/>
    <w:rsid w:val="00913D4F"/>
    <w:rsid w:val="00913F50"/>
    <w:rsid w:val="009142CD"/>
    <w:rsid w:val="00914449"/>
    <w:rsid w:val="009148C6"/>
    <w:rsid w:val="00915286"/>
    <w:rsid w:val="00915771"/>
    <w:rsid w:val="00915AF5"/>
    <w:rsid w:val="0091631E"/>
    <w:rsid w:val="00916E39"/>
    <w:rsid w:val="00917186"/>
    <w:rsid w:val="009172F8"/>
    <w:rsid w:val="00917EF3"/>
    <w:rsid w:val="009201CD"/>
    <w:rsid w:val="0092050D"/>
    <w:rsid w:val="00920B15"/>
    <w:rsid w:val="00920E29"/>
    <w:rsid w:val="009226CE"/>
    <w:rsid w:val="00922CFE"/>
    <w:rsid w:val="00922E69"/>
    <w:rsid w:val="0092355A"/>
    <w:rsid w:val="0092382F"/>
    <w:rsid w:val="0092467F"/>
    <w:rsid w:val="009249C3"/>
    <w:rsid w:val="00924A70"/>
    <w:rsid w:val="0092560C"/>
    <w:rsid w:val="00925C8C"/>
    <w:rsid w:val="0092624B"/>
    <w:rsid w:val="009266CD"/>
    <w:rsid w:val="00926C4A"/>
    <w:rsid w:val="00927189"/>
    <w:rsid w:val="009274AD"/>
    <w:rsid w:val="009275DF"/>
    <w:rsid w:val="009275FE"/>
    <w:rsid w:val="0092778A"/>
    <w:rsid w:val="009303A4"/>
    <w:rsid w:val="00930636"/>
    <w:rsid w:val="0093089F"/>
    <w:rsid w:val="00930FC6"/>
    <w:rsid w:val="00931758"/>
    <w:rsid w:val="00931E92"/>
    <w:rsid w:val="00931EA7"/>
    <w:rsid w:val="00931FF7"/>
    <w:rsid w:val="009324FE"/>
    <w:rsid w:val="009325DF"/>
    <w:rsid w:val="009329AC"/>
    <w:rsid w:val="00932E9B"/>
    <w:rsid w:val="00933AE4"/>
    <w:rsid w:val="00933CB7"/>
    <w:rsid w:val="00933F9F"/>
    <w:rsid w:val="00934252"/>
    <w:rsid w:val="009347BE"/>
    <w:rsid w:val="00934E61"/>
    <w:rsid w:val="00935197"/>
    <w:rsid w:val="00935A5B"/>
    <w:rsid w:val="00935EE9"/>
    <w:rsid w:val="0093656D"/>
    <w:rsid w:val="00936835"/>
    <w:rsid w:val="00936AA7"/>
    <w:rsid w:val="00940473"/>
    <w:rsid w:val="00940F0B"/>
    <w:rsid w:val="00941567"/>
    <w:rsid w:val="00941986"/>
    <w:rsid w:val="00941A00"/>
    <w:rsid w:val="009422AF"/>
    <w:rsid w:val="00943BF8"/>
    <w:rsid w:val="00944418"/>
    <w:rsid w:val="00944CAC"/>
    <w:rsid w:val="00944DD9"/>
    <w:rsid w:val="00945209"/>
    <w:rsid w:val="00946FE6"/>
    <w:rsid w:val="00947286"/>
    <w:rsid w:val="00947E6B"/>
    <w:rsid w:val="00950178"/>
    <w:rsid w:val="009506B3"/>
    <w:rsid w:val="00950A3B"/>
    <w:rsid w:val="00950BA5"/>
    <w:rsid w:val="00950DF4"/>
    <w:rsid w:val="00952255"/>
    <w:rsid w:val="00952BD1"/>
    <w:rsid w:val="00952E54"/>
    <w:rsid w:val="00953159"/>
    <w:rsid w:val="009531ED"/>
    <w:rsid w:val="009533E9"/>
    <w:rsid w:val="00954161"/>
    <w:rsid w:val="00954593"/>
    <w:rsid w:val="009549F8"/>
    <w:rsid w:val="00954C83"/>
    <w:rsid w:val="00955140"/>
    <w:rsid w:val="00956156"/>
    <w:rsid w:val="009567E2"/>
    <w:rsid w:val="00956958"/>
    <w:rsid w:val="00957D7C"/>
    <w:rsid w:val="0096082E"/>
    <w:rsid w:val="009615D4"/>
    <w:rsid w:val="00961841"/>
    <w:rsid w:val="009620DD"/>
    <w:rsid w:val="00964056"/>
    <w:rsid w:val="0096454C"/>
    <w:rsid w:val="00965555"/>
    <w:rsid w:val="009659EB"/>
    <w:rsid w:val="00966301"/>
    <w:rsid w:val="00966A00"/>
    <w:rsid w:val="00967196"/>
    <w:rsid w:val="00967661"/>
    <w:rsid w:val="0096774F"/>
    <w:rsid w:val="00967870"/>
    <w:rsid w:val="00970556"/>
    <w:rsid w:val="00970B40"/>
    <w:rsid w:val="00970CA0"/>
    <w:rsid w:val="00970DDA"/>
    <w:rsid w:val="0097166A"/>
    <w:rsid w:val="00971D23"/>
    <w:rsid w:val="0097254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FF0"/>
    <w:rsid w:val="00975584"/>
    <w:rsid w:val="009756CC"/>
    <w:rsid w:val="009759C0"/>
    <w:rsid w:val="0097681D"/>
    <w:rsid w:val="00977255"/>
    <w:rsid w:val="009772A7"/>
    <w:rsid w:val="009775C8"/>
    <w:rsid w:val="009778AB"/>
    <w:rsid w:val="00977BB6"/>
    <w:rsid w:val="0098010F"/>
    <w:rsid w:val="00980843"/>
    <w:rsid w:val="009810AE"/>
    <w:rsid w:val="009816CB"/>
    <w:rsid w:val="0098195B"/>
    <w:rsid w:val="00983446"/>
    <w:rsid w:val="009837A2"/>
    <w:rsid w:val="009845C3"/>
    <w:rsid w:val="0098466E"/>
    <w:rsid w:val="009849E2"/>
    <w:rsid w:val="00984C73"/>
    <w:rsid w:val="00984F63"/>
    <w:rsid w:val="009856C8"/>
    <w:rsid w:val="00985C23"/>
    <w:rsid w:val="00985E43"/>
    <w:rsid w:val="00985ED7"/>
    <w:rsid w:val="0098604B"/>
    <w:rsid w:val="00986397"/>
    <w:rsid w:val="0098644B"/>
    <w:rsid w:val="0098705F"/>
    <w:rsid w:val="00987F5F"/>
    <w:rsid w:val="0099005E"/>
    <w:rsid w:val="00990AE9"/>
    <w:rsid w:val="00990B9B"/>
    <w:rsid w:val="00990CFD"/>
    <w:rsid w:val="00991AB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540"/>
    <w:rsid w:val="0099478D"/>
    <w:rsid w:val="00994894"/>
    <w:rsid w:val="00995446"/>
    <w:rsid w:val="00995595"/>
    <w:rsid w:val="009957C8"/>
    <w:rsid w:val="00995E78"/>
    <w:rsid w:val="00995F52"/>
    <w:rsid w:val="009965A8"/>
    <w:rsid w:val="009966F5"/>
    <w:rsid w:val="0099689D"/>
    <w:rsid w:val="00996A07"/>
    <w:rsid w:val="00997024"/>
    <w:rsid w:val="009976A1"/>
    <w:rsid w:val="00997C10"/>
    <w:rsid w:val="009A05B9"/>
    <w:rsid w:val="009A08C5"/>
    <w:rsid w:val="009A15BB"/>
    <w:rsid w:val="009A1B05"/>
    <w:rsid w:val="009A1DC2"/>
    <w:rsid w:val="009A2015"/>
    <w:rsid w:val="009A22A4"/>
    <w:rsid w:val="009A233D"/>
    <w:rsid w:val="009A2A18"/>
    <w:rsid w:val="009A3D33"/>
    <w:rsid w:val="009A3D9F"/>
    <w:rsid w:val="009A3F24"/>
    <w:rsid w:val="009A419B"/>
    <w:rsid w:val="009A4635"/>
    <w:rsid w:val="009A4824"/>
    <w:rsid w:val="009A49CE"/>
    <w:rsid w:val="009A4D0A"/>
    <w:rsid w:val="009A5C7A"/>
    <w:rsid w:val="009A6031"/>
    <w:rsid w:val="009A62BB"/>
    <w:rsid w:val="009A6B74"/>
    <w:rsid w:val="009A6D71"/>
    <w:rsid w:val="009A709B"/>
    <w:rsid w:val="009A73BC"/>
    <w:rsid w:val="009A7DB4"/>
    <w:rsid w:val="009A7F2E"/>
    <w:rsid w:val="009B035B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836"/>
    <w:rsid w:val="009B48D6"/>
    <w:rsid w:val="009B4DE8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78D"/>
    <w:rsid w:val="009B7A6F"/>
    <w:rsid w:val="009C0467"/>
    <w:rsid w:val="009C08C4"/>
    <w:rsid w:val="009C092A"/>
    <w:rsid w:val="009C0AB2"/>
    <w:rsid w:val="009C1327"/>
    <w:rsid w:val="009C1DE2"/>
    <w:rsid w:val="009C1FE1"/>
    <w:rsid w:val="009C22A3"/>
    <w:rsid w:val="009C2936"/>
    <w:rsid w:val="009C293C"/>
    <w:rsid w:val="009C2DC6"/>
    <w:rsid w:val="009C3422"/>
    <w:rsid w:val="009C3B62"/>
    <w:rsid w:val="009C3BB1"/>
    <w:rsid w:val="009C4895"/>
    <w:rsid w:val="009C537A"/>
    <w:rsid w:val="009C53BA"/>
    <w:rsid w:val="009C5668"/>
    <w:rsid w:val="009C58F0"/>
    <w:rsid w:val="009C63B1"/>
    <w:rsid w:val="009C7E0D"/>
    <w:rsid w:val="009D05E0"/>
    <w:rsid w:val="009D05EA"/>
    <w:rsid w:val="009D0D6D"/>
    <w:rsid w:val="009D0EA5"/>
    <w:rsid w:val="009D1315"/>
    <w:rsid w:val="009D17D5"/>
    <w:rsid w:val="009D18CF"/>
    <w:rsid w:val="009D1A72"/>
    <w:rsid w:val="009D1FC3"/>
    <w:rsid w:val="009D27E7"/>
    <w:rsid w:val="009D2B06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76F3"/>
    <w:rsid w:val="009D7A34"/>
    <w:rsid w:val="009D7A42"/>
    <w:rsid w:val="009D7EE1"/>
    <w:rsid w:val="009E03CD"/>
    <w:rsid w:val="009E0927"/>
    <w:rsid w:val="009E0952"/>
    <w:rsid w:val="009E0B67"/>
    <w:rsid w:val="009E0DB3"/>
    <w:rsid w:val="009E10AF"/>
    <w:rsid w:val="009E1B5E"/>
    <w:rsid w:val="009E2379"/>
    <w:rsid w:val="009E260C"/>
    <w:rsid w:val="009E263B"/>
    <w:rsid w:val="009E30FD"/>
    <w:rsid w:val="009E380A"/>
    <w:rsid w:val="009E3EC0"/>
    <w:rsid w:val="009E441B"/>
    <w:rsid w:val="009E46B7"/>
    <w:rsid w:val="009E4E08"/>
    <w:rsid w:val="009E4EF1"/>
    <w:rsid w:val="009E4FA2"/>
    <w:rsid w:val="009E510D"/>
    <w:rsid w:val="009E569B"/>
    <w:rsid w:val="009E647E"/>
    <w:rsid w:val="009E6804"/>
    <w:rsid w:val="009E70BD"/>
    <w:rsid w:val="009E783D"/>
    <w:rsid w:val="009E7B85"/>
    <w:rsid w:val="009E7BB3"/>
    <w:rsid w:val="009F05BE"/>
    <w:rsid w:val="009F09F7"/>
    <w:rsid w:val="009F0A54"/>
    <w:rsid w:val="009F145A"/>
    <w:rsid w:val="009F24A6"/>
    <w:rsid w:val="009F2D6A"/>
    <w:rsid w:val="009F3953"/>
    <w:rsid w:val="009F395C"/>
    <w:rsid w:val="009F3B18"/>
    <w:rsid w:val="009F3FF0"/>
    <w:rsid w:val="009F411A"/>
    <w:rsid w:val="009F44FC"/>
    <w:rsid w:val="009F48E9"/>
    <w:rsid w:val="009F4D17"/>
    <w:rsid w:val="009F4DE4"/>
    <w:rsid w:val="009F5142"/>
    <w:rsid w:val="009F51B9"/>
    <w:rsid w:val="009F563D"/>
    <w:rsid w:val="009F59B9"/>
    <w:rsid w:val="009F655C"/>
    <w:rsid w:val="009F6A97"/>
    <w:rsid w:val="009F6F9E"/>
    <w:rsid w:val="009F70B1"/>
    <w:rsid w:val="00A00155"/>
    <w:rsid w:val="00A00F96"/>
    <w:rsid w:val="00A016AB"/>
    <w:rsid w:val="00A0195F"/>
    <w:rsid w:val="00A02341"/>
    <w:rsid w:val="00A029AF"/>
    <w:rsid w:val="00A029DE"/>
    <w:rsid w:val="00A035AA"/>
    <w:rsid w:val="00A03884"/>
    <w:rsid w:val="00A03D1B"/>
    <w:rsid w:val="00A040BB"/>
    <w:rsid w:val="00A043FD"/>
    <w:rsid w:val="00A051CE"/>
    <w:rsid w:val="00A05439"/>
    <w:rsid w:val="00A057D1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25C3"/>
    <w:rsid w:val="00A12D40"/>
    <w:rsid w:val="00A12E19"/>
    <w:rsid w:val="00A1370F"/>
    <w:rsid w:val="00A13C93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EA"/>
    <w:rsid w:val="00A22392"/>
    <w:rsid w:val="00A22C2C"/>
    <w:rsid w:val="00A22CA2"/>
    <w:rsid w:val="00A22DC6"/>
    <w:rsid w:val="00A2378E"/>
    <w:rsid w:val="00A2384A"/>
    <w:rsid w:val="00A23A0E"/>
    <w:rsid w:val="00A2429F"/>
    <w:rsid w:val="00A24BB2"/>
    <w:rsid w:val="00A24DD5"/>
    <w:rsid w:val="00A2505A"/>
    <w:rsid w:val="00A251BC"/>
    <w:rsid w:val="00A25A33"/>
    <w:rsid w:val="00A25ECC"/>
    <w:rsid w:val="00A2658C"/>
    <w:rsid w:val="00A27110"/>
    <w:rsid w:val="00A2748A"/>
    <w:rsid w:val="00A27BD1"/>
    <w:rsid w:val="00A3057A"/>
    <w:rsid w:val="00A306A1"/>
    <w:rsid w:val="00A30A51"/>
    <w:rsid w:val="00A30BDA"/>
    <w:rsid w:val="00A30D29"/>
    <w:rsid w:val="00A31103"/>
    <w:rsid w:val="00A31274"/>
    <w:rsid w:val="00A31B7A"/>
    <w:rsid w:val="00A3309C"/>
    <w:rsid w:val="00A33520"/>
    <w:rsid w:val="00A338E0"/>
    <w:rsid w:val="00A34B90"/>
    <w:rsid w:val="00A34D92"/>
    <w:rsid w:val="00A35635"/>
    <w:rsid w:val="00A358E2"/>
    <w:rsid w:val="00A35D1F"/>
    <w:rsid w:val="00A35F6B"/>
    <w:rsid w:val="00A3611A"/>
    <w:rsid w:val="00A36121"/>
    <w:rsid w:val="00A36421"/>
    <w:rsid w:val="00A36A0C"/>
    <w:rsid w:val="00A374E1"/>
    <w:rsid w:val="00A3776F"/>
    <w:rsid w:val="00A378A0"/>
    <w:rsid w:val="00A40080"/>
    <w:rsid w:val="00A418A9"/>
    <w:rsid w:val="00A42391"/>
    <w:rsid w:val="00A42EBC"/>
    <w:rsid w:val="00A441C0"/>
    <w:rsid w:val="00A447E5"/>
    <w:rsid w:val="00A44C0B"/>
    <w:rsid w:val="00A450B6"/>
    <w:rsid w:val="00A45312"/>
    <w:rsid w:val="00A45F63"/>
    <w:rsid w:val="00A46065"/>
    <w:rsid w:val="00A46ED6"/>
    <w:rsid w:val="00A47213"/>
    <w:rsid w:val="00A47B14"/>
    <w:rsid w:val="00A50072"/>
    <w:rsid w:val="00A503BA"/>
    <w:rsid w:val="00A5064A"/>
    <w:rsid w:val="00A5133F"/>
    <w:rsid w:val="00A51F6A"/>
    <w:rsid w:val="00A527FB"/>
    <w:rsid w:val="00A52EE5"/>
    <w:rsid w:val="00A53727"/>
    <w:rsid w:val="00A53B31"/>
    <w:rsid w:val="00A53C00"/>
    <w:rsid w:val="00A5442E"/>
    <w:rsid w:val="00A5459B"/>
    <w:rsid w:val="00A548FC"/>
    <w:rsid w:val="00A54B4A"/>
    <w:rsid w:val="00A55178"/>
    <w:rsid w:val="00A56530"/>
    <w:rsid w:val="00A56556"/>
    <w:rsid w:val="00A56ADF"/>
    <w:rsid w:val="00A5711F"/>
    <w:rsid w:val="00A576DD"/>
    <w:rsid w:val="00A57CAE"/>
    <w:rsid w:val="00A602FE"/>
    <w:rsid w:val="00A60482"/>
    <w:rsid w:val="00A606FF"/>
    <w:rsid w:val="00A60741"/>
    <w:rsid w:val="00A60A76"/>
    <w:rsid w:val="00A60BFD"/>
    <w:rsid w:val="00A60FAB"/>
    <w:rsid w:val="00A61468"/>
    <w:rsid w:val="00A61490"/>
    <w:rsid w:val="00A62DC5"/>
    <w:rsid w:val="00A62F47"/>
    <w:rsid w:val="00A63148"/>
    <w:rsid w:val="00A63E00"/>
    <w:rsid w:val="00A640B7"/>
    <w:rsid w:val="00A643D7"/>
    <w:rsid w:val="00A64538"/>
    <w:rsid w:val="00A6468F"/>
    <w:rsid w:val="00A65543"/>
    <w:rsid w:val="00A65BF3"/>
    <w:rsid w:val="00A65E56"/>
    <w:rsid w:val="00A65ED9"/>
    <w:rsid w:val="00A66146"/>
    <w:rsid w:val="00A66822"/>
    <w:rsid w:val="00A66898"/>
    <w:rsid w:val="00A6718B"/>
    <w:rsid w:val="00A67483"/>
    <w:rsid w:val="00A70766"/>
    <w:rsid w:val="00A70E58"/>
    <w:rsid w:val="00A712C5"/>
    <w:rsid w:val="00A7132E"/>
    <w:rsid w:val="00A7133C"/>
    <w:rsid w:val="00A7172A"/>
    <w:rsid w:val="00A7289D"/>
    <w:rsid w:val="00A729DA"/>
    <w:rsid w:val="00A72A0F"/>
    <w:rsid w:val="00A72E8A"/>
    <w:rsid w:val="00A73170"/>
    <w:rsid w:val="00A733F4"/>
    <w:rsid w:val="00A73410"/>
    <w:rsid w:val="00A73677"/>
    <w:rsid w:val="00A748CD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71D"/>
    <w:rsid w:val="00A77965"/>
    <w:rsid w:val="00A77A64"/>
    <w:rsid w:val="00A77DCA"/>
    <w:rsid w:val="00A803D7"/>
    <w:rsid w:val="00A80D28"/>
    <w:rsid w:val="00A80E3D"/>
    <w:rsid w:val="00A8124B"/>
    <w:rsid w:val="00A81DD1"/>
    <w:rsid w:val="00A81DFE"/>
    <w:rsid w:val="00A81E67"/>
    <w:rsid w:val="00A828DF"/>
    <w:rsid w:val="00A82C17"/>
    <w:rsid w:val="00A82F3F"/>
    <w:rsid w:val="00A8303D"/>
    <w:rsid w:val="00A83293"/>
    <w:rsid w:val="00A835FD"/>
    <w:rsid w:val="00A83C03"/>
    <w:rsid w:val="00A83D00"/>
    <w:rsid w:val="00A83D39"/>
    <w:rsid w:val="00A83E0B"/>
    <w:rsid w:val="00A84009"/>
    <w:rsid w:val="00A8404F"/>
    <w:rsid w:val="00A843DB"/>
    <w:rsid w:val="00A844A6"/>
    <w:rsid w:val="00A84B98"/>
    <w:rsid w:val="00A85480"/>
    <w:rsid w:val="00A85CF8"/>
    <w:rsid w:val="00A85FCF"/>
    <w:rsid w:val="00A868A7"/>
    <w:rsid w:val="00A86E59"/>
    <w:rsid w:val="00A873BE"/>
    <w:rsid w:val="00A87942"/>
    <w:rsid w:val="00A87B8A"/>
    <w:rsid w:val="00A87D70"/>
    <w:rsid w:val="00A87EF4"/>
    <w:rsid w:val="00A902F7"/>
    <w:rsid w:val="00A90B59"/>
    <w:rsid w:val="00A90E29"/>
    <w:rsid w:val="00A90F4D"/>
    <w:rsid w:val="00A912FB"/>
    <w:rsid w:val="00A91BAD"/>
    <w:rsid w:val="00A92343"/>
    <w:rsid w:val="00A928F1"/>
    <w:rsid w:val="00A930E8"/>
    <w:rsid w:val="00A9362F"/>
    <w:rsid w:val="00A93E81"/>
    <w:rsid w:val="00A9444A"/>
    <w:rsid w:val="00A94D84"/>
    <w:rsid w:val="00A9566D"/>
    <w:rsid w:val="00A95814"/>
    <w:rsid w:val="00A95B47"/>
    <w:rsid w:val="00A95FB6"/>
    <w:rsid w:val="00A960E9"/>
    <w:rsid w:val="00A963D7"/>
    <w:rsid w:val="00A9752D"/>
    <w:rsid w:val="00A97AC9"/>
    <w:rsid w:val="00A97C2E"/>
    <w:rsid w:val="00AA00DA"/>
    <w:rsid w:val="00AA0AD1"/>
    <w:rsid w:val="00AA0DE2"/>
    <w:rsid w:val="00AA0DE3"/>
    <w:rsid w:val="00AA0EB2"/>
    <w:rsid w:val="00AA1A3F"/>
    <w:rsid w:val="00AA1D5E"/>
    <w:rsid w:val="00AA2CF8"/>
    <w:rsid w:val="00AA2E20"/>
    <w:rsid w:val="00AA2F6B"/>
    <w:rsid w:val="00AA3370"/>
    <w:rsid w:val="00AA34B7"/>
    <w:rsid w:val="00AA3F65"/>
    <w:rsid w:val="00AA4669"/>
    <w:rsid w:val="00AA4991"/>
    <w:rsid w:val="00AA49DC"/>
    <w:rsid w:val="00AA59D2"/>
    <w:rsid w:val="00AA6DF3"/>
    <w:rsid w:val="00AA74B3"/>
    <w:rsid w:val="00AA78D0"/>
    <w:rsid w:val="00AA799C"/>
    <w:rsid w:val="00AA7DEF"/>
    <w:rsid w:val="00AB071C"/>
    <w:rsid w:val="00AB14E2"/>
    <w:rsid w:val="00AB19C7"/>
    <w:rsid w:val="00AB2537"/>
    <w:rsid w:val="00AB25B1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5D1"/>
    <w:rsid w:val="00AB564E"/>
    <w:rsid w:val="00AB5D0E"/>
    <w:rsid w:val="00AB5E5A"/>
    <w:rsid w:val="00AB67A6"/>
    <w:rsid w:val="00AB6D2B"/>
    <w:rsid w:val="00AB6FCF"/>
    <w:rsid w:val="00AB764C"/>
    <w:rsid w:val="00AC0606"/>
    <w:rsid w:val="00AC068B"/>
    <w:rsid w:val="00AC0C99"/>
    <w:rsid w:val="00AC15AC"/>
    <w:rsid w:val="00AC16C6"/>
    <w:rsid w:val="00AC1B0A"/>
    <w:rsid w:val="00AC1CD3"/>
    <w:rsid w:val="00AC23B4"/>
    <w:rsid w:val="00AC25F5"/>
    <w:rsid w:val="00AC29C2"/>
    <w:rsid w:val="00AC2F17"/>
    <w:rsid w:val="00AC2F31"/>
    <w:rsid w:val="00AC350E"/>
    <w:rsid w:val="00AC3FA8"/>
    <w:rsid w:val="00AC41E6"/>
    <w:rsid w:val="00AC49C1"/>
    <w:rsid w:val="00AC4C30"/>
    <w:rsid w:val="00AC4FC0"/>
    <w:rsid w:val="00AC5655"/>
    <w:rsid w:val="00AC6386"/>
    <w:rsid w:val="00AC69F1"/>
    <w:rsid w:val="00AC6BC2"/>
    <w:rsid w:val="00AC6E54"/>
    <w:rsid w:val="00AC6FE9"/>
    <w:rsid w:val="00AC714F"/>
    <w:rsid w:val="00AC7203"/>
    <w:rsid w:val="00AC7C99"/>
    <w:rsid w:val="00AD02E8"/>
    <w:rsid w:val="00AD0478"/>
    <w:rsid w:val="00AD058D"/>
    <w:rsid w:val="00AD07E5"/>
    <w:rsid w:val="00AD09F5"/>
    <w:rsid w:val="00AD10AC"/>
    <w:rsid w:val="00AD121F"/>
    <w:rsid w:val="00AD1651"/>
    <w:rsid w:val="00AD1F23"/>
    <w:rsid w:val="00AD1F8F"/>
    <w:rsid w:val="00AD216A"/>
    <w:rsid w:val="00AD2370"/>
    <w:rsid w:val="00AD24D5"/>
    <w:rsid w:val="00AD2D15"/>
    <w:rsid w:val="00AD2DCE"/>
    <w:rsid w:val="00AD3325"/>
    <w:rsid w:val="00AD34D5"/>
    <w:rsid w:val="00AD3898"/>
    <w:rsid w:val="00AD38A5"/>
    <w:rsid w:val="00AD40CC"/>
    <w:rsid w:val="00AD4478"/>
    <w:rsid w:val="00AD48C5"/>
    <w:rsid w:val="00AD4E00"/>
    <w:rsid w:val="00AD4E09"/>
    <w:rsid w:val="00AD54B9"/>
    <w:rsid w:val="00AD54F9"/>
    <w:rsid w:val="00AD5A9A"/>
    <w:rsid w:val="00AD5C0B"/>
    <w:rsid w:val="00AD65E7"/>
    <w:rsid w:val="00AD750F"/>
    <w:rsid w:val="00AE0A26"/>
    <w:rsid w:val="00AE1114"/>
    <w:rsid w:val="00AE1C77"/>
    <w:rsid w:val="00AE21F7"/>
    <w:rsid w:val="00AE2234"/>
    <w:rsid w:val="00AE2BC1"/>
    <w:rsid w:val="00AE3706"/>
    <w:rsid w:val="00AE448A"/>
    <w:rsid w:val="00AE4547"/>
    <w:rsid w:val="00AE482E"/>
    <w:rsid w:val="00AE60A2"/>
    <w:rsid w:val="00AE6120"/>
    <w:rsid w:val="00AE65D3"/>
    <w:rsid w:val="00AE693B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2CA7"/>
    <w:rsid w:val="00AF3067"/>
    <w:rsid w:val="00AF325D"/>
    <w:rsid w:val="00AF3628"/>
    <w:rsid w:val="00AF3660"/>
    <w:rsid w:val="00AF375E"/>
    <w:rsid w:val="00AF38E6"/>
    <w:rsid w:val="00AF3C74"/>
    <w:rsid w:val="00AF4348"/>
    <w:rsid w:val="00AF4800"/>
    <w:rsid w:val="00AF4F4A"/>
    <w:rsid w:val="00AF4FD1"/>
    <w:rsid w:val="00AF547B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B00130"/>
    <w:rsid w:val="00B01198"/>
    <w:rsid w:val="00B015F8"/>
    <w:rsid w:val="00B0164A"/>
    <w:rsid w:val="00B01C53"/>
    <w:rsid w:val="00B01CD4"/>
    <w:rsid w:val="00B01F55"/>
    <w:rsid w:val="00B0235D"/>
    <w:rsid w:val="00B03ED3"/>
    <w:rsid w:val="00B03F6F"/>
    <w:rsid w:val="00B04800"/>
    <w:rsid w:val="00B04C36"/>
    <w:rsid w:val="00B04C87"/>
    <w:rsid w:val="00B05122"/>
    <w:rsid w:val="00B056E3"/>
    <w:rsid w:val="00B057AD"/>
    <w:rsid w:val="00B05CC2"/>
    <w:rsid w:val="00B06138"/>
    <w:rsid w:val="00B0616C"/>
    <w:rsid w:val="00B066F3"/>
    <w:rsid w:val="00B067F0"/>
    <w:rsid w:val="00B067F2"/>
    <w:rsid w:val="00B06FA1"/>
    <w:rsid w:val="00B07728"/>
    <w:rsid w:val="00B07E74"/>
    <w:rsid w:val="00B104C0"/>
    <w:rsid w:val="00B10C15"/>
    <w:rsid w:val="00B118F8"/>
    <w:rsid w:val="00B127BF"/>
    <w:rsid w:val="00B12AE6"/>
    <w:rsid w:val="00B133BE"/>
    <w:rsid w:val="00B13665"/>
    <w:rsid w:val="00B1413A"/>
    <w:rsid w:val="00B146A6"/>
    <w:rsid w:val="00B14E23"/>
    <w:rsid w:val="00B1502A"/>
    <w:rsid w:val="00B15AE4"/>
    <w:rsid w:val="00B15EF2"/>
    <w:rsid w:val="00B15F13"/>
    <w:rsid w:val="00B164C8"/>
    <w:rsid w:val="00B165CB"/>
    <w:rsid w:val="00B17550"/>
    <w:rsid w:val="00B206F5"/>
    <w:rsid w:val="00B20ACD"/>
    <w:rsid w:val="00B20E5B"/>
    <w:rsid w:val="00B21528"/>
    <w:rsid w:val="00B22466"/>
    <w:rsid w:val="00B2274C"/>
    <w:rsid w:val="00B23473"/>
    <w:rsid w:val="00B23544"/>
    <w:rsid w:val="00B23949"/>
    <w:rsid w:val="00B23F95"/>
    <w:rsid w:val="00B2467B"/>
    <w:rsid w:val="00B24C29"/>
    <w:rsid w:val="00B24E76"/>
    <w:rsid w:val="00B24EEC"/>
    <w:rsid w:val="00B26935"/>
    <w:rsid w:val="00B27345"/>
    <w:rsid w:val="00B27889"/>
    <w:rsid w:val="00B27EE8"/>
    <w:rsid w:val="00B30161"/>
    <w:rsid w:val="00B308A1"/>
    <w:rsid w:val="00B30A85"/>
    <w:rsid w:val="00B31204"/>
    <w:rsid w:val="00B3132D"/>
    <w:rsid w:val="00B31A5E"/>
    <w:rsid w:val="00B320D5"/>
    <w:rsid w:val="00B326BC"/>
    <w:rsid w:val="00B32FCE"/>
    <w:rsid w:val="00B335CA"/>
    <w:rsid w:val="00B33D00"/>
    <w:rsid w:val="00B342B9"/>
    <w:rsid w:val="00B34995"/>
    <w:rsid w:val="00B34F50"/>
    <w:rsid w:val="00B35281"/>
    <w:rsid w:val="00B356CE"/>
    <w:rsid w:val="00B35B72"/>
    <w:rsid w:val="00B36612"/>
    <w:rsid w:val="00B37B60"/>
    <w:rsid w:val="00B37E6C"/>
    <w:rsid w:val="00B40017"/>
    <w:rsid w:val="00B40FA2"/>
    <w:rsid w:val="00B4128B"/>
    <w:rsid w:val="00B41C4B"/>
    <w:rsid w:val="00B4220C"/>
    <w:rsid w:val="00B4283F"/>
    <w:rsid w:val="00B4366C"/>
    <w:rsid w:val="00B439DD"/>
    <w:rsid w:val="00B43B9D"/>
    <w:rsid w:val="00B43C5D"/>
    <w:rsid w:val="00B447B6"/>
    <w:rsid w:val="00B44F5C"/>
    <w:rsid w:val="00B451A5"/>
    <w:rsid w:val="00B45342"/>
    <w:rsid w:val="00B46099"/>
    <w:rsid w:val="00B4633E"/>
    <w:rsid w:val="00B46528"/>
    <w:rsid w:val="00B46B9B"/>
    <w:rsid w:val="00B470A4"/>
    <w:rsid w:val="00B4758C"/>
    <w:rsid w:val="00B479B3"/>
    <w:rsid w:val="00B47CC8"/>
    <w:rsid w:val="00B47E77"/>
    <w:rsid w:val="00B47FC0"/>
    <w:rsid w:val="00B502F3"/>
    <w:rsid w:val="00B502FF"/>
    <w:rsid w:val="00B50C28"/>
    <w:rsid w:val="00B5118B"/>
    <w:rsid w:val="00B51808"/>
    <w:rsid w:val="00B5190C"/>
    <w:rsid w:val="00B51A18"/>
    <w:rsid w:val="00B51FED"/>
    <w:rsid w:val="00B52181"/>
    <w:rsid w:val="00B52876"/>
    <w:rsid w:val="00B531BB"/>
    <w:rsid w:val="00B53588"/>
    <w:rsid w:val="00B535A4"/>
    <w:rsid w:val="00B54085"/>
    <w:rsid w:val="00B554C3"/>
    <w:rsid w:val="00B558A1"/>
    <w:rsid w:val="00B55F42"/>
    <w:rsid w:val="00B5612D"/>
    <w:rsid w:val="00B5672B"/>
    <w:rsid w:val="00B56872"/>
    <w:rsid w:val="00B56AC6"/>
    <w:rsid w:val="00B56D7D"/>
    <w:rsid w:val="00B574F8"/>
    <w:rsid w:val="00B579E0"/>
    <w:rsid w:val="00B57C3E"/>
    <w:rsid w:val="00B57DA1"/>
    <w:rsid w:val="00B605A8"/>
    <w:rsid w:val="00B606C3"/>
    <w:rsid w:val="00B60B36"/>
    <w:rsid w:val="00B61000"/>
    <w:rsid w:val="00B61354"/>
    <w:rsid w:val="00B61E3A"/>
    <w:rsid w:val="00B61EAD"/>
    <w:rsid w:val="00B62723"/>
    <w:rsid w:val="00B628DA"/>
    <w:rsid w:val="00B63343"/>
    <w:rsid w:val="00B633CC"/>
    <w:rsid w:val="00B6394D"/>
    <w:rsid w:val="00B63B9E"/>
    <w:rsid w:val="00B64281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67"/>
    <w:rsid w:val="00B67BA4"/>
    <w:rsid w:val="00B67BCC"/>
    <w:rsid w:val="00B70472"/>
    <w:rsid w:val="00B70F84"/>
    <w:rsid w:val="00B70FDB"/>
    <w:rsid w:val="00B71151"/>
    <w:rsid w:val="00B71D3A"/>
    <w:rsid w:val="00B72B49"/>
    <w:rsid w:val="00B72C8E"/>
    <w:rsid w:val="00B735FC"/>
    <w:rsid w:val="00B7396C"/>
    <w:rsid w:val="00B73FBC"/>
    <w:rsid w:val="00B7552C"/>
    <w:rsid w:val="00B75847"/>
    <w:rsid w:val="00B7589A"/>
    <w:rsid w:val="00B75B85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6B8"/>
    <w:rsid w:val="00B807A8"/>
    <w:rsid w:val="00B80B1C"/>
    <w:rsid w:val="00B80C3D"/>
    <w:rsid w:val="00B80E21"/>
    <w:rsid w:val="00B80EAF"/>
    <w:rsid w:val="00B80F4B"/>
    <w:rsid w:val="00B8165A"/>
    <w:rsid w:val="00B818AD"/>
    <w:rsid w:val="00B81A97"/>
    <w:rsid w:val="00B81C71"/>
    <w:rsid w:val="00B824D1"/>
    <w:rsid w:val="00B82556"/>
    <w:rsid w:val="00B82B28"/>
    <w:rsid w:val="00B836CD"/>
    <w:rsid w:val="00B84043"/>
    <w:rsid w:val="00B86005"/>
    <w:rsid w:val="00B86159"/>
    <w:rsid w:val="00B86A8B"/>
    <w:rsid w:val="00B86AE5"/>
    <w:rsid w:val="00B86DF1"/>
    <w:rsid w:val="00B870C8"/>
    <w:rsid w:val="00B872F4"/>
    <w:rsid w:val="00B875CE"/>
    <w:rsid w:val="00B87B67"/>
    <w:rsid w:val="00B87F5A"/>
    <w:rsid w:val="00B90098"/>
    <w:rsid w:val="00B90382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C75"/>
    <w:rsid w:val="00BA1D7D"/>
    <w:rsid w:val="00BA1D82"/>
    <w:rsid w:val="00BA2591"/>
    <w:rsid w:val="00BA3822"/>
    <w:rsid w:val="00BA3D19"/>
    <w:rsid w:val="00BA3E01"/>
    <w:rsid w:val="00BA3E05"/>
    <w:rsid w:val="00BA3F7F"/>
    <w:rsid w:val="00BA448F"/>
    <w:rsid w:val="00BA46EA"/>
    <w:rsid w:val="00BA48AD"/>
    <w:rsid w:val="00BA4E14"/>
    <w:rsid w:val="00BA548F"/>
    <w:rsid w:val="00BA5A7A"/>
    <w:rsid w:val="00BA66AE"/>
    <w:rsid w:val="00BB0481"/>
    <w:rsid w:val="00BB04D8"/>
    <w:rsid w:val="00BB0CF4"/>
    <w:rsid w:val="00BB10A5"/>
    <w:rsid w:val="00BB152E"/>
    <w:rsid w:val="00BB15E6"/>
    <w:rsid w:val="00BB1961"/>
    <w:rsid w:val="00BB1A07"/>
    <w:rsid w:val="00BB1A99"/>
    <w:rsid w:val="00BB1AED"/>
    <w:rsid w:val="00BB1DD1"/>
    <w:rsid w:val="00BB242A"/>
    <w:rsid w:val="00BB248A"/>
    <w:rsid w:val="00BB2906"/>
    <w:rsid w:val="00BB2B22"/>
    <w:rsid w:val="00BB2B6D"/>
    <w:rsid w:val="00BB2C3D"/>
    <w:rsid w:val="00BB2C52"/>
    <w:rsid w:val="00BB40EA"/>
    <w:rsid w:val="00BB4136"/>
    <w:rsid w:val="00BB4DD2"/>
    <w:rsid w:val="00BB5C7B"/>
    <w:rsid w:val="00BB60ED"/>
    <w:rsid w:val="00BB6110"/>
    <w:rsid w:val="00BB6185"/>
    <w:rsid w:val="00BB6450"/>
    <w:rsid w:val="00BB6511"/>
    <w:rsid w:val="00BB6975"/>
    <w:rsid w:val="00BB6E31"/>
    <w:rsid w:val="00BB71DA"/>
    <w:rsid w:val="00BB7714"/>
    <w:rsid w:val="00BB7965"/>
    <w:rsid w:val="00BC0C93"/>
    <w:rsid w:val="00BC0E5C"/>
    <w:rsid w:val="00BC1855"/>
    <w:rsid w:val="00BC1ABD"/>
    <w:rsid w:val="00BC26BB"/>
    <w:rsid w:val="00BC2B09"/>
    <w:rsid w:val="00BC3BED"/>
    <w:rsid w:val="00BC3F80"/>
    <w:rsid w:val="00BC4054"/>
    <w:rsid w:val="00BC4B58"/>
    <w:rsid w:val="00BC508E"/>
    <w:rsid w:val="00BC5135"/>
    <w:rsid w:val="00BC52C7"/>
    <w:rsid w:val="00BC5D56"/>
    <w:rsid w:val="00BC5DCC"/>
    <w:rsid w:val="00BC5F5D"/>
    <w:rsid w:val="00BC6451"/>
    <w:rsid w:val="00BC6506"/>
    <w:rsid w:val="00BC6708"/>
    <w:rsid w:val="00BC7CDE"/>
    <w:rsid w:val="00BD04B6"/>
    <w:rsid w:val="00BD0892"/>
    <w:rsid w:val="00BD08EF"/>
    <w:rsid w:val="00BD0E79"/>
    <w:rsid w:val="00BD248A"/>
    <w:rsid w:val="00BD24A9"/>
    <w:rsid w:val="00BD2A28"/>
    <w:rsid w:val="00BD2ED2"/>
    <w:rsid w:val="00BD30CE"/>
    <w:rsid w:val="00BD3187"/>
    <w:rsid w:val="00BD3A6C"/>
    <w:rsid w:val="00BD3F0C"/>
    <w:rsid w:val="00BD3FA9"/>
    <w:rsid w:val="00BD40ED"/>
    <w:rsid w:val="00BD4416"/>
    <w:rsid w:val="00BD4721"/>
    <w:rsid w:val="00BD4B1F"/>
    <w:rsid w:val="00BD5187"/>
    <w:rsid w:val="00BD558C"/>
    <w:rsid w:val="00BD566D"/>
    <w:rsid w:val="00BD638E"/>
    <w:rsid w:val="00BD6A3A"/>
    <w:rsid w:val="00BD7C93"/>
    <w:rsid w:val="00BE09B7"/>
    <w:rsid w:val="00BE0DB9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32FD"/>
    <w:rsid w:val="00BE3629"/>
    <w:rsid w:val="00BE3CE3"/>
    <w:rsid w:val="00BE4769"/>
    <w:rsid w:val="00BE4A72"/>
    <w:rsid w:val="00BE51C0"/>
    <w:rsid w:val="00BE64AD"/>
    <w:rsid w:val="00BE76E1"/>
    <w:rsid w:val="00BE79EB"/>
    <w:rsid w:val="00BF025E"/>
    <w:rsid w:val="00BF04F1"/>
    <w:rsid w:val="00BF09C6"/>
    <w:rsid w:val="00BF0A38"/>
    <w:rsid w:val="00BF0D8A"/>
    <w:rsid w:val="00BF1613"/>
    <w:rsid w:val="00BF1928"/>
    <w:rsid w:val="00BF2005"/>
    <w:rsid w:val="00BF269C"/>
    <w:rsid w:val="00BF2772"/>
    <w:rsid w:val="00BF2A54"/>
    <w:rsid w:val="00BF2B62"/>
    <w:rsid w:val="00BF343C"/>
    <w:rsid w:val="00BF3521"/>
    <w:rsid w:val="00BF3690"/>
    <w:rsid w:val="00BF3836"/>
    <w:rsid w:val="00BF3837"/>
    <w:rsid w:val="00BF3939"/>
    <w:rsid w:val="00BF3C85"/>
    <w:rsid w:val="00BF411B"/>
    <w:rsid w:val="00BF4371"/>
    <w:rsid w:val="00BF47A5"/>
    <w:rsid w:val="00BF4848"/>
    <w:rsid w:val="00BF4860"/>
    <w:rsid w:val="00BF51D4"/>
    <w:rsid w:val="00BF5418"/>
    <w:rsid w:val="00BF63C7"/>
    <w:rsid w:val="00BF63DE"/>
    <w:rsid w:val="00BF70C2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B88"/>
    <w:rsid w:val="00C05BA0"/>
    <w:rsid w:val="00C06A93"/>
    <w:rsid w:val="00C06FBF"/>
    <w:rsid w:val="00C07A3C"/>
    <w:rsid w:val="00C10ACF"/>
    <w:rsid w:val="00C10BD4"/>
    <w:rsid w:val="00C10F38"/>
    <w:rsid w:val="00C11020"/>
    <w:rsid w:val="00C112DF"/>
    <w:rsid w:val="00C11334"/>
    <w:rsid w:val="00C11481"/>
    <w:rsid w:val="00C117BB"/>
    <w:rsid w:val="00C11CA1"/>
    <w:rsid w:val="00C11D4D"/>
    <w:rsid w:val="00C122B0"/>
    <w:rsid w:val="00C126C3"/>
    <w:rsid w:val="00C1342F"/>
    <w:rsid w:val="00C134B2"/>
    <w:rsid w:val="00C137E0"/>
    <w:rsid w:val="00C14C0C"/>
    <w:rsid w:val="00C14FD8"/>
    <w:rsid w:val="00C15999"/>
    <w:rsid w:val="00C15B2F"/>
    <w:rsid w:val="00C1618F"/>
    <w:rsid w:val="00C16D11"/>
    <w:rsid w:val="00C174A6"/>
    <w:rsid w:val="00C1783A"/>
    <w:rsid w:val="00C17B19"/>
    <w:rsid w:val="00C17EE6"/>
    <w:rsid w:val="00C20026"/>
    <w:rsid w:val="00C2085A"/>
    <w:rsid w:val="00C2116D"/>
    <w:rsid w:val="00C223F5"/>
    <w:rsid w:val="00C23636"/>
    <w:rsid w:val="00C23CB5"/>
    <w:rsid w:val="00C23FD4"/>
    <w:rsid w:val="00C2411F"/>
    <w:rsid w:val="00C24248"/>
    <w:rsid w:val="00C25105"/>
    <w:rsid w:val="00C2522E"/>
    <w:rsid w:val="00C257A3"/>
    <w:rsid w:val="00C26036"/>
    <w:rsid w:val="00C26C57"/>
    <w:rsid w:val="00C26CE6"/>
    <w:rsid w:val="00C277C4"/>
    <w:rsid w:val="00C278BC"/>
    <w:rsid w:val="00C27BAF"/>
    <w:rsid w:val="00C300AF"/>
    <w:rsid w:val="00C30179"/>
    <w:rsid w:val="00C3029C"/>
    <w:rsid w:val="00C303E7"/>
    <w:rsid w:val="00C305D2"/>
    <w:rsid w:val="00C306D4"/>
    <w:rsid w:val="00C30725"/>
    <w:rsid w:val="00C30AE8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B67"/>
    <w:rsid w:val="00C36F34"/>
    <w:rsid w:val="00C37493"/>
    <w:rsid w:val="00C37A58"/>
    <w:rsid w:val="00C37CE2"/>
    <w:rsid w:val="00C4020E"/>
    <w:rsid w:val="00C404D2"/>
    <w:rsid w:val="00C40642"/>
    <w:rsid w:val="00C40A54"/>
    <w:rsid w:val="00C41298"/>
    <w:rsid w:val="00C41399"/>
    <w:rsid w:val="00C41F76"/>
    <w:rsid w:val="00C42A47"/>
    <w:rsid w:val="00C42C9D"/>
    <w:rsid w:val="00C42F0C"/>
    <w:rsid w:val="00C439AF"/>
    <w:rsid w:val="00C440AD"/>
    <w:rsid w:val="00C4463F"/>
    <w:rsid w:val="00C44857"/>
    <w:rsid w:val="00C448AB"/>
    <w:rsid w:val="00C449A8"/>
    <w:rsid w:val="00C44F40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829"/>
    <w:rsid w:val="00C4685F"/>
    <w:rsid w:val="00C4689D"/>
    <w:rsid w:val="00C46C20"/>
    <w:rsid w:val="00C46CD0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CF9"/>
    <w:rsid w:val="00C51F22"/>
    <w:rsid w:val="00C52544"/>
    <w:rsid w:val="00C525A8"/>
    <w:rsid w:val="00C52DB5"/>
    <w:rsid w:val="00C52E9D"/>
    <w:rsid w:val="00C52F07"/>
    <w:rsid w:val="00C53CA4"/>
    <w:rsid w:val="00C53D6A"/>
    <w:rsid w:val="00C53ED6"/>
    <w:rsid w:val="00C54CCD"/>
    <w:rsid w:val="00C5542A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419E"/>
    <w:rsid w:val="00C6425A"/>
    <w:rsid w:val="00C6552C"/>
    <w:rsid w:val="00C656BE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3B39"/>
    <w:rsid w:val="00C7480B"/>
    <w:rsid w:val="00C7542F"/>
    <w:rsid w:val="00C75580"/>
    <w:rsid w:val="00C75F66"/>
    <w:rsid w:val="00C76560"/>
    <w:rsid w:val="00C76C58"/>
    <w:rsid w:val="00C76E96"/>
    <w:rsid w:val="00C76F2C"/>
    <w:rsid w:val="00C772DA"/>
    <w:rsid w:val="00C776EF"/>
    <w:rsid w:val="00C8068A"/>
    <w:rsid w:val="00C812B6"/>
    <w:rsid w:val="00C81BC4"/>
    <w:rsid w:val="00C81C54"/>
    <w:rsid w:val="00C81E0C"/>
    <w:rsid w:val="00C829D7"/>
    <w:rsid w:val="00C82BDF"/>
    <w:rsid w:val="00C82CEC"/>
    <w:rsid w:val="00C83003"/>
    <w:rsid w:val="00C83473"/>
    <w:rsid w:val="00C839B7"/>
    <w:rsid w:val="00C85085"/>
    <w:rsid w:val="00C851E9"/>
    <w:rsid w:val="00C85371"/>
    <w:rsid w:val="00C8570E"/>
    <w:rsid w:val="00C85BEE"/>
    <w:rsid w:val="00C8613F"/>
    <w:rsid w:val="00C86312"/>
    <w:rsid w:val="00C87491"/>
    <w:rsid w:val="00C874C5"/>
    <w:rsid w:val="00C87DCD"/>
    <w:rsid w:val="00C901CB"/>
    <w:rsid w:val="00C91245"/>
    <w:rsid w:val="00C912AC"/>
    <w:rsid w:val="00C91FB8"/>
    <w:rsid w:val="00C9211E"/>
    <w:rsid w:val="00C9252C"/>
    <w:rsid w:val="00C926E9"/>
    <w:rsid w:val="00C92DC9"/>
    <w:rsid w:val="00C93B05"/>
    <w:rsid w:val="00C93E32"/>
    <w:rsid w:val="00C947CD"/>
    <w:rsid w:val="00C949AA"/>
    <w:rsid w:val="00C94E63"/>
    <w:rsid w:val="00C95A02"/>
    <w:rsid w:val="00C9645B"/>
    <w:rsid w:val="00C964D3"/>
    <w:rsid w:val="00C96E17"/>
    <w:rsid w:val="00C96F0D"/>
    <w:rsid w:val="00C9705B"/>
    <w:rsid w:val="00C979BA"/>
    <w:rsid w:val="00C97E7E"/>
    <w:rsid w:val="00C97F66"/>
    <w:rsid w:val="00CA1441"/>
    <w:rsid w:val="00CA17EE"/>
    <w:rsid w:val="00CA383D"/>
    <w:rsid w:val="00CA3DA0"/>
    <w:rsid w:val="00CA41AB"/>
    <w:rsid w:val="00CA51D1"/>
    <w:rsid w:val="00CA5BA1"/>
    <w:rsid w:val="00CA7674"/>
    <w:rsid w:val="00CA7A95"/>
    <w:rsid w:val="00CA7B6B"/>
    <w:rsid w:val="00CA7F27"/>
    <w:rsid w:val="00CB0444"/>
    <w:rsid w:val="00CB05B7"/>
    <w:rsid w:val="00CB06DC"/>
    <w:rsid w:val="00CB0DDD"/>
    <w:rsid w:val="00CB11C8"/>
    <w:rsid w:val="00CB145D"/>
    <w:rsid w:val="00CB1BC1"/>
    <w:rsid w:val="00CB36FB"/>
    <w:rsid w:val="00CB3A64"/>
    <w:rsid w:val="00CB3AF5"/>
    <w:rsid w:val="00CB4FE5"/>
    <w:rsid w:val="00CB4FFB"/>
    <w:rsid w:val="00CB5D2B"/>
    <w:rsid w:val="00CB72A9"/>
    <w:rsid w:val="00CB72C6"/>
    <w:rsid w:val="00CB74E5"/>
    <w:rsid w:val="00CB7839"/>
    <w:rsid w:val="00CC010F"/>
    <w:rsid w:val="00CC0884"/>
    <w:rsid w:val="00CC10A2"/>
    <w:rsid w:val="00CC10A4"/>
    <w:rsid w:val="00CC10DE"/>
    <w:rsid w:val="00CC19C0"/>
    <w:rsid w:val="00CC2B7C"/>
    <w:rsid w:val="00CC2BE1"/>
    <w:rsid w:val="00CC313A"/>
    <w:rsid w:val="00CC314E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2CE"/>
    <w:rsid w:val="00CC6A93"/>
    <w:rsid w:val="00CC6B1E"/>
    <w:rsid w:val="00CC6F97"/>
    <w:rsid w:val="00CC7601"/>
    <w:rsid w:val="00CC773A"/>
    <w:rsid w:val="00CC778C"/>
    <w:rsid w:val="00CC798E"/>
    <w:rsid w:val="00CC798F"/>
    <w:rsid w:val="00CC7A95"/>
    <w:rsid w:val="00CC7AF4"/>
    <w:rsid w:val="00CD0172"/>
    <w:rsid w:val="00CD0855"/>
    <w:rsid w:val="00CD0D48"/>
    <w:rsid w:val="00CD0F99"/>
    <w:rsid w:val="00CD183E"/>
    <w:rsid w:val="00CD1CA5"/>
    <w:rsid w:val="00CD2A7E"/>
    <w:rsid w:val="00CD2E85"/>
    <w:rsid w:val="00CD3151"/>
    <w:rsid w:val="00CD3258"/>
    <w:rsid w:val="00CD3D86"/>
    <w:rsid w:val="00CD4387"/>
    <w:rsid w:val="00CD45A7"/>
    <w:rsid w:val="00CD4C83"/>
    <w:rsid w:val="00CD50F0"/>
    <w:rsid w:val="00CD5905"/>
    <w:rsid w:val="00CD5A6A"/>
    <w:rsid w:val="00CD6801"/>
    <w:rsid w:val="00CD69B4"/>
    <w:rsid w:val="00CD74CF"/>
    <w:rsid w:val="00CD7CBA"/>
    <w:rsid w:val="00CE02AC"/>
    <w:rsid w:val="00CE0A80"/>
    <w:rsid w:val="00CE0D1C"/>
    <w:rsid w:val="00CE0DA0"/>
    <w:rsid w:val="00CE0DD8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51D2"/>
    <w:rsid w:val="00CE5589"/>
    <w:rsid w:val="00CE56F7"/>
    <w:rsid w:val="00CE5DDB"/>
    <w:rsid w:val="00CE6281"/>
    <w:rsid w:val="00CE6675"/>
    <w:rsid w:val="00CE67FC"/>
    <w:rsid w:val="00CE6857"/>
    <w:rsid w:val="00CE7118"/>
    <w:rsid w:val="00CE77AF"/>
    <w:rsid w:val="00CE7911"/>
    <w:rsid w:val="00CF08A3"/>
    <w:rsid w:val="00CF0CE9"/>
    <w:rsid w:val="00CF10E0"/>
    <w:rsid w:val="00CF148B"/>
    <w:rsid w:val="00CF1948"/>
    <w:rsid w:val="00CF19D0"/>
    <w:rsid w:val="00CF2289"/>
    <w:rsid w:val="00CF26F9"/>
    <w:rsid w:val="00CF2EB2"/>
    <w:rsid w:val="00CF37E0"/>
    <w:rsid w:val="00CF3B16"/>
    <w:rsid w:val="00CF3BC4"/>
    <w:rsid w:val="00CF3DA2"/>
    <w:rsid w:val="00CF40DF"/>
    <w:rsid w:val="00CF430F"/>
    <w:rsid w:val="00CF4533"/>
    <w:rsid w:val="00CF475E"/>
    <w:rsid w:val="00CF507D"/>
    <w:rsid w:val="00CF5163"/>
    <w:rsid w:val="00CF518D"/>
    <w:rsid w:val="00CF5F57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D62"/>
    <w:rsid w:val="00D01DE1"/>
    <w:rsid w:val="00D022B8"/>
    <w:rsid w:val="00D02397"/>
    <w:rsid w:val="00D02BA0"/>
    <w:rsid w:val="00D02D8D"/>
    <w:rsid w:val="00D02E26"/>
    <w:rsid w:val="00D0306A"/>
    <w:rsid w:val="00D0390C"/>
    <w:rsid w:val="00D03CB0"/>
    <w:rsid w:val="00D04A80"/>
    <w:rsid w:val="00D0578E"/>
    <w:rsid w:val="00D05A35"/>
    <w:rsid w:val="00D06131"/>
    <w:rsid w:val="00D062A6"/>
    <w:rsid w:val="00D0667B"/>
    <w:rsid w:val="00D06A95"/>
    <w:rsid w:val="00D07AE2"/>
    <w:rsid w:val="00D07F44"/>
    <w:rsid w:val="00D1029F"/>
    <w:rsid w:val="00D10876"/>
    <w:rsid w:val="00D117DF"/>
    <w:rsid w:val="00D12AB6"/>
    <w:rsid w:val="00D12FF6"/>
    <w:rsid w:val="00D137E9"/>
    <w:rsid w:val="00D13B03"/>
    <w:rsid w:val="00D13DCC"/>
    <w:rsid w:val="00D14ADA"/>
    <w:rsid w:val="00D155A1"/>
    <w:rsid w:val="00D15900"/>
    <w:rsid w:val="00D1595A"/>
    <w:rsid w:val="00D15A31"/>
    <w:rsid w:val="00D15B17"/>
    <w:rsid w:val="00D15BDA"/>
    <w:rsid w:val="00D16474"/>
    <w:rsid w:val="00D16781"/>
    <w:rsid w:val="00D168D2"/>
    <w:rsid w:val="00D17FE8"/>
    <w:rsid w:val="00D206F6"/>
    <w:rsid w:val="00D2109E"/>
    <w:rsid w:val="00D22A01"/>
    <w:rsid w:val="00D22AA3"/>
    <w:rsid w:val="00D22B51"/>
    <w:rsid w:val="00D22BA9"/>
    <w:rsid w:val="00D22BCC"/>
    <w:rsid w:val="00D22EF1"/>
    <w:rsid w:val="00D232C3"/>
    <w:rsid w:val="00D23FC9"/>
    <w:rsid w:val="00D246F0"/>
    <w:rsid w:val="00D24D14"/>
    <w:rsid w:val="00D24D42"/>
    <w:rsid w:val="00D25397"/>
    <w:rsid w:val="00D253BD"/>
    <w:rsid w:val="00D25805"/>
    <w:rsid w:val="00D261E1"/>
    <w:rsid w:val="00D26768"/>
    <w:rsid w:val="00D26897"/>
    <w:rsid w:val="00D2693E"/>
    <w:rsid w:val="00D26F7F"/>
    <w:rsid w:val="00D27399"/>
    <w:rsid w:val="00D27BE1"/>
    <w:rsid w:val="00D3007B"/>
    <w:rsid w:val="00D3017D"/>
    <w:rsid w:val="00D304A9"/>
    <w:rsid w:val="00D305C9"/>
    <w:rsid w:val="00D30E11"/>
    <w:rsid w:val="00D31671"/>
    <w:rsid w:val="00D31B02"/>
    <w:rsid w:val="00D326EA"/>
    <w:rsid w:val="00D329B3"/>
    <w:rsid w:val="00D3333A"/>
    <w:rsid w:val="00D33970"/>
    <w:rsid w:val="00D33C8A"/>
    <w:rsid w:val="00D33FEB"/>
    <w:rsid w:val="00D33FF4"/>
    <w:rsid w:val="00D340FC"/>
    <w:rsid w:val="00D34278"/>
    <w:rsid w:val="00D34433"/>
    <w:rsid w:val="00D347F6"/>
    <w:rsid w:val="00D34818"/>
    <w:rsid w:val="00D34AA6"/>
    <w:rsid w:val="00D34D00"/>
    <w:rsid w:val="00D356E9"/>
    <w:rsid w:val="00D35D89"/>
    <w:rsid w:val="00D35E64"/>
    <w:rsid w:val="00D364EF"/>
    <w:rsid w:val="00D36C5E"/>
    <w:rsid w:val="00D37218"/>
    <w:rsid w:val="00D375B7"/>
    <w:rsid w:val="00D37661"/>
    <w:rsid w:val="00D37AE7"/>
    <w:rsid w:val="00D401A0"/>
    <w:rsid w:val="00D405F4"/>
    <w:rsid w:val="00D409AB"/>
    <w:rsid w:val="00D40BC5"/>
    <w:rsid w:val="00D427B5"/>
    <w:rsid w:val="00D42B41"/>
    <w:rsid w:val="00D44365"/>
    <w:rsid w:val="00D44CAD"/>
    <w:rsid w:val="00D45104"/>
    <w:rsid w:val="00D4540A"/>
    <w:rsid w:val="00D4545B"/>
    <w:rsid w:val="00D456C6"/>
    <w:rsid w:val="00D46037"/>
    <w:rsid w:val="00D46680"/>
    <w:rsid w:val="00D468E3"/>
    <w:rsid w:val="00D46C56"/>
    <w:rsid w:val="00D47F2B"/>
    <w:rsid w:val="00D5021A"/>
    <w:rsid w:val="00D504B7"/>
    <w:rsid w:val="00D50713"/>
    <w:rsid w:val="00D5079F"/>
    <w:rsid w:val="00D50CB5"/>
    <w:rsid w:val="00D512A8"/>
    <w:rsid w:val="00D519D0"/>
    <w:rsid w:val="00D51CB9"/>
    <w:rsid w:val="00D51E17"/>
    <w:rsid w:val="00D52993"/>
    <w:rsid w:val="00D52CA6"/>
    <w:rsid w:val="00D52FF8"/>
    <w:rsid w:val="00D53227"/>
    <w:rsid w:val="00D53ACE"/>
    <w:rsid w:val="00D53FA9"/>
    <w:rsid w:val="00D54158"/>
    <w:rsid w:val="00D54F40"/>
    <w:rsid w:val="00D553E9"/>
    <w:rsid w:val="00D55868"/>
    <w:rsid w:val="00D55BCD"/>
    <w:rsid w:val="00D55D08"/>
    <w:rsid w:val="00D56514"/>
    <w:rsid w:val="00D566E0"/>
    <w:rsid w:val="00D56D3E"/>
    <w:rsid w:val="00D572FF"/>
    <w:rsid w:val="00D573B6"/>
    <w:rsid w:val="00D57C5F"/>
    <w:rsid w:val="00D57F5E"/>
    <w:rsid w:val="00D60355"/>
    <w:rsid w:val="00D603E8"/>
    <w:rsid w:val="00D60C62"/>
    <w:rsid w:val="00D61141"/>
    <w:rsid w:val="00D62386"/>
    <w:rsid w:val="00D6258E"/>
    <w:rsid w:val="00D62879"/>
    <w:rsid w:val="00D63489"/>
    <w:rsid w:val="00D63597"/>
    <w:rsid w:val="00D639C2"/>
    <w:rsid w:val="00D63F6B"/>
    <w:rsid w:val="00D63F8D"/>
    <w:rsid w:val="00D645CA"/>
    <w:rsid w:val="00D64BB2"/>
    <w:rsid w:val="00D64D25"/>
    <w:rsid w:val="00D65AE0"/>
    <w:rsid w:val="00D6672C"/>
    <w:rsid w:val="00D67590"/>
    <w:rsid w:val="00D67AAF"/>
    <w:rsid w:val="00D67D9E"/>
    <w:rsid w:val="00D706F2"/>
    <w:rsid w:val="00D70DD4"/>
    <w:rsid w:val="00D719C5"/>
    <w:rsid w:val="00D722F2"/>
    <w:rsid w:val="00D72862"/>
    <w:rsid w:val="00D728C1"/>
    <w:rsid w:val="00D7357E"/>
    <w:rsid w:val="00D73B7F"/>
    <w:rsid w:val="00D73EF2"/>
    <w:rsid w:val="00D74257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1572"/>
    <w:rsid w:val="00D81A22"/>
    <w:rsid w:val="00D8245A"/>
    <w:rsid w:val="00D82872"/>
    <w:rsid w:val="00D82A5C"/>
    <w:rsid w:val="00D82D0C"/>
    <w:rsid w:val="00D83797"/>
    <w:rsid w:val="00D83BE5"/>
    <w:rsid w:val="00D849AA"/>
    <w:rsid w:val="00D8582B"/>
    <w:rsid w:val="00D85B4C"/>
    <w:rsid w:val="00D86224"/>
    <w:rsid w:val="00D868AE"/>
    <w:rsid w:val="00D86C8B"/>
    <w:rsid w:val="00D87015"/>
    <w:rsid w:val="00D87745"/>
    <w:rsid w:val="00D90371"/>
    <w:rsid w:val="00D903CF"/>
    <w:rsid w:val="00D9050C"/>
    <w:rsid w:val="00D90692"/>
    <w:rsid w:val="00D90C40"/>
    <w:rsid w:val="00D90FE0"/>
    <w:rsid w:val="00D912D8"/>
    <w:rsid w:val="00D91BB6"/>
    <w:rsid w:val="00D92169"/>
    <w:rsid w:val="00D9234C"/>
    <w:rsid w:val="00D92E6A"/>
    <w:rsid w:val="00D93819"/>
    <w:rsid w:val="00D93FB6"/>
    <w:rsid w:val="00D9410B"/>
    <w:rsid w:val="00D9463A"/>
    <w:rsid w:val="00D950B7"/>
    <w:rsid w:val="00D95248"/>
    <w:rsid w:val="00D95894"/>
    <w:rsid w:val="00D95F7C"/>
    <w:rsid w:val="00D9644C"/>
    <w:rsid w:val="00D96629"/>
    <w:rsid w:val="00D96893"/>
    <w:rsid w:val="00D97551"/>
    <w:rsid w:val="00D97D7E"/>
    <w:rsid w:val="00D97E63"/>
    <w:rsid w:val="00DA0243"/>
    <w:rsid w:val="00DA1F6E"/>
    <w:rsid w:val="00DA2478"/>
    <w:rsid w:val="00DA2944"/>
    <w:rsid w:val="00DA297F"/>
    <w:rsid w:val="00DA2F15"/>
    <w:rsid w:val="00DA3055"/>
    <w:rsid w:val="00DA3699"/>
    <w:rsid w:val="00DA3B69"/>
    <w:rsid w:val="00DA4496"/>
    <w:rsid w:val="00DA49E6"/>
    <w:rsid w:val="00DA49F1"/>
    <w:rsid w:val="00DA6B9C"/>
    <w:rsid w:val="00DA6D82"/>
    <w:rsid w:val="00DA7EE5"/>
    <w:rsid w:val="00DB00FF"/>
    <w:rsid w:val="00DB08CB"/>
    <w:rsid w:val="00DB0B9F"/>
    <w:rsid w:val="00DB0E45"/>
    <w:rsid w:val="00DB2EE1"/>
    <w:rsid w:val="00DB3616"/>
    <w:rsid w:val="00DB3F9C"/>
    <w:rsid w:val="00DB42E4"/>
    <w:rsid w:val="00DB472B"/>
    <w:rsid w:val="00DB4ABF"/>
    <w:rsid w:val="00DB5AF9"/>
    <w:rsid w:val="00DB5FD6"/>
    <w:rsid w:val="00DB60FD"/>
    <w:rsid w:val="00DB6791"/>
    <w:rsid w:val="00DB6952"/>
    <w:rsid w:val="00DB69D2"/>
    <w:rsid w:val="00DB7867"/>
    <w:rsid w:val="00DB7C10"/>
    <w:rsid w:val="00DC021C"/>
    <w:rsid w:val="00DC19AF"/>
    <w:rsid w:val="00DC1EDF"/>
    <w:rsid w:val="00DC20BF"/>
    <w:rsid w:val="00DC255A"/>
    <w:rsid w:val="00DC281B"/>
    <w:rsid w:val="00DC2E28"/>
    <w:rsid w:val="00DC3A91"/>
    <w:rsid w:val="00DC434E"/>
    <w:rsid w:val="00DC4456"/>
    <w:rsid w:val="00DC4895"/>
    <w:rsid w:val="00DC5262"/>
    <w:rsid w:val="00DC5578"/>
    <w:rsid w:val="00DC570A"/>
    <w:rsid w:val="00DC5BB8"/>
    <w:rsid w:val="00DC5CAF"/>
    <w:rsid w:val="00DC6764"/>
    <w:rsid w:val="00DC7186"/>
    <w:rsid w:val="00DC7E52"/>
    <w:rsid w:val="00DD0040"/>
    <w:rsid w:val="00DD0162"/>
    <w:rsid w:val="00DD0163"/>
    <w:rsid w:val="00DD09AC"/>
    <w:rsid w:val="00DD0BF9"/>
    <w:rsid w:val="00DD0CEC"/>
    <w:rsid w:val="00DD1DD3"/>
    <w:rsid w:val="00DD1EF6"/>
    <w:rsid w:val="00DD37AC"/>
    <w:rsid w:val="00DD3C88"/>
    <w:rsid w:val="00DD3DD5"/>
    <w:rsid w:val="00DD47A7"/>
    <w:rsid w:val="00DD51BB"/>
    <w:rsid w:val="00DD55C4"/>
    <w:rsid w:val="00DD5887"/>
    <w:rsid w:val="00DD5A74"/>
    <w:rsid w:val="00DD6074"/>
    <w:rsid w:val="00DD6C6F"/>
    <w:rsid w:val="00DD70E7"/>
    <w:rsid w:val="00DD770D"/>
    <w:rsid w:val="00DD77B6"/>
    <w:rsid w:val="00DD7914"/>
    <w:rsid w:val="00DD7C54"/>
    <w:rsid w:val="00DD7EB5"/>
    <w:rsid w:val="00DE0814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30F3"/>
    <w:rsid w:val="00DE33C9"/>
    <w:rsid w:val="00DE3684"/>
    <w:rsid w:val="00DE388C"/>
    <w:rsid w:val="00DE39CF"/>
    <w:rsid w:val="00DE3BE9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B7B"/>
    <w:rsid w:val="00DE7A63"/>
    <w:rsid w:val="00DE7A6E"/>
    <w:rsid w:val="00DE7FC8"/>
    <w:rsid w:val="00DF0F58"/>
    <w:rsid w:val="00DF2B5B"/>
    <w:rsid w:val="00DF333C"/>
    <w:rsid w:val="00DF33FA"/>
    <w:rsid w:val="00DF3E43"/>
    <w:rsid w:val="00DF3F5D"/>
    <w:rsid w:val="00DF41F3"/>
    <w:rsid w:val="00DF43D0"/>
    <w:rsid w:val="00DF456A"/>
    <w:rsid w:val="00DF4B89"/>
    <w:rsid w:val="00DF4FC1"/>
    <w:rsid w:val="00DF5122"/>
    <w:rsid w:val="00DF54E5"/>
    <w:rsid w:val="00DF5757"/>
    <w:rsid w:val="00DF58D4"/>
    <w:rsid w:val="00DF6948"/>
    <w:rsid w:val="00DF7443"/>
    <w:rsid w:val="00DF7C46"/>
    <w:rsid w:val="00DF7C72"/>
    <w:rsid w:val="00E001CA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456A"/>
    <w:rsid w:val="00E0468A"/>
    <w:rsid w:val="00E04BAE"/>
    <w:rsid w:val="00E04C9C"/>
    <w:rsid w:val="00E0587A"/>
    <w:rsid w:val="00E058A9"/>
    <w:rsid w:val="00E06359"/>
    <w:rsid w:val="00E063D8"/>
    <w:rsid w:val="00E0646D"/>
    <w:rsid w:val="00E06956"/>
    <w:rsid w:val="00E06C49"/>
    <w:rsid w:val="00E0794A"/>
    <w:rsid w:val="00E07BB4"/>
    <w:rsid w:val="00E107E9"/>
    <w:rsid w:val="00E109F9"/>
    <w:rsid w:val="00E10F7D"/>
    <w:rsid w:val="00E11A68"/>
    <w:rsid w:val="00E11C92"/>
    <w:rsid w:val="00E11EEF"/>
    <w:rsid w:val="00E11FA0"/>
    <w:rsid w:val="00E12806"/>
    <w:rsid w:val="00E128B1"/>
    <w:rsid w:val="00E12CE8"/>
    <w:rsid w:val="00E12D9F"/>
    <w:rsid w:val="00E12EF0"/>
    <w:rsid w:val="00E13038"/>
    <w:rsid w:val="00E1318B"/>
    <w:rsid w:val="00E13BB2"/>
    <w:rsid w:val="00E13C42"/>
    <w:rsid w:val="00E13D9C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200B2"/>
    <w:rsid w:val="00E20740"/>
    <w:rsid w:val="00E20835"/>
    <w:rsid w:val="00E216E8"/>
    <w:rsid w:val="00E2191C"/>
    <w:rsid w:val="00E21C08"/>
    <w:rsid w:val="00E21F95"/>
    <w:rsid w:val="00E225A5"/>
    <w:rsid w:val="00E2287F"/>
    <w:rsid w:val="00E22B69"/>
    <w:rsid w:val="00E22D61"/>
    <w:rsid w:val="00E230D1"/>
    <w:rsid w:val="00E235FD"/>
    <w:rsid w:val="00E23BC6"/>
    <w:rsid w:val="00E24685"/>
    <w:rsid w:val="00E24ACF"/>
    <w:rsid w:val="00E24C7D"/>
    <w:rsid w:val="00E250FF"/>
    <w:rsid w:val="00E2679F"/>
    <w:rsid w:val="00E2715D"/>
    <w:rsid w:val="00E27545"/>
    <w:rsid w:val="00E2781A"/>
    <w:rsid w:val="00E2799C"/>
    <w:rsid w:val="00E27DC5"/>
    <w:rsid w:val="00E3008E"/>
    <w:rsid w:val="00E30473"/>
    <w:rsid w:val="00E31023"/>
    <w:rsid w:val="00E3161B"/>
    <w:rsid w:val="00E31C3D"/>
    <w:rsid w:val="00E31C4F"/>
    <w:rsid w:val="00E31FA4"/>
    <w:rsid w:val="00E32035"/>
    <w:rsid w:val="00E32609"/>
    <w:rsid w:val="00E33827"/>
    <w:rsid w:val="00E34900"/>
    <w:rsid w:val="00E3505B"/>
    <w:rsid w:val="00E351DB"/>
    <w:rsid w:val="00E3528B"/>
    <w:rsid w:val="00E359F9"/>
    <w:rsid w:val="00E35E0C"/>
    <w:rsid w:val="00E36986"/>
    <w:rsid w:val="00E36CCD"/>
    <w:rsid w:val="00E37404"/>
    <w:rsid w:val="00E37A42"/>
    <w:rsid w:val="00E40158"/>
    <w:rsid w:val="00E40BAB"/>
    <w:rsid w:val="00E418C0"/>
    <w:rsid w:val="00E41B03"/>
    <w:rsid w:val="00E41E1F"/>
    <w:rsid w:val="00E420CF"/>
    <w:rsid w:val="00E42EF8"/>
    <w:rsid w:val="00E4301E"/>
    <w:rsid w:val="00E43368"/>
    <w:rsid w:val="00E437AB"/>
    <w:rsid w:val="00E43E8F"/>
    <w:rsid w:val="00E43F6B"/>
    <w:rsid w:val="00E44766"/>
    <w:rsid w:val="00E448E8"/>
    <w:rsid w:val="00E44D2A"/>
    <w:rsid w:val="00E45077"/>
    <w:rsid w:val="00E45DAC"/>
    <w:rsid w:val="00E45DB2"/>
    <w:rsid w:val="00E4657D"/>
    <w:rsid w:val="00E46E99"/>
    <w:rsid w:val="00E5038D"/>
    <w:rsid w:val="00E506B6"/>
    <w:rsid w:val="00E50A68"/>
    <w:rsid w:val="00E521BA"/>
    <w:rsid w:val="00E529A7"/>
    <w:rsid w:val="00E52E6E"/>
    <w:rsid w:val="00E52ED6"/>
    <w:rsid w:val="00E544BC"/>
    <w:rsid w:val="00E55F95"/>
    <w:rsid w:val="00E5607C"/>
    <w:rsid w:val="00E56F53"/>
    <w:rsid w:val="00E5735F"/>
    <w:rsid w:val="00E574C1"/>
    <w:rsid w:val="00E57E0C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2B0"/>
    <w:rsid w:val="00E64724"/>
    <w:rsid w:val="00E6568C"/>
    <w:rsid w:val="00E65805"/>
    <w:rsid w:val="00E65D34"/>
    <w:rsid w:val="00E660DE"/>
    <w:rsid w:val="00E66111"/>
    <w:rsid w:val="00E66E18"/>
    <w:rsid w:val="00E672AF"/>
    <w:rsid w:val="00E67BDC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7F7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CB"/>
    <w:rsid w:val="00E76DE2"/>
    <w:rsid w:val="00E7720F"/>
    <w:rsid w:val="00E772B1"/>
    <w:rsid w:val="00E7746D"/>
    <w:rsid w:val="00E77922"/>
    <w:rsid w:val="00E77992"/>
    <w:rsid w:val="00E77A26"/>
    <w:rsid w:val="00E80AEE"/>
    <w:rsid w:val="00E80D1B"/>
    <w:rsid w:val="00E80D32"/>
    <w:rsid w:val="00E8143A"/>
    <w:rsid w:val="00E8185A"/>
    <w:rsid w:val="00E81BFA"/>
    <w:rsid w:val="00E825BA"/>
    <w:rsid w:val="00E83103"/>
    <w:rsid w:val="00E83C09"/>
    <w:rsid w:val="00E8460E"/>
    <w:rsid w:val="00E84720"/>
    <w:rsid w:val="00E8483A"/>
    <w:rsid w:val="00E84DC6"/>
    <w:rsid w:val="00E85A19"/>
    <w:rsid w:val="00E85AF8"/>
    <w:rsid w:val="00E85DE7"/>
    <w:rsid w:val="00E863EE"/>
    <w:rsid w:val="00E8695B"/>
    <w:rsid w:val="00E86A7A"/>
    <w:rsid w:val="00E86CCC"/>
    <w:rsid w:val="00E86D32"/>
    <w:rsid w:val="00E873C3"/>
    <w:rsid w:val="00E87850"/>
    <w:rsid w:val="00E87DCE"/>
    <w:rsid w:val="00E907AE"/>
    <w:rsid w:val="00E90FB1"/>
    <w:rsid w:val="00E91022"/>
    <w:rsid w:val="00E9135D"/>
    <w:rsid w:val="00E915BE"/>
    <w:rsid w:val="00E91B05"/>
    <w:rsid w:val="00E92321"/>
    <w:rsid w:val="00E926FE"/>
    <w:rsid w:val="00E927A4"/>
    <w:rsid w:val="00E92811"/>
    <w:rsid w:val="00E9297A"/>
    <w:rsid w:val="00E92EB2"/>
    <w:rsid w:val="00E9356C"/>
    <w:rsid w:val="00E937B7"/>
    <w:rsid w:val="00E947AD"/>
    <w:rsid w:val="00E94FC5"/>
    <w:rsid w:val="00E94FC9"/>
    <w:rsid w:val="00E9516F"/>
    <w:rsid w:val="00E95399"/>
    <w:rsid w:val="00E956AD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6203"/>
    <w:rsid w:val="00EA622E"/>
    <w:rsid w:val="00EA62B9"/>
    <w:rsid w:val="00EA639E"/>
    <w:rsid w:val="00EA66A1"/>
    <w:rsid w:val="00EA6836"/>
    <w:rsid w:val="00EA6918"/>
    <w:rsid w:val="00EA7D6C"/>
    <w:rsid w:val="00EA7FF0"/>
    <w:rsid w:val="00EB04F7"/>
    <w:rsid w:val="00EB05CD"/>
    <w:rsid w:val="00EB0741"/>
    <w:rsid w:val="00EB07C8"/>
    <w:rsid w:val="00EB0CA7"/>
    <w:rsid w:val="00EB1969"/>
    <w:rsid w:val="00EB1EAD"/>
    <w:rsid w:val="00EB276E"/>
    <w:rsid w:val="00EB2D4E"/>
    <w:rsid w:val="00EB324C"/>
    <w:rsid w:val="00EB398F"/>
    <w:rsid w:val="00EB4551"/>
    <w:rsid w:val="00EB4840"/>
    <w:rsid w:val="00EB49B6"/>
    <w:rsid w:val="00EB4D39"/>
    <w:rsid w:val="00EB5791"/>
    <w:rsid w:val="00EB5AC7"/>
    <w:rsid w:val="00EB5C70"/>
    <w:rsid w:val="00EB7200"/>
    <w:rsid w:val="00EB72D5"/>
    <w:rsid w:val="00EB75F2"/>
    <w:rsid w:val="00EB7F4A"/>
    <w:rsid w:val="00EB7F96"/>
    <w:rsid w:val="00EC07D3"/>
    <w:rsid w:val="00EC0980"/>
    <w:rsid w:val="00EC1503"/>
    <w:rsid w:val="00EC1AAE"/>
    <w:rsid w:val="00EC1F0C"/>
    <w:rsid w:val="00EC2490"/>
    <w:rsid w:val="00EC27C9"/>
    <w:rsid w:val="00EC2883"/>
    <w:rsid w:val="00EC28C1"/>
    <w:rsid w:val="00EC3464"/>
    <w:rsid w:val="00EC3910"/>
    <w:rsid w:val="00EC3A05"/>
    <w:rsid w:val="00EC3CC4"/>
    <w:rsid w:val="00EC3F48"/>
    <w:rsid w:val="00EC46B9"/>
    <w:rsid w:val="00EC4FC4"/>
    <w:rsid w:val="00EC589E"/>
    <w:rsid w:val="00EC5D7E"/>
    <w:rsid w:val="00EC5F4E"/>
    <w:rsid w:val="00EC6DF1"/>
    <w:rsid w:val="00EC78BE"/>
    <w:rsid w:val="00ED06BA"/>
    <w:rsid w:val="00ED082B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0B2"/>
    <w:rsid w:val="00ED316F"/>
    <w:rsid w:val="00ED3639"/>
    <w:rsid w:val="00ED3A16"/>
    <w:rsid w:val="00ED3E7B"/>
    <w:rsid w:val="00ED3EC0"/>
    <w:rsid w:val="00ED3FE6"/>
    <w:rsid w:val="00ED4314"/>
    <w:rsid w:val="00ED4DE8"/>
    <w:rsid w:val="00ED550C"/>
    <w:rsid w:val="00ED6400"/>
    <w:rsid w:val="00ED6784"/>
    <w:rsid w:val="00ED6CA8"/>
    <w:rsid w:val="00ED6CEB"/>
    <w:rsid w:val="00ED70C6"/>
    <w:rsid w:val="00ED7E85"/>
    <w:rsid w:val="00ED7F5E"/>
    <w:rsid w:val="00EE0247"/>
    <w:rsid w:val="00EE077A"/>
    <w:rsid w:val="00EE079C"/>
    <w:rsid w:val="00EE0A53"/>
    <w:rsid w:val="00EE1005"/>
    <w:rsid w:val="00EE144D"/>
    <w:rsid w:val="00EE1553"/>
    <w:rsid w:val="00EE1703"/>
    <w:rsid w:val="00EE186E"/>
    <w:rsid w:val="00EE19E8"/>
    <w:rsid w:val="00EE2200"/>
    <w:rsid w:val="00EE258B"/>
    <w:rsid w:val="00EE271F"/>
    <w:rsid w:val="00EE2979"/>
    <w:rsid w:val="00EE2BEA"/>
    <w:rsid w:val="00EE2DA0"/>
    <w:rsid w:val="00EE4206"/>
    <w:rsid w:val="00EE68E2"/>
    <w:rsid w:val="00EE6E3D"/>
    <w:rsid w:val="00EE7578"/>
    <w:rsid w:val="00EE7B88"/>
    <w:rsid w:val="00EE7D6F"/>
    <w:rsid w:val="00EF03B9"/>
    <w:rsid w:val="00EF17D3"/>
    <w:rsid w:val="00EF18F2"/>
    <w:rsid w:val="00EF1A29"/>
    <w:rsid w:val="00EF1C15"/>
    <w:rsid w:val="00EF1C16"/>
    <w:rsid w:val="00EF1CE5"/>
    <w:rsid w:val="00EF21EF"/>
    <w:rsid w:val="00EF220B"/>
    <w:rsid w:val="00EF2770"/>
    <w:rsid w:val="00EF2E69"/>
    <w:rsid w:val="00EF4A81"/>
    <w:rsid w:val="00EF4F9A"/>
    <w:rsid w:val="00EF53CD"/>
    <w:rsid w:val="00EF6731"/>
    <w:rsid w:val="00EF674C"/>
    <w:rsid w:val="00EF6788"/>
    <w:rsid w:val="00EF6904"/>
    <w:rsid w:val="00EF69E7"/>
    <w:rsid w:val="00EF6A3E"/>
    <w:rsid w:val="00EF6AC3"/>
    <w:rsid w:val="00EF6EE8"/>
    <w:rsid w:val="00EF75FC"/>
    <w:rsid w:val="00EF7B05"/>
    <w:rsid w:val="00EF7FB6"/>
    <w:rsid w:val="00F00C55"/>
    <w:rsid w:val="00F00E71"/>
    <w:rsid w:val="00F01221"/>
    <w:rsid w:val="00F012FF"/>
    <w:rsid w:val="00F0173C"/>
    <w:rsid w:val="00F019CC"/>
    <w:rsid w:val="00F02228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704"/>
    <w:rsid w:val="00F05A03"/>
    <w:rsid w:val="00F060C9"/>
    <w:rsid w:val="00F0677C"/>
    <w:rsid w:val="00F0746C"/>
    <w:rsid w:val="00F077F9"/>
    <w:rsid w:val="00F10255"/>
    <w:rsid w:val="00F104F7"/>
    <w:rsid w:val="00F107AC"/>
    <w:rsid w:val="00F108B6"/>
    <w:rsid w:val="00F10940"/>
    <w:rsid w:val="00F1113F"/>
    <w:rsid w:val="00F114D3"/>
    <w:rsid w:val="00F11660"/>
    <w:rsid w:val="00F11C8F"/>
    <w:rsid w:val="00F11E1C"/>
    <w:rsid w:val="00F1242D"/>
    <w:rsid w:val="00F1288F"/>
    <w:rsid w:val="00F12C3E"/>
    <w:rsid w:val="00F12C82"/>
    <w:rsid w:val="00F12E62"/>
    <w:rsid w:val="00F13A2E"/>
    <w:rsid w:val="00F13D6A"/>
    <w:rsid w:val="00F13EBD"/>
    <w:rsid w:val="00F14089"/>
    <w:rsid w:val="00F14C8A"/>
    <w:rsid w:val="00F14EFC"/>
    <w:rsid w:val="00F14FC9"/>
    <w:rsid w:val="00F15345"/>
    <w:rsid w:val="00F155EE"/>
    <w:rsid w:val="00F1584F"/>
    <w:rsid w:val="00F16287"/>
    <w:rsid w:val="00F16BCF"/>
    <w:rsid w:val="00F16F25"/>
    <w:rsid w:val="00F172A9"/>
    <w:rsid w:val="00F17462"/>
    <w:rsid w:val="00F17981"/>
    <w:rsid w:val="00F17A12"/>
    <w:rsid w:val="00F20393"/>
    <w:rsid w:val="00F20BF1"/>
    <w:rsid w:val="00F20CAB"/>
    <w:rsid w:val="00F21018"/>
    <w:rsid w:val="00F21A3D"/>
    <w:rsid w:val="00F21FE6"/>
    <w:rsid w:val="00F22512"/>
    <w:rsid w:val="00F229FD"/>
    <w:rsid w:val="00F22B5B"/>
    <w:rsid w:val="00F22BA9"/>
    <w:rsid w:val="00F22E6C"/>
    <w:rsid w:val="00F23CD6"/>
    <w:rsid w:val="00F23F3C"/>
    <w:rsid w:val="00F24090"/>
    <w:rsid w:val="00F241D8"/>
    <w:rsid w:val="00F2450C"/>
    <w:rsid w:val="00F247BF"/>
    <w:rsid w:val="00F24AF1"/>
    <w:rsid w:val="00F2534F"/>
    <w:rsid w:val="00F25666"/>
    <w:rsid w:val="00F258FB"/>
    <w:rsid w:val="00F25A07"/>
    <w:rsid w:val="00F2601E"/>
    <w:rsid w:val="00F26392"/>
    <w:rsid w:val="00F273C6"/>
    <w:rsid w:val="00F279D3"/>
    <w:rsid w:val="00F27E51"/>
    <w:rsid w:val="00F301D6"/>
    <w:rsid w:val="00F30A23"/>
    <w:rsid w:val="00F30BE7"/>
    <w:rsid w:val="00F311AC"/>
    <w:rsid w:val="00F311BC"/>
    <w:rsid w:val="00F31A02"/>
    <w:rsid w:val="00F31D6D"/>
    <w:rsid w:val="00F321AF"/>
    <w:rsid w:val="00F32B1C"/>
    <w:rsid w:val="00F336BA"/>
    <w:rsid w:val="00F33962"/>
    <w:rsid w:val="00F34750"/>
    <w:rsid w:val="00F34FD3"/>
    <w:rsid w:val="00F35134"/>
    <w:rsid w:val="00F36D3E"/>
    <w:rsid w:val="00F4050D"/>
    <w:rsid w:val="00F40558"/>
    <w:rsid w:val="00F40A6B"/>
    <w:rsid w:val="00F412B1"/>
    <w:rsid w:val="00F41701"/>
    <w:rsid w:val="00F417F3"/>
    <w:rsid w:val="00F41A2E"/>
    <w:rsid w:val="00F421F1"/>
    <w:rsid w:val="00F427D1"/>
    <w:rsid w:val="00F43024"/>
    <w:rsid w:val="00F43243"/>
    <w:rsid w:val="00F436D5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E40"/>
    <w:rsid w:val="00F50EBE"/>
    <w:rsid w:val="00F5112B"/>
    <w:rsid w:val="00F512C5"/>
    <w:rsid w:val="00F51379"/>
    <w:rsid w:val="00F516E7"/>
    <w:rsid w:val="00F5184D"/>
    <w:rsid w:val="00F51C8B"/>
    <w:rsid w:val="00F52089"/>
    <w:rsid w:val="00F52637"/>
    <w:rsid w:val="00F52718"/>
    <w:rsid w:val="00F52ACF"/>
    <w:rsid w:val="00F52BAA"/>
    <w:rsid w:val="00F53053"/>
    <w:rsid w:val="00F531B8"/>
    <w:rsid w:val="00F54560"/>
    <w:rsid w:val="00F54863"/>
    <w:rsid w:val="00F549E1"/>
    <w:rsid w:val="00F54E37"/>
    <w:rsid w:val="00F55A58"/>
    <w:rsid w:val="00F55CB8"/>
    <w:rsid w:val="00F55F2F"/>
    <w:rsid w:val="00F560A4"/>
    <w:rsid w:val="00F56494"/>
    <w:rsid w:val="00F56507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E6"/>
    <w:rsid w:val="00F62490"/>
    <w:rsid w:val="00F63798"/>
    <w:rsid w:val="00F63A99"/>
    <w:rsid w:val="00F65005"/>
    <w:rsid w:val="00F65EC4"/>
    <w:rsid w:val="00F65EF2"/>
    <w:rsid w:val="00F6629C"/>
    <w:rsid w:val="00F663BE"/>
    <w:rsid w:val="00F66527"/>
    <w:rsid w:val="00F66C50"/>
    <w:rsid w:val="00F66CC4"/>
    <w:rsid w:val="00F6798E"/>
    <w:rsid w:val="00F701D7"/>
    <w:rsid w:val="00F710FE"/>
    <w:rsid w:val="00F712EF"/>
    <w:rsid w:val="00F7131E"/>
    <w:rsid w:val="00F71369"/>
    <w:rsid w:val="00F71565"/>
    <w:rsid w:val="00F71822"/>
    <w:rsid w:val="00F719E1"/>
    <w:rsid w:val="00F720DD"/>
    <w:rsid w:val="00F720EC"/>
    <w:rsid w:val="00F722E1"/>
    <w:rsid w:val="00F73140"/>
    <w:rsid w:val="00F7329C"/>
    <w:rsid w:val="00F735FE"/>
    <w:rsid w:val="00F7370F"/>
    <w:rsid w:val="00F73C9F"/>
    <w:rsid w:val="00F73FA4"/>
    <w:rsid w:val="00F74031"/>
    <w:rsid w:val="00F746B2"/>
    <w:rsid w:val="00F75210"/>
    <w:rsid w:val="00F75531"/>
    <w:rsid w:val="00F76015"/>
    <w:rsid w:val="00F770A5"/>
    <w:rsid w:val="00F80A16"/>
    <w:rsid w:val="00F80D7C"/>
    <w:rsid w:val="00F810A2"/>
    <w:rsid w:val="00F81501"/>
    <w:rsid w:val="00F8161A"/>
    <w:rsid w:val="00F8183F"/>
    <w:rsid w:val="00F81D86"/>
    <w:rsid w:val="00F8202E"/>
    <w:rsid w:val="00F8258A"/>
    <w:rsid w:val="00F82A3B"/>
    <w:rsid w:val="00F831AD"/>
    <w:rsid w:val="00F83255"/>
    <w:rsid w:val="00F83345"/>
    <w:rsid w:val="00F835AB"/>
    <w:rsid w:val="00F84448"/>
    <w:rsid w:val="00F85487"/>
    <w:rsid w:val="00F85CF1"/>
    <w:rsid w:val="00F861C4"/>
    <w:rsid w:val="00F86615"/>
    <w:rsid w:val="00F87006"/>
    <w:rsid w:val="00F870E5"/>
    <w:rsid w:val="00F87846"/>
    <w:rsid w:val="00F87EFE"/>
    <w:rsid w:val="00F90CA9"/>
    <w:rsid w:val="00F91F98"/>
    <w:rsid w:val="00F92150"/>
    <w:rsid w:val="00F9229E"/>
    <w:rsid w:val="00F929D2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A00B6"/>
    <w:rsid w:val="00FA0119"/>
    <w:rsid w:val="00FA0334"/>
    <w:rsid w:val="00FA0B6A"/>
    <w:rsid w:val="00FA1195"/>
    <w:rsid w:val="00FA2113"/>
    <w:rsid w:val="00FA215C"/>
    <w:rsid w:val="00FA2A7C"/>
    <w:rsid w:val="00FA2AB1"/>
    <w:rsid w:val="00FA2BA3"/>
    <w:rsid w:val="00FA419E"/>
    <w:rsid w:val="00FA42AC"/>
    <w:rsid w:val="00FA44A7"/>
    <w:rsid w:val="00FA4DC2"/>
    <w:rsid w:val="00FA5010"/>
    <w:rsid w:val="00FA52F7"/>
    <w:rsid w:val="00FA54FD"/>
    <w:rsid w:val="00FA5D92"/>
    <w:rsid w:val="00FA6297"/>
    <w:rsid w:val="00FA69FE"/>
    <w:rsid w:val="00FA6CD7"/>
    <w:rsid w:val="00FA6D70"/>
    <w:rsid w:val="00FA7113"/>
    <w:rsid w:val="00FA78EF"/>
    <w:rsid w:val="00FA7AD9"/>
    <w:rsid w:val="00FA7D85"/>
    <w:rsid w:val="00FB0140"/>
    <w:rsid w:val="00FB01A7"/>
    <w:rsid w:val="00FB0C0D"/>
    <w:rsid w:val="00FB1138"/>
    <w:rsid w:val="00FB1C59"/>
    <w:rsid w:val="00FB1E17"/>
    <w:rsid w:val="00FB1E49"/>
    <w:rsid w:val="00FB219C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97"/>
    <w:rsid w:val="00FB7168"/>
    <w:rsid w:val="00FB76E8"/>
    <w:rsid w:val="00FB77B1"/>
    <w:rsid w:val="00FB7CE4"/>
    <w:rsid w:val="00FC06E9"/>
    <w:rsid w:val="00FC09EA"/>
    <w:rsid w:val="00FC1FBD"/>
    <w:rsid w:val="00FC2416"/>
    <w:rsid w:val="00FC2517"/>
    <w:rsid w:val="00FC2A19"/>
    <w:rsid w:val="00FC2A51"/>
    <w:rsid w:val="00FC2FDB"/>
    <w:rsid w:val="00FC3DAA"/>
    <w:rsid w:val="00FC3EB4"/>
    <w:rsid w:val="00FC4B6D"/>
    <w:rsid w:val="00FC4D63"/>
    <w:rsid w:val="00FC570C"/>
    <w:rsid w:val="00FC5A75"/>
    <w:rsid w:val="00FC5B0B"/>
    <w:rsid w:val="00FC66D9"/>
    <w:rsid w:val="00FC6D86"/>
    <w:rsid w:val="00FC732C"/>
    <w:rsid w:val="00FC768C"/>
    <w:rsid w:val="00FC7700"/>
    <w:rsid w:val="00FC7833"/>
    <w:rsid w:val="00FC7888"/>
    <w:rsid w:val="00FC7979"/>
    <w:rsid w:val="00FC7EA7"/>
    <w:rsid w:val="00FD007F"/>
    <w:rsid w:val="00FD0A8F"/>
    <w:rsid w:val="00FD1141"/>
    <w:rsid w:val="00FD12ED"/>
    <w:rsid w:val="00FD1A3B"/>
    <w:rsid w:val="00FD2297"/>
    <w:rsid w:val="00FD2350"/>
    <w:rsid w:val="00FD2598"/>
    <w:rsid w:val="00FD2727"/>
    <w:rsid w:val="00FD2ED4"/>
    <w:rsid w:val="00FD3077"/>
    <w:rsid w:val="00FD3131"/>
    <w:rsid w:val="00FD3A80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C1D"/>
    <w:rsid w:val="00FE1793"/>
    <w:rsid w:val="00FE2032"/>
    <w:rsid w:val="00FE2283"/>
    <w:rsid w:val="00FE24D1"/>
    <w:rsid w:val="00FE2795"/>
    <w:rsid w:val="00FE2D4F"/>
    <w:rsid w:val="00FE3A9B"/>
    <w:rsid w:val="00FE3E3A"/>
    <w:rsid w:val="00FE458E"/>
    <w:rsid w:val="00FE45BC"/>
    <w:rsid w:val="00FE46D9"/>
    <w:rsid w:val="00FE4A18"/>
    <w:rsid w:val="00FE569E"/>
    <w:rsid w:val="00FE57AC"/>
    <w:rsid w:val="00FE6055"/>
    <w:rsid w:val="00FE6218"/>
    <w:rsid w:val="00FE6C56"/>
    <w:rsid w:val="00FE6CB5"/>
    <w:rsid w:val="00FE6E42"/>
    <w:rsid w:val="00FE787F"/>
    <w:rsid w:val="00FE7CB5"/>
    <w:rsid w:val="00FF04E9"/>
    <w:rsid w:val="00FF0507"/>
    <w:rsid w:val="00FF0886"/>
    <w:rsid w:val="00FF0D46"/>
    <w:rsid w:val="00FF0E75"/>
    <w:rsid w:val="00FF10DC"/>
    <w:rsid w:val="00FF1AB3"/>
    <w:rsid w:val="00FF29F9"/>
    <w:rsid w:val="00FF312D"/>
    <w:rsid w:val="00FF3EB4"/>
    <w:rsid w:val="00FF3F97"/>
    <w:rsid w:val="00FF4041"/>
    <w:rsid w:val="00FF4746"/>
    <w:rsid w:val="00FF4788"/>
    <w:rsid w:val="00FF47CC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3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2556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25563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56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556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25563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556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6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NULL"/><Relationship Id="rId4" Type="http://schemas.openxmlformats.org/officeDocument/2006/relationships/image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1435</Words>
  <Characters>8182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2016-11-20T19:02:00Z</dcterms:created>
  <dcterms:modified xsi:type="dcterms:W3CDTF">2016-11-20T19:03:00Z</dcterms:modified>
</cp:coreProperties>
</file>