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4BB" w:rsidRDefault="00C824BB" w:rsidP="00C824BB">
      <w:pPr>
        <w:pStyle w:val="aa"/>
        <w:rPr>
          <w:sz w:val="24"/>
          <w:szCs w:val="24"/>
        </w:rPr>
      </w:pPr>
      <w:bookmarkStart w:id="0" w:name="_GoBack"/>
      <w:r>
        <w:rPr>
          <w:rStyle w:val="a9"/>
        </w:rPr>
        <w:t>Таблиця. Винятки з розподілу ПДВ за ст. 199 ПК</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2"/>
        <w:gridCol w:w="2196"/>
      </w:tblGrid>
      <w:tr w:rsidR="00C824BB" w:rsidTr="00C824BB">
        <w:trPr>
          <w:tblCellSpacing w:w="15" w:type="dxa"/>
        </w:trPr>
        <w:tc>
          <w:tcPr>
            <w:tcW w:w="7365" w:type="dxa"/>
            <w:vAlign w:val="center"/>
            <w:hideMark/>
          </w:tcPr>
          <w:bookmarkEnd w:id="0"/>
          <w:p w:rsidR="00C824BB" w:rsidRDefault="00C824BB">
            <w:pPr>
              <w:pStyle w:val="aa"/>
              <w:jc w:val="center"/>
            </w:pPr>
            <w:r>
              <w:rPr>
                <w:rStyle w:val="a9"/>
              </w:rPr>
              <w:t>Операції</w:t>
            </w:r>
          </w:p>
        </w:tc>
        <w:tc>
          <w:tcPr>
            <w:tcW w:w="2265" w:type="dxa"/>
            <w:vAlign w:val="center"/>
            <w:hideMark/>
          </w:tcPr>
          <w:p w:rsidR="00C824BB" w:rsidRDefault="00C824BB">
            <w:pPr>
              <w:pStyle w:val="aa"/>
              <w:jc w:val="center"/>
            </w:pPr>
            <w:r>
              <w:rPr>
                <w:rStyle w:val="a9"/>
              </w:rPr>
              <w:t>Підстава</w:t>
            </w:r>
          </w:p>
        </w:tc>
      </w:tr>
      <w:tr w:rsidR="00C824BB" w:rsidTr="00C824BB">
        <w:trPr>
          <w:tblCellSpacing w:w="15" w:type="dxa"/>
        </w:trPr>
        <w:tc>
          <w:tcPr>
            <w:tcW w:w="7365" w:type="dxa"/>
            <w:vAlign w:val="center"/>
            <w:hideMark/>
          </w:tcPr>
          <w:p w:rsidR="00C824BB" w:rsidRDefault="00C824BB">
            <w:pPr>
              <w:pStyle w:val="aa"/>
            </w:pPr>
            <w:r>
              <w:t>Проведення операцій з реорганізації (злиття, приєднання, поділу, виділення та перетворення) юридичних осіб</w:t>
            </w:r>
          </w:p>
        </w:tc>
        <w:tc>
          <w:tcPr>
            <w:tcW w:w="2265" w:type="dxa"/>
            <w:vAlign w:val="center"/>
            <w:hideMark/>
          </w:tcPr>
          <w:p w:rsidR="00C824BB" w:rsidRDefault="00C824BB">
            <w:pPr>
              <w:pStyle w:val="aa"/>
              <w:jc w:val="center"/>
            </w:pPr>
            <w:r>
              <w:t>Пп. 196.1.7, п. 199.6 ПК</w:t>
            </w:r>
          </w:p>
        </w:tc>
      </w:tr>
      <w:tr w:rsidR="00C824BB" w:rsidTr="00C824BB">
        <w:trPr>
          <w:tblCellSpacing w:w="15" w:type="dxa"/>
        </w:trPr>
        <w:tc>
          <w:tcPr>
            <w:tcW w:w="7365" w:type="dxa"/>
            <w:vAlign w:val="center"/>
            <w:hideMark/>
          </w:tcPr>
          <w:p w:rsidR="00C824BB" w:rsidRDefault="00C824BB">
            <w:pPr>
              <w:pStyle w:val="aa"/>
            </w:pPr>
            <w:r>
              <w:t>До кінця 2021 р.! Постачання платником податку відходів і брухту чорних і кольорових металів, які утворилися в такого платника внаслідок переробки, обробки, плавлення товарів (сировини, матеріалів, заготовок тощо) на виробництві, будівництві, розібранні (демонтажу) ліквідованих основних фондів та інших подібних операцій.</w:t>
            </w:r>
          </w:p>
          <w:p w:rsidR="00C824BB" w:rsidRDefault="00C824BB">
            <w:pPr>
              <w:pStyle w:val="aa"/>
            </w:pPr>
            <w:r>
              <w:t>З 01.01.2022 р. Закон від 30.11.2021 р. № 1914 з винятків прибрав ці операції. Тож з цієї дати у разі постачання брухту чорних та кольорових металів розподіл за ст. 199 ПК вмикається в роботу (дію пільгу по металобрухту продовжили до 01.01.2027 року, п. 23 підрозд. 2 розд. ХХ ПК)</w:t>
            </w:r>
          </w:p>
        </w:tc>
        <w:tc>
          <w:tcPr>
            <w:tcW w:w="2265" w:type="dxa"/>
            <w:vAlign w:val="center"/>
            <w:hideMark/>
          </w:tcPr>
          <w:p w:rsidR="00C824BB" w:rsidRDefault="00C824BB">
            <w:pPr>
              <w:pStyle w:val="aa"/>
              <w:jc w:val="center"/>
            </w:pPr>
            <w:r>
              <w:t>п. 199.6 ПК</w:t>
            </w:r>
          </w:p>
        </w:tc>
      </w:tr>
      <w:tr w:rsidR="00C824BB" w:rsidTr="00C824BB">
        <w:trPr>
          <w:tblCellSpacing w:w="15" w:type="dxa"/>
        </w:trPr>
        <w:tc>
          <w:tcPr>
            <w:tcW w:w="7365" w:type="dxa"/>
            <w:vAlign w:val="center"/>
            <w:hideMark/>
          </w:tcPr>
          <w:p w:rsidR="00C824BB" w:rsidRDefault="00C824BB">
            <w:pPr>
              <w:pStyle w:val="aa"/>
            </w:pPr>
            <w:r>
              <w:t>Проведення операцій постачання товарів/послуг у частині суми компенсації на покриття різниці між фактичними витратами та регульованими цінами (тарифами) у вигляді виробничої дотації з бюджету</w:t>
            </w:r>
          </w:p>
        </w:tc>
        <w:tc>
          <w:tcPr>
            <w:tcW w:w="2265" w:type="dxa"/>
            <w:vAlign w:val="center"/>
            <w:hideMark/>
          </w:tcPr>
          <w:p w:rsidR="00C824BB" w:rsidRDefault="00C824BB">
            <w:pPr>
              <w:pStyle w:val="aa"/>
              <w:jc w:val="center"/>
            </w:pPr>
            <w:r>
              <w:t>Пп. 197.1.28, п. 199.6 ПК</w:t>
            </w:r>
          </w:p>
        </w:tc>
      </w:tr>
      <w:tr w:rsidR="00C824BB" w:rsidTr="00C824BB">
        <w:trPr>
          <w:tblCellSpacing w:w="15" w:type="dxa"/>
        </w:trPr>
        <w:tc>
          <w:tcPr>
            <w:tcW w:w="7365" w:type="dxa"/>
            <w:vAlign w:val="center"/>
            <w:hideMark/>
          </w:tcPr>
          <w:p w:rsidR="00C824BB" w:rsidRDefault="00C824BB">
            <w:pPr>
              <w:pStyle w:val="aa"/>
            </w:pPr>
            <w:r>
              <w:t>Проведення операцій постачання товарів та послуг на митній території України та ввезення на митну територію України товарів як міжнародної технічної допомоги, чи які фінансуються за рахунок міжнародної технічної допомоги, що надається відповідно до міжнародних договорів України, згода на обов’язковість яких надана у встановленому законодавством порядку, ввезення на митну територію України майна як гуманітарної допомоги</w:t>
            </w:r>
          </w:p>
        </w:tc>
        <w:tc>
          <w:tcPr>
            <w:tcW w:w="2265" w:type="dxa"/>
            <w:vAlign w:val="center"/>
            <w:hideMark/>
          </w:tcPr>
          <w:p w:rsidR="00C824BB" w:rsidRDefault="00C824BB">
            <w:pPr>
              <w:pStyle w:val="aa"/>
              <w:jc w:val="center"/>
            </w:pPr>
            <w:r>
              <w:t>п. 197.11, п. 199.6 ПК</w:t>
            </w:r>
          </w:p>
        </w:tc>
      </w:tr>
      <w:tr w:rsidR="00C824BB" w:rsidTr="00C824BB">
        <w:trPr>
          <w:tblCellSpacing w:w="15" w:type="dxa"/>
        </w:trPr>
        <w:tc>
          <w:tcPr>
            <w:tcW w:w="7365" w:type="dxa"/>
            <w:vAlign w:val="center"/>
            <w:hideMark/>
          </w:tcPr>
          <w:p w:rsidR="00C824BB" w:rsidRDefault="00C824BB">
            <w:pPr>
              <w:pStyle w:val="aa"/>
            </w:pPr>
            <w:r>
              <w:t>Проведення операцій оператора телекомунікацій з надання телекомунікаційних послуг у частині здійснення благодійного телекомунікаційного повідомлення на благодійні цілі</w:t>
            </w:r>
          </w:p>
        </w:tc>
        <w:tc>
          <w:tcPr>
            <w:tcW w:w="2265" w:type="dxa"/>
            <w:vAlign w:val="center"/>
            <w:hideMark/>
          </w:tcPr>
          <w:p w:rsidR="00C824BB" w:rsidRDefault="00C824BB">
            <w:pPr>
              <w:pStyle w:val="aa"/>
              <w:jc w:val="center"/>
            </w:pPr>
            <w:r>
              <w:t>п. 197.24, п. 199.6 ПК</w:t>
            </w:r>
          </w:p>
        </w:tc>
      </w:tr>
      <w:tr w:rsidR="00C824BB" w:rsidTr="00C824BB">
        <w:trPr>
          <w:tblCellSpacing w:w="15" w:type="dxa"/>
        </w:trPr>
        <w:tc>
          <w:tcPr>
            <w:tcW w:w="7365" w:type="dxa"/>
            <w:vAlign w:val="center"/>
            <w:hideMark/>
          </w:tcPr>
          <w:p w:rsidR="00C824BB" w:rsidRDefault="00C824BB">
            <w:pPr>
              <w:pStyle w:val="aa"/>
            </w:pPr>
            <w:r>
              <w:t>Виконання програм Глобального фонду для боротьби із СНІДом, туберкульозом та малярією в Україні (перелік звільнених операцій – у пп. 26 підрозд. 2 розд. ХХ ПК)</w:t>
            </w:r>
          </w:p>
        </w:tc>
        <w:tc>
          <w:tcPr>
            <w:tcW w:w="2265" w:type="dxa"/>
            <w:vAlign w:val="center"/>
            <w:hideMark/>
          </w:tcPr>
          <w:p w:rsidR="00C824BB" w:rsidRDefault="00C824BB">
            <w:pPr>
              <w:pStyle w:val="aa"/>
              <w:jc w:val="center"/>
            </w:pPr>
            <w:r>
              <w:t>П. 26 підрозд. 2 розд. ХХ ПК</w:t>
            </w:r>
          </w:p>
        </w:tc>
      </w:tr>
      <w:tr w:rsidR="00C824BB" w:rsidTr="00C824BB">
        <w:trPr>
          <w:tblCellSpacing w:w="15" w:type="dxa"/>
        </w:trPr>
        <w:tc>
          <w:tcPr>
            <w:tcW w:w="7365" w:type="dxa"/>
            <w:vAlign w:val="center"/>
            <w:hideMark/>
          </w:tcPr>
          <w:p w:rsidR="00C824BB" w:rsidRDefault="00C824BB">
            <w:pPr>
              <w:pStyle w:val="aa"/>
            </w:pPr>
            <w:r>
              <w:t>Тимчасове звільнення до 31.12.2022 деяких операцій з лікарськими засобами та медичними виробами (конкретний перелік та умови – у п. 38</w:t>
            </w:r>
            <w:r>
              <w:rPr>
                <w:vertAlign w:val="superscript"/>
              </w:rPr>
              <w:t>1</w:t>
            </w:r>
            <w:r>
              <w:t xml:space="preserve"> підрозд. 2 розд. ХХ ПК)</w:t>
            </w:r>
          </w:p>
        </w:tc>
        <w:tc>
          <w:tcPr>
            <w:tcW w:w="2265" w:type="dxa"/>
            <w:vAlign w:val="center"/>
            <w:hideMark/>
          </w:tcPr>
          <w:p w:rsidR="00C824BB" w:rsidRDefault="00C824BB">
            <w:pPr>
              <w:pStyle w:val="aa"/>
              <w:jc w:val="center"/>
            </w:pPr>
            <w:r>
              <w:t>П. 38</w:t>
            </w:r>
            <w:r>
              <w:rPr>
                <w:vertAlign w:val="superscript"/>
              </w:rPr>
              <w:t xml:space="preserve">1 </w:t>
            </w:r>
            <w:r>
              <w:t>підрозд. 2 розд. ХХ ПК</w:t>
            </w:r>
          </w:p>
        </w:tc>
      </w:tr>
      <w:tr w:rsidR="00C824BB" w:rsidTr="00C824BB">
        <w:trPr>
          <w:tblCellSpacing w:w="15" w:type="dxa"/>
        </w:trPr>
        <w:tc>
          <w:tcPr>
            <w:tcW w:w="7365" w:type="dxa"/>
            <w:vAlign w:val="center"/>
            <w:hideMark/>
          </w:tcPr>
          <w:p w:rsidR="00C824BB" w:rsidRDefault="00C824BB">
            <w:pPr>
              <w:pStyle w:val="aa"/>
            </w:pPr>
            <w:r>
              <w:t>Операції платників податку – боржника та/або поручителя (майнового поручителя – заставодавця, іпотекодавця) з постачання товарів для цілей погашення заборгованості боржника перед кредиторами відповідно до плану реструктуризації, підписаного згідно із законом щодо фінансової реструктуризації, або плану санації, затвердженого згідно із законодавством, що регулює відносини з питань відновлення платоспроможності боржника або визнання його банкрутом, з урахуванням особливостей, встановлених законом щодо фінансової реструктуризації</w:t>
            </w:r>
          </w:p>
        </w:tc>
        <w:tc>
          <w:tcPr>
            <w:tcW w:w="2265" w:type="dxa"/>
            <w:vAlign w:val="center"/>
            <w:hideMark/>
          </w:tcPr>
          <w:p w:rsidR="00C824BB" w:rsidRDefault="00C824BB">
            <w:pPr>
              <w:pStyle w:val="aa"/>
              <w:jc w:val="center"/>
            </w:pPr>
            <w:r>
              <w:t>П. 46 підрозд. 2 розд. ХХ ПК</w:t>
            </w:r>
          </w:p>
        </w:tc>
      </w:tr>
      <w:tr w:rsidR="00C824BB" w:rsidTr="00C824BB">
        <w:trPr>
          <w:tblCellSpacing w:w="15" w:type="dxa"/>
        </w:trPr>
        <w:tc>
          <w:tcPr>
            <w:tcW w:w="7365" w:type="dxa"/>
            <w:vAlign w:val="center"/>
            <w:hideMark/>
          </w:tcPr>
          <w:p w:rsidR="00C824BB" w:rsidRDefault="00C824BB">
            <w:pPr>
              <w:pStyle w:val="aa"/>
            </w:pPr>
            <w:r>
              <w:t>Операції, пов’язані з виконанням зобов’язань щодо відокремлення діяльності з транспортування природного газу та щодо забезпечення діяльності оператора газотранспортної системи, взятих Україною відповідно до </w:t>
            </w:r>
            <w:r w:rsidRPr="00C824BB">
              <w:t>Закону України</w:t>
            </w:r>
            <w:r>
              <w:t> «Про ратифікацію Протоколу про приєднання України до Договору про заснування Енергетичного Співтовариства» (перелік і тимчасовий строк звільнення, із зазначенням про ненарахування компенсуючих ПЗ – у п. 70 підрозд. 2 розд. ХХ ПК)</w:t>
            </w:r>
          </w:p>
        </w:tc>
        <w:tc>
          <w:tcPr>
            <w:tcW w:w="2265" w:type="dxa"/>
            <w:vAlign w:val="center"/>
            <w:hideMark/>
          </w:tcPr>
          <w:p w:rsidR="00C824BB" w:rsidRDefault="00C824BB">
            <w:pPr>
              <w:pStyle w:val="aa"/>
              <w:jc w:val="center"/>
            </w:pPr>
            <w:r>
              <w:t>П. 70 підрозд. 2 розд. ХХ ПК</w:t>
            </w:r>
          </w:p>
        </w:tc>
      </w:tr>
      <w:tr w:rsidR="00C824BB" w:rsidTr="00C824BB">
        <w:trPr>
          <w:tblCellSpacing w:w="15" w:type="dxa"/>
        </w:trPr>
        <w:tc>
          <w:tcPr>
            <w:tcW w:w="7365" w:type="dxa"/>
            <w:vAlign w:val="center"/>
            <w:hideMark/>
          </w:tcPr>
          <w:p w:rsidR="00C824BB" w:rsidRDefault="00C824BB">
            <w:pPr>
              <w:pStyle w:val="aa"/>
            </w:pPr>
            <w:r>
              <w:t>Операції з увезення на митну територію України та/або операції з постачання на митній території України товарів (у т. ч. лікарських засобів, медичних виробів та/або медичного обладнання), необхідних для виконання заходів, спрямованих на запобігання виникненню і поширенню, локалізацію та ліквідацію спалахів, епідемій та пандемій коронавірусної хвороби (COVID-19), перелік яких визначено Кабінетом Міністрів України (тимчасово з 17 березня 2020 р. до останнього дня місяця закінчення карантину)</w:t>
            </w:r>
          </w:p>
        </w:tc>
        <w:tc>
          <w:tcPr>
            <w:tcW w:w="2265" w:type="dxa"/>
            <w:vAlign w:val="center"/>
            <w:hideMark/>
          </w:tcPr>
          <w:p w:rsidR="00C824BB" w:rsidRDefault="00C824BB">
            <w:pPr>
              <w:pStyle w:val="aa"/>
              <w:jc w:val="center"/>
            </w:pPr>
            <w:r>
              <w:t>П. 71 підрозд. 2 розд. ХХ ПК</w:t>
            </w:r>
          </w:p>
        </w:tc>
      </w:tr>
    </w:tbl>
    <w:p w:rsidR="00E90C47" w:rsidRPr="00C824BB" w:rsidRDefault="00E90C47" w:rsidP="00C824BB"/>
    <w:sectPr w:rsidR="00E90C47" w:rsidRPr="00C824BB" w:rsidSect="00CC366B">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624" w:rsidRDefault="004D0624">
      <w:r>
        <w:separator/>
      </w:r>
    </w:p>
  </w:endnote>
  <w:endnote w:type="continuationSeparator" w:id="0">
    <w:p w:rsidR="004D0624" w:rsidRDefault="004D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7D1" w:rsidRPr="00E117D1" w:rsidRDefault="00E117D1" w:rsidP="00E117D1">
    <w:pPr>
      <w:pStyle w:val="a5"/>
      <w:jc w:val="right"/>
    </w:pPr>
    <w:r>
      <w:rPr>
        <w:noProof/>
        <w:lang w:val="ru-RU"/>
      </w:rPr>
      <w:drawing>
        <wp:inline distT="0" distB="0" distL="0" distR="0" wp14:anchorId="17078090" wp14:editId="2D9D4A43">
          <wp:extent cx="895350" cy="219075"/>
          <wp:effectExtent l="0" t="0" r="0" b="9525"/>
          <wp:docPr id="3" name="Рисунок 3" descr="лого цветное"/>
          <wp:cNvGraphicFramePr/>
          <a:graphic xmlns:a="http://schemas.openxmlformats.org/drawingml/2006/main">
            <a:graphicData uri="http://schemas.openxmlformats.org/drawingml/2006/picture">
              <pic:pic xmlns:pic="http://schemas.openxmlformats.org/drawingml/2006/picture">
                <pic:nvPicPr>
                  <pic:cNvPr id="3" name="Рисунок 3" descr="лого цветное"/>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190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624" w:rsidRDefault="004D0624">
      <w:r>
        <w:separator/>
      </w:r>
    </w:p>
  </w:footnote>
  <w:footnote w:type="continuationSeparator" w:id="0">
    <w:p w:rsidR="004D0624" w:rsidRDefault="004D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2B0" w:rsidRDefault="00E852B0">
    <w:pPr>
      <w:pStyle w:val="af0"/>
      <w:jc w:val="center"/>
    </w:pPr>
    <w:r>
      <w:fldChar w:fldCharType="begin"/>
    </w:r>
    <w:r>
      <w:instrText xml:space="preserve"> PAGE   \* MERGEFORMAT </w:instrText>
    </w:r>
    <w:r>
      <w:fldChar w:fldCharType="separate"/>
    </w:r>
    <w:r w:rsidR="00C824BB">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ECE"/>
    <w:multiLevelType w:val="multilevel"/>
    <w:tmpl w:val="697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97EC8"/>
    <w:multiLevelType w:val="multilevel"/>
    <w:tmpl w:val="11A8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74C63"/>
    <w:multiLevelType w:val="multilevel"/>
    <w:tmpl w:val="62FA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F4BF5"/>
    <w:multiLevelType w:val="multilevel"/>
    <w:tmpl w:val="5CF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705A5"/>
    <w:multiLevelType w:val="multilevel"/>
    <w:tmpl w:val="5FA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DE2FC5"/>
    <w:multiLevelType w:val="multilevel"/>
    <w:tmpl w:val="A6C2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D732B"/>
    <w:multiLevelType w:val="multilevel"/>
    <w:tmpl w:val="02E8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3DAD"/>
    <w:multiLevelType w:val="multilevel"/>
    <w:tmpl w:val="AE06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E0C90"/>
    <w:multiLevelType w:val="multilevel"/>
    <w:tmpl w:val="677C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47BC2"/>
    <w:multiLevelType w:val="multilevel"/>
    <w:tmpl w:val="14927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55C8F"/>
    <w:multiLevelType w:val="multilevel"/>
    <w:tmpl w:val="4FD4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C44295"/>
    <w:multiLevelType w:val="multilevel"/>
    <w:tmpl w:val="008A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83714"/>
    <w:multiLevelType w:val="multilevel"/>
    <w:tmpl w:val="720E0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721098"/>
    <w:multiLevelType w:val="multilevel"/>
    <w:tmpl w:val="B712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0697C"/>
    <w:multiLevelType w:val="multilevel"/>
    <w:tmpl w:val="1F6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81D4D"/>
    <w:multiLevelType w:val="hybridMultilevel"/>
    <w:tmpl w:val="470AA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8421F"/>
    <w:multiLevelType w:val="multilevel"/>
    <w:tmpl w:val="E50E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E65247"/>
    <w:multiLevelType w:val="multilevel"/>
    <w:tmpl w:val="5DB67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F165AE"/>
    <w:multiLevelType w:val="multilevel"/>
    <w:tmpl w:val="1D2EB8A4"/>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4D39507E"/>
    <w:multiLevelType w:val="multilevel"/>
    <w:tmpl w:val="4218F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50466223"/>
    <w:multiLevelType w:val="multilevel"/>
    <w:tmpl w:val="5742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B10154"/>
    <w:multiLevelType w:val="multilevel"/>
    <w:tmpl w:val="549E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A1725E"/>
    <w:multiLevelType w:val="multilevel"/>
    <w:tmpl w:val="7E56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30753A"/>
    <w:multiLevelType w:val="multilevel"/>
    <w:tmpl w:val="4218F0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65012D72"/>
    <w:multiLevelType w:val="multilevel"/>
    <w:tmpl w:val="5A9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C071AF"/>
    <w:multiLevelType w:val="multilevel"/>
    <w:tmpl w:val="4FD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0E296A"/>
    <w:multiLevelType w:val="multilevel"/>
    <w:tmpl w:val="41A0EC4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7" w15:restartNumberingAfterBreak="0">
    <w:nsid w:val="6BEA2FAE"/>
    <w:multiLevelType w:val="multilevel"/>
    <w:tmpl w:val="ABFA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246602"/>
    <w:multiLevelType w:val="multilevel"/>
    <w:tmpl w:val="6FC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5263F6"/>
    <w:multiLevelType w:val="multilevel"/>
    <w:tmpl w:val="4E60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BC05E1"/>
    <w:multiLevelType w:val="hybridMultilevel"/>
    <w:tmpl w:val="14AC68AC"/>
    <w:lvl w:ilvl="0" w:tplc="499A2490">
      <w:start w:val="1"/>
      <w:numFmt w:val="decimal"/>
      <w:lvlText w:val="%1)"/>
      <w:lvlJc w:val="left"/>
      <w:pPr>
        <w:ind w:left="1416" w:hanging="99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1" w15:restartNumberingAfterBreak="0">
    <w:nsid w:val="6E6A29B0"/>
    <w:multiLevelType w:val="multilevel"/>
    <w:tmpl w:val="DB9A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701298"/>
    <w:multiLevelType w:val="multilevel"/>
    <w:tmpl w:val="F612C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431187"/>
    <w:multiLevelType w:val="multilevel"/>
    <w:tmpl w:val="292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A206FE"/>
    <w:multiLevelType w:val="multilevel"/>
    <w:tmpl w:val="EFDA3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3"/>
  </w:num>
  <w:num w:numId="3">
    <w:abstractNumId w:val="3"/>
  </w:num>
  <w:num w:numId="4">
    <w:abstractNumId w:val="29"/>
  </w:num>
  <w:num w:numId="5">
    <w:abstractNumId w:val="8"/>
  </w:num>
  <w:num w:numId="6">
    <w:abstractNumId w:val="33"/>
  </w:num>
  <w:num w:numId="7">
    <w:abstractNumId w:val="1"/>
  </w:num>
  <w:num w:numId="8">
    <w:abstractNumId w:val="19"/>
  </w:num>
  <w:num w:numId="9">
    <w:abstractNumId w:val="23"/>
  </w:num>
  <w:num w:numId="10">
    <w:abstractNumId w:val="5"/>
  </w:num>
  <w:num w:numId="11">
    <w:abstractNumId w:val="4"/>
  </w:num>
  <w:num w:numId="12">
    <w:abstractNumId w:val="2"/>
  </w:num>
  <w:num w:numId="13">
    <w:abstractNumId w:val="10"/>
  </w:num>
  <w:num w:numId="14">
    <w:abstractNumId w:val="24"/>
  </w:num>
  <w:num w:numId="15">
    <w:abstractNumId w:val="34"/>
  </w:num>
  <w:num w:numId="16">
    <w:abstractNumId w:val="21"/>
  </w:num>
  <w:num w:numId="17">
    <w:abstractNumId w:val="32"/>
  </w:num>
  <w:num w:numId="18">
    <w:abstractNumId w:val="12"/>
  </w:num>
  <w:num w:numId="19">
    <w:abstractNumId w:val="9"/>
  </w:num>
  <w:num w:numId="20">
    <w:abstractNumId w:val="22"/>
  </w:num>
  <w:num w:numId="21">
    <w:abstractNumId w:val="31"/>
  </w:num>
  <w:num w:numId="22">
    <w:abstractNumId w:val="6"/>
  </w:num>
  <w:num w:numId="23">
    <w:abstractNumId w:val="14"/>
  </w:num>
  <w:num w:numId="24">
    <w:abstractNumId w:val="27"/>
  </w:num>
  <w:num w:numId="25">
    <w:abstractNumId w:val="0"/>
  </w:num>
  <w:num w:numId="26">
    <w:abstractNumId w:val="26"/>
  </w:num>
  <w:num w:numId="27">
    <w:abstractNumId w:val="30"/>
  </w:num>
  <w:num w:numId="28">
    <w:abstractNumId w:val="18"/>
  </w:num>
  <w:num w:numId="29">
    <w:abstractNumId w:val="15"/>
  </w:num>
  <w:num w:numId="30">
    <w:abstractNumId w:val="16"/>
  </w:num>
  <w:num w:numId="31">
    <w:abstractNumId w:val="20"/>
  </w:num>
  <w:num w:numId="32">
    <w:abstractNumId w:val="28"/>
  </w:num>
  <w:num w:numId="33">
    <w:abstractNumId w:val="7"/>
  </w:num>
  <w:num w:numId="34">
    <w:abstractNumId w:val="11"/>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D2"/>
    <w:rsid w:val="0000367F"/>
    <w:rsid w:val="0002742F"/>
    <w:rsid w:val="00041A21"/>
    <w:rsid w:val="000455D6"/>
    <w:rsid w:val="0005351D"/>
    <w:rsid w:val="00060267"/>
    <w:rsid w:val="00067F49"/>
    <w:rsid w:val="00084826"/>
    <w:rsid w:val="0009791D"/>
    <w:rsid w:val="000A1C52"/>
    <w:rsid w:val="000A43A0"/>
    <w:rsid w:val="000A73E6"/>
    <w:rsid w:val="000C41A8"/>
    <w:rsid w:val="000C78F1"/>
    <w:rsid w:val="000D4999"/>
    <w:rsid w:val="000F21B6"/>
    <w:rsid w:val="000F69A0"/>
    <w:rsid w:val="00100FB9"/>
    <w:rsid w:val="00121883"/>
    <w:rsid w:val="001223F3"/>
    <w:rsid w:val="00126310"/>
    <w:rsid w:val="0013574B"/>
    <w:rsid w:val="001376AF"/>
    <w:rsid w:val="0014610C"/>
    <w:rsid w:val="00150229"/>
    <w:rsid w:val="001547A7"/>
    <w:rsid w:val="00161575"/>
    <w:rsid w:val="00161FAA"/>
    <w:rsid w:val="00162F25"/>
    <w:rsid w:val="00163B35"/>
    <w:rsid w:val="00166950"/>
    <w:rsid w:val="001914E8"/>
    <w:rsid w:val="00193226"/>
    <w:rsid w:val="001951FF"/>
    <w:rsid w:val="001A18E4"/>
    <w:rsid w:val="001A233C"/>
    <w:rsid w:val="001B26A3"/>
    <w:rsid w:val="001C2598"/>
    <w:rsid w:val="001C39E5"/>
    <w:rsid w:val="001E3173"/>
    <w:rsid w:val="001F4602"/>
    <w:rsid w:val="00202F4C"/>
    <w:rsid w:val="00207F70"/>
    <w:rsid w:val="00215437"/>
    <w:rsid w:val="00220527"/>
    <w:rsid w:val="00243D45"/>
    <w:rsid w:val="00257BFF"/>
    <w:rsid w:val="002661E9"/>
    <w:rsid w:val="002673F5"/>
    <w:rsid w:val="00294892"/>
    <w:rsid w:val="00296EED"/>
    <w:rsid w:val="002A6C73"/>
    <w:rsid w:val="002D232D"/>
    <w:rsid w:val="002D31F2"/>
    <w:rsid w:val="002D5CB7"/>
    <w:rsid w:val="002D6F53"/>
    <w:rsid w:val="002D75E8"/>
    <w:rsid w:val="002F48E6"/>
    <w:rsid w:val="00304312"/>
    <w:rsid w:val="003045EE"/>
    <w:rsid w:val="00351C24"/>
    <w:rsid w:val="00352139"/>
    <w:rsid w:val="003646BB"/>
    <w:rsid w:val="00393547"/>
    <w:rsid w:val="003A0272"/>
    <w:rsid w:val="003A1DDE"/>
    <w:rsid w:val="003A2E92"/>
    <w:rsid w:val="003A737A"/>
    <w:rsid w:val="003D56DE"/>
    <w:rsid w:val="003D599B"/>
    <w:rsid w:val="003E26F7"/>
    <w:rsid w:val="003E3D5D"/>
    <w:rsid w:val="004146C0"/>
    <w:rsid w:val="00417E17"/>
    <w:rsid w:val="00435DDB"/>
    <w:rsid w:val="00445FA2"/>
    <w:rsid w:val="00455651"/>
    <w:rsid w:val="00466D51"/>
    <w:rsid w:val="004852F1"/>
    <w:rsid w:val="004B21C3"/>
    <w:rsid w:val="004B2CB8"/>
    <w:rsid w:val="004B5D0A"/>
    <w:rsid w:val="004C0299"/>
    <w:rsid w:val="004D0624"/>
    <w:rsid w:val="004D2ACE"/>
    <w:rsid w:val="004D3045"/>
    <w:rsid w:val="004F2357"/>
    <w:rsid w:val="004F286E"/>
    <w:rsid w:val="004F5258"/>
    <w:rsid w:val="004F6888"/>
    <w:rsid w:val="00502115"/>
    <w:rsid w:val="00506389"/>
    <w:rsid w:val="00514411"/>
    <w:rsid w:val="00527CB8"/>
    <w:rsid w:val="00536220"/>
    <w:rsid w:val="0054319F"/>
    <w:rsid w:val="005434F0"/>
    <w:rsid w:val="0054765D"/>
    <w:rsid w:val="00581870"/>
    <w:rsid w:val="00581BC2"/>
    <w:rsid w:val="005824EE"/>
    <w:rsid w:val="005B2237"/>
    <w:rsid w:val="005B3421"/>
    <w:rsid w:val="005C0AD5"/>
    <w:rsid w:val="005C3F2D"/>
    <w:rsid w:val="005D4226"/>
    <w:rsid w:val="005F4C11"/>
    <w:rsid w:val="005F53DE"/>
    <w:rsid w:val="00600E7D"/>
    <w:rsid w:val="00606244"/>
    <w:rsid w:val="00607E91"/>
    <w:rsid w:val="00611714"/>
    <w:rsid w:val="00615E94"/>
    <w:rsid w:val="00620A1B"/>
    <w:rsid w:val="00632012"/>
    <w:rsid w:val="006346E4"/>
    <w:rsid w:val="00637F0C"/>
    <w:rsid w:val="00641E04"/>
    <w:rsid w:val="00645050"/>
    <w:rsid w:val="0064665A"/>
    <w:rsid w:val="006550D4"/>
    <w:rsid w:val="0066671D"/>
    <w:rsid w:val="00666F38"/>
    <w:rsid w:val="0068213D"/>
    <w:rsid w:val="00686557"/>
    <w:rsid w:val="006A17C3"/>
    <w:rsid w:val="006C115A"/>
    <w:rsid w:val="006C23AA"/>
    <w:rsid w:val="006E366A"/>
    <w:rsid w:val="006E478D"/>
    <w:rsid w:val="006E5663"/>
    <w:rsid w:val="006F502D"/>
    <w:rsid w:val="00702ECF"/>
    <w:rsid w:val="00704056"/>
    <w:rsid w:val="007040BF"/>
    <w:rsid w:val="00715C16"/>
    <w:rsid w:val="0072760B"/>
    <w:rsid w:val="0073309D"/>
    <w:rsid w:val="00737A8B"/>
    <w:rsid w:val="00752275"/>
    <w:rsid w:val="007967BB"/>
    <w:rsid w:val="00797F23"/>
    <w:rsid w:val="007A29A6"/>
    <w:rsid w:val="007B7095"/>
    <w:rsid w:val="007C182C"/>
    <w:rsid w:val="007D284D"/>
    <w:rsid w:val="007D3BC2"/>
    <w:rsid w:val="007D55E5"/>
    <w:rsid w:val="007D7ED5"/>
    <w:rsid w:val="007E7EDB"/>
    <w:rsid w:val="00820CBD"/>
    <w:rsid w:val="008349AA"/>
    <w:rsid w:val="00842BE7"/>
    <w:rsid w:val="008443D7"/>
    <w:rsid w:val="00847A65"/>
    <w:rsid w:val="00853219"/>
    <w:rsid w:val="00857712"/>
    <w:rsid w:val="00861DDA"/>
    <w:rsid w:val="00864B9B"/>
    <w:rsid w:val="00865F06"/>
    <w:rsid w:val="008A305D"/>
    <w:rsid w:val="008A6E07"/>
    <w:rsid w:val="008A746C"/>
    <w:rsid w:val="008B18CF"/>
    <w:rsid w:val="008C117D"/>
    <w:rsid w:val="008C665B"/>
    <w:rsid w:val="008F110B"/>
    <w:rsid w:val="008F1584"/>
    <w:rsid w:val="0091076B"/>
    <w:rsid w:val="00913338"/>
    <w:rsid w:val="00925CE2"/>
    <w:rsid w:val="00931D33"/>
    <w:rsid w:val="00936B34"/>
    <w:rsid w:val="009441F4"/>
    <w:rsid w:val="00950FD6"/>
    <w:rsid w:val="009512D7"/>
    <w:rsid w:val="00981CE9"/>
    <w:rsid w:val="0098409C"/>
    <w:rsid w:val="00991536"/>
    <w:rsid w:val="00994647"/>
    <w:rsid w:val="0099762B"/>
    <w:rsid w:val="009A3D4C"/>
    <w:rsid w:val="009A4C83"/>
    <w:rsid w:val="009B50FF"/>
    <w:rsid w:val="009C3071"/>
    <w:rsid w:val="009D176E"/>
    <w:rsid w:val="009D4A2E"/>
    <w:rsid w:val="009D7CF6"/>
    <w:rsid w:val="009E70C5"/>
    <w:rsid w:val="009F17DD"/>
    <w:rsid w:val="009F2B85"/>
    <w:rsid w:val="009F48DF"/>
    <w:rsid w:val="00A058D5"/>
    <w:rsid w:val="00A12563"/>
    <w:rsid w:val="00A20153"/>
    <w:rsid w:val="00A2024F"/>
    <w:rsid w:val="00A22F89"/>
    <w:rsid w:val="00A23319"/>
    <w:rsid w:val="00A24FDC"/>
    <w:rsid w:val="00A25517"/>
    <w:rsid w:val="00A3109D"/>
    <w:rsid w:val="00A36838"/>
    <w:rsid w:val="00A4035F"/>
    <w:rsid w:val="00A55EDF"/>
    <w:rsid w:val="00A56BFC"/>
    <w:rsid w:val="00A61F6F"/>
    <w:rsid w:val="00A6614C"/>
    <w:rsid w:val="00A70C32"/>
    <w:rsid w:val="00A719D3"/>
    <w:rsid w:val="00A76D08"/>
    <w:rsid w:val="00AA7797"/>
    <w:rsid w:val="00AB485D"/>
    <w:rsid w:val="00AC2E12"/>
    <w:rsid w:val="00AE0DE3"/>
    <w:rsid w:val="00AE751F"/>
    <w:rsid w:val="00AF4EE7"/>
    <w:rsid w:val="00B11017"/>
    <w:rsid w:val="00B1679A"/>
    <w:rsid w:val="00B250F4"/>
    <w:rsid w:val="00B25C42"/>
    <w:rsid w:val="00B26F9D"/>
    <w:rsid w:val="00B3298F"/>
    <w:rsid w:val="00B4151F"/>
    <w:rsid w:val="00B567AA"/>
    <w:rsid w:val="00B7228B"/>
    <w:rsid w:val="00B82F06"/>
    <w:rsid w:val="00B85192"/>
    <w:rsid w:val="00BA554E"/>
    <w:rsid w:val="00BB36FA"/>
    <w:rsid w:val="00BC35B0"/>
    <w:rsid w:val="00BC5C57"/>
    <w:rsid w:val="00BC66CD"/>
    <w:rsid w:val="00BD15E7"/>
    <w:rsid w:val="00BD6B74"/>
    <w:rsid w:val="00BF2A4F"/>
    <w:rsid w:val="00BF7AD3"/>
    <w:rsid w:val="00C00AAC"/>
    <w:rsid w:val="00C15F01"/>
    <w:rsid w:val="00C46143"/>
    <w:rsid w:val="00C5523B"/>
    <w:rsid w:val="00C67EB3"/>
    <w:rsid w:val="00C81A5F"/>
    <w:rsid w:val="00C824BB"/>
    <w:rsid w:val="00C844D6"/>
    <w:rsid w:val="00C853D2"/>
    <w:rsid w:val="00C86F45"/>
    <w:rsid w:val="00CA7750"/>
    <w:rsid w:val="00CA7B2C"/>
    <w:rsid w:val="00CB3749"/>
    <w:rsid w:val="00CC366B"/>
    <w:rsid w:val="00CC70FC"/>
    <w:rsid w:val="00CD0C3F"/>
    <w:rsid w:val="00CD552E"/>
    <w:rsid w:val="00CF0316"/>
    <w:rsid w:val="00D00E27"/>
    <w:rsid w:val="00D01459"/>
    <w:rsid w:val="00D044BD"/>
    <w:rsid w:val="00D11BDF"/>
    <w:rsid w:val="00D14C9D"/>
    <w:rsid w:val="00D3297D"/>
    <w:rsid w:val="00D417FE"/>
    <w:rsid w:val="00D45DA5"/>
    <w:rsid w:val="00D46A7B"/>
    <w:rsid w:val="00D508F0"/>
    <w:rsid w:val="00D73801"/>
    <w:rsid w:val="00D90C02"/>
    <w:rsid w:val="00DA2BCF"/>
    <w:rsid w:val="00DB336D"/>
    <w:rsid w:val="00DB454F"/>
    <w:rsid w:val="00DB5069"/>
    <w:rsid w:val="00DC4BF3"/>
    <w:rsid w:val="00DC70A5"/>
    <w:rsid w:val="00DD0DA2"/>
    <w:rsid w:val="00DF2CFC"/>
    <w:rsid w:val="00DF33A5"/>
    <w:rsid w:val="00E01AD1"/>
    <w:rsid w:val="00E05E5F"/>
    <w:rsid w:val="00E117D1"/>
    <w:rsid w:val="00E15978"/>
    <w:rsid w:val="00E20313"/>
    <w:rsid w:val="00E21C3E"/>
    <w:rsid w:val="00E227A3"/>
    <w:rsid w:val="00E37B4E"/>
    <w:rsid w:val="00E50272"/>
    <w:rsid w:val="00E512AE"/>
    <w:rsid w:val="00E51767"/>
    <w:rsid w:val="00E63EB0"/>
    <w:rsid w:val="00E7162F"/>
    <w:rsid w:val="00E852B0"/>
    <w:rsid w:val="00E85A47"/>
    <w:rsid w:val="00E90C47"/>
    <w:rsid w:val="00EA3124"/>
    <w:rsid w:val="00EA3351"/>
    <w:rsid w:val="00EB2B63"/>
    <w:rsid w:val="00EB58D8"/>
    <w:rsid w:val="00EC528E"/>
    <w:rsid w:val="00EC6AED"/>
    <w:rsid w:val="00ED00F3"/>
    <w:rsid w:val="00ED3B8E"/>
    <w:rsid w:val="00EE03D9"/>
    <w:rsid w:val="00EF06C8"/>
    <w:rsid w:val="00F06670"/>
    <w:rsid w:val="00F1409C"/>
    <w:rsid w:val="00F33755"/>
    <w:rsid w:val="00F363C8"/>
    <w:rsid w:val="00F41232"/>
    <w:rsid w:val="00F41A3F"/>
    <w:rsid w:val="00F44186"/>
    <w:rsid w:val="00F57815"/>
    <w:rsid w:val="00F71C5D"/>
    <w:rsid w:val="00F7249F"/>
    <w:rsid w:val="00F83C30"/>
    <w:rsid w:val="00F8620C"/>
    <w:rsid w:val="00F93608"/>
    <w:rsid w:val="00FA3CEE"/>
    <w:rsid w:val="00FA72D6"/>
    <w:rsid w:val="00FB27C3"/>
    <w:rsid w:val="00FB2C58"/>
    <w:rsid w:val="00FB783F"/>
    <w:rsid w:val="00FB7DD1"/>
    <w:rsid w:val="00FC1E57"/>
    <w:rsid w:val="00FC4AE0"/>
    <w:rsid w:val="00FD461E"/>
    <w:rsid w:val="00FD7027"/>
    <w:rsid w:val="00FE1F58"/>
    <w:rsid w:val="00FE31E9"/>
    <w:rsid w:val="00FE55FE"/>
    <w:rsid w:val="00FE5A80"/>
    <w:rsid w:val="00FF096F"/>
    <w:rsid w:val="00FF166D"/>
    <w:rsid w:val="00FF1C26"/>
    <w:rsid w:val="00FF3753"/>
    <w:rsid w:val="00FF380C"/>
    <w:rsid w:val="00FF450A"/>
    <w:rsid w:val="00FF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D6DD8A-CF31-4522-8DDF-0F8626257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3" w:semiHidden="1" w:uiPriority="0" w:unhideWhenUsed="1"/>
    <w:lsdException w:name="Hyperlink" w:semiHidden="1" w:uiPriority="0" w:unhideWhenUsed="1"/>
    <w:lsdException w:name="Strong" w:uiPriority="22" w:qFormat="1"/>
    <w:lsdException w:name="Emphasis" w:uiPriority="20" w:qFormat="1"/>
    <w:lsdException w:name="HTML Top of Form" w:semiHidden="1" w:uiPriority="0" w:unhideWhenUsed="1"/>
    <w:lsdException w:name="HTML Bottom of Form" w:semiHidden="1" w:uiPriority="0" w:unhideWhenUsed="1"/>
    <w:lsdException w:name="Normal (Web)" w:semiHidden="1"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C83"/>
    <w:rPr>
      <w:sz w:val="24"/>
      <w:szCs w:val="24"/>
    </w:rPr>
  </w:style>
  <w:style w:type="paragraph" w:styleId="1">
    <w:name w:val="heading 1"/>
    <w:basedOn w:val="a"/>
    <w:link w:val="10"/>
    <w:uiPriority w:val="9"/>
    <w:qFormat/>
    <w:rsid w:val="00AE751F"/>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E751F"/>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E21C3E"/>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qFormat/>
    <w:rsid w:val="00AE751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AE751F"/>
    <w:rPr>
      <w:rFonts w:cs="Times New Roman"/>
      <w:b/>
      <w:kern w:val="36"/>
      <w:sz w:val="48"/>
    </w:rPr>
  </w:style>
  <w:style w:type="character" w:customStyle="1" w:styleId="20">
    <w:name w:val="Заголовок 2 Знак"/>
    <w:basedOn w:val="a0"/>
    <w:link w:val="2"/>
    <w:uiPriority w:val="9"/>
    <w:locked/>
    <w:rsid w:val="00AE751F"/>
    <w:rPr>
      <w:rFonts w:cs="Times New Roman"/>
      <w:b/>
      <w:sz w:val="36"/>
    </w:rPr>
  </w:style>
  <w:style w:type="character" w:customStyle="1" w:styleId="50">
    <w:name w:val="Заголовок 5 Знак"/>
    <w:basedOn w:val="a0"/>
    <w:link w:val="5"/>
    <w:uiPriority w:val="9"/>
    <w:locked/>
    <w:rsid w:val="00AE751F"/>
    <w:rPr>
      <w:rFonts w:cs="Times New Roman"/>
      <w:b/>
      <w:i/>
      <w:sz w:val="26"/>
    </w:rPr>
  </w:style>
  <w:style w:type="character" w:styleId="a3">
    <w:name w:val="Emphasis"/>
    <w:basedOn w:val="a0"/>
    <w:uiPriority w:val="20"/>
    <w:qFormat/>
    <w:rsid w:val="00AE751F"/>
    <w:rPr>
      <w:rFonts w:cs="Times New Roman"/>
      <w:i/>
    </w:rPr>
  </w:style>
  <w:style w:type="table" w:styleId="a4">
    <w:name w:val="Table Grid"/>
    <w:basedOn w:val="a1"/>
    <w:uiPriority w:val="39"/>
    <w:rsid w:val="009A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E05E5F"/>
    <w:pPr>
      <w:tabs>
        <w:tab w:val="center" w:pos="4677"/>
        <w:tab w:val="right" w:pos="9355"/>
      </w:tabs>
    </w:pPr>
    <w:rPr>
      <w:lang w:val="uk-UA"/>
    </w:rPr>
  </w:style>
  <w:style w:type="character" w:customStyle="1" w:styleId="a6">
    <w:name w:val="Нижний колонтитул Знак"/>
    <w:basedOn w:val="a0"/>
    <w:link w:val="a5"/>
    <w:uiPriority w:val="99"/>
    <w:locked/>
    <w:rsid w:val="00E05E5F"/>
    <w:rPr>
      <w:rFonts w:cs="Times New Roman"/>
      <w:sz w:val="24"/>
      <w:lang w:val="uk-UA" w:eastAsia="x-none"/>
    </w:rPr>
  </w:style>
  <w:style w:type="paragraph" w:styleId="a7">
    <w:name w:val="Title"/>
    <w:basedOn w:val="a"/>
    <w:next w:val="a"/>
    <w:link w:val="a8"/>
    <w:uiPriority w:val="10"/>
    <w:qFormat/>
    <w:rsid w:val="00AE751F"/>
    <w:pPr>
      <w:spacing w:before="240" w:after="60"/>
      <w:jc w:val="center"/>
      <w:outlineLvl w:val="0"/>
    </w:pPr>
    <w:rPr>
      <w:rFonts w:ascii="Cambria" w:hAnsi="Cambria"/>
      <w:b/>
      <w:bCs/>
      <w:kern w:val="28"/>
      <w:sz w:val="32"/>
      <w:szCs w:val="32"/>
    </w:rPr>
  </w:style>
  <w:style w:type="character" w:customStyle="1" w:styleId="a8">
    <w:name w:val="Название Знак"/>
    <w:basedOn w:val="a0"/>
    <w:link w:val="a7"/>
    <w:uiPriority w:val="10"/>
    <w:locked/>
    <w:rsid w:val="00AE751F"/>
    <w:rPr>
      <w:rFonts w:ascii="Cambria" w:hAnsi="Cambria" w:cs="Times New Roman"/>
      <w:b/>
      <w:kern w:val="28"/>
      <w:sz w:val="32"/>
    </w:rPr>
  </w:style>
  <w:style w:type="character" w:styleId="a9">
    <w:name w:val="Strong"/>
    <w:basedOn w:val="a0"/>
    <w:uiPriority w:val="22"/>
    <w:qFormat/>
    <w:rsid w:val="00AE751F"/>
    <w:rPr>
      <w:rFonts w:cs="Times New Roman"/>
      <w:b/>
    </w:rPr>
  </w:style>
  <w:style w:type="paragraph" w:styleId="aa">
    <w:name w:val="Normal (Web)"/>
    <w:basedOn w:val="a"/>
    <w:uiPriority w:val="99"/>
    <w:rsid w:val="00AE751F"/>
    <w:pPr>
      <w:spacing w:before="100" w:beforeAutospacing="1" w:after="100" w:afterAutospacing="1"/>
    </w:pPr>
    <w:rPr>
      <w:sz w:val="20"/>
      <w:szCs w:val="20"/>
    </w:rPr>
  </w:style>
  <w:style w:type="character" w:styleId="ab">
    <w:name w:val="Hyperlink"/>
    <w:basedOn w:val="a0"/>
    <w:uiPriority w:val="99"/>
    <w:rsid w:val="00AE751F"/>
    <w:rPr>
      <w:rFonts w:cs="Times New Roman"/>
      <w:color w:val="0000FF"/>
      <w:u w:val="single"/>
    </w:rPr>
  </w:style>
  <w:style w:type="paragraph" w:customStyle="1" w:styleId="11">
    <w:name w:val="Обычный (веб)1"/>
    <w:basedOn w:val="a"/>
    <w:rsid w:val="00AE751F"/>
    <w:pPr>
      <w:spacing w:before="100" w:beforeAutospacing="1" w:after="100" w:afterAutospacing="1"/>
    </w:pPr>
    <w:rPr>
      <w:rFonts w:ascii="Verdana" w:hAnsi="Verdana"/>
      <w:color w:val="003366"/>
      <w:sz w:val="18"/>
      <w:szCs w:val="18"/>
    </w:rPr>
  </w:style>
  <w:style w:type="paragraph" w:customStyle="1" w:styleId="fix1">
    <w:name w:val="fix1"/>
    <w:basedOn w:val="a"/>
    <w:rsid w:val="00AE751F"/>
    <w:pPr>
      <w:spacing w:before="100" w:beforeAutospacing="1" w:after="100" w:afterAutospacing="1"/>
    </w:pPr>
    <w:rPr>
      <w:rFonts w:ascii="Courier New" w:hAnsi="Courier New" w:cs="Courier New"/>
      <w:color w:val="003366"/>
      <w:sz w:val="21"/>
      <w:szCs w:val="21"/>
    </w:rPr>
  </w:style>
  <w:style w:type="character" w:customStyle="1" w:styleId="editsection1">
    <w:name w:val="editsection1"/>
    <w:basedOn w:val="a0"/>
    <w:rsid w:val="00AE751F"/>
    <w:rPr>
      <w:rFonts w:cs="Times New Roman"/>
    </w:rPr>
  </w:style>
  <w:style w:type="character" w:customStyle="1" w:styleId="mw-headline">
    <w:name w:val="mw-headline"/>
    <w:basedOn w:val="a0"/>
    <w:rsid w:val="00AE751F"/>
    <w:rPr>
      <w:rFonts w:cs="Times New Roman"/>
    </w:rPr>
  </w:style>
  <w:style w:type="character" w:customStyle="1" w:styleId="plainlinks">
    <w:name w:val="plainlinks"/>
    <w:basedOn w:val="a0"/>
    <w:rsid w:val="00AE751F"/>
    <w:rPr>
      <w:rFonts w:cs="Times New Roman"/>
    </w:rPr>
  </w:style>
  <w:style w:type="character" w:customStyle="1" w:styleId="tocnumber2">
    <w:name w:val="tocnumber2"/>
    <w:basedOn w:val="a0"/>
    <w:rsid w:val="00AE751F"/>
    <w:rPr>
      <w:rFonts w:cs="Times New Roman"/>
    </w:rPr>
  </w:style>
  <w:style w:type="character" w:customStyle="1" w:styleId="toctext">
    <w:name w:val="toctext"/>
    <w:basedOn w:val="a0"/>
    <w:rsid w:val="00AE751F"/>
    <w:rPr>
      <w:rFonts w:cs="Times New Roman"/>
    </w:rPr>
  </w:style>
  <w:style w:type="character" w:customStyle="1" w:styleId="editsection">
    <w:name w:val="editsection"/>
    <w:basedOn w:val="a0"/>
    <w:rsid w:val="00AE751F"/>
    <w:rPr>
      <w:rFonts w:cs="Times New Roman"/>
    </w:rPr>
  </w:style>
  <w:style w:type="character" w:customStyle="1" w:styleId="citation">
    <w:name w:val="citation"/>
    <w:rsid w:val="00AE751F"/>
    <w:rPr>
      <w:sz w:val="22"/>
    </w:rPr>
  </w:style>
  <w:style w:type="paragraph" w:styleId="z-">
    <w:name w:val="HTML Top of Form"/>
    <w:basedOn w:val="a"/>
    <w:next w:val="a"/>
    <w:link w:val="z-0"/>
    <w:hidden/>
    <w:uiPriority w:val="99"/>
    <w:rsid w:val="00AE751F"/>
    <w:pPr>
      <w:pBdr>
        <w:bottom w:val="single" w:sz="6" w:space="1" w:color="auto"/>
      </w:pBdr>
      <w:jc w:val="center"/>
    </w:pPr>
    <w:rPr>
      <w:rFonts w:ascii="Arial" w:hAnsi="Arial"/>
      <w:vanish/>
      <w:sz w:val="16"/>
      <w:szCs w:val="16"/>
    </w:rPr>
  </w:style>
  <w:style w:type="character" w:customStyle="1" w:styleId="z-0">
    <w:name w:val="z-Начало формы Знак"/>
    <w:basedOn w:val="a0"/>
    <w:link w:val="z-"/>
    <w:uiPriority w:val="99"/>
    <w:locked/>
    <w:rsid w:val="00AE751F"/>
    <w:rPr>
      <w:rFonts w:ascii="Arial" w:hAnsi="Arial" w:cs="Times New Roman"/>
      <w:vanish/>
      <w:sz w:val="16"/>
    </w:rPr>
  </w:style>
  <w:style w:type="paragraph" w:styleId="z-1">
    <w:name w:val="HTML Bottom of Form"/>
    <w:basedOn w:val="a"/>
    <w:next w:val="a"/>
    <w:link w:val="z-2"/>
    <w:hidden/>
    <w:uiPriority w:val="99"/>
    <w:rsid w:val="00AE751F"/>
    <w:pPr>
      <w:pBdr>
        <w:top w:val="single" w:sz="6" w:space="1" w:color="auto"/>
      </w:pBdr>
      <w:jc w:val="center"/>
    </w:pPr>
    <w:rPr>
      <w:rFonts w:ascii="Arial" w:hAnsi="Arial"/>
      <w:vanish/>
      <w:sz w:val="16"/>
      <w:szCs w:val="16"/>
    </w:rPr>
  </w:style>
  <w:style w:type="character" w:customStyle="1" w:styleId="z-2">
    <w:name w:val="z-Конец формы Знак"/>
    <w:basedOn w:val="a0"/>
    <w:link w:val="z-1"/>
    <w:uiPriority w:val="99"/>
    <w:locked/>
    <w:rsid w:val="00AE751F"/>
    <w:rPr>
      <w:rFonts w:ascii="Arial" w:hAnsi="Arial" w:cs="Times New Roman"/>
      <w:vanish/>
      <w:sz w:val="16"/>
    </w:rPr>
  </w:style>
  <w:style w:type="paragraph" w:styleId="HTML">
    <w:name w:val="HTML Preformatted"/>
    <w:basedOn w:val="a"/>
    <w:link w:val="HTML0"/>
    <w:uiPriority w:val="99"/>
    <w:rsid w:val="00AE7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basedOn w:val="a0"/>
    <w:link w:val="HTML"/>
    <w:uiPriority w:val="99"/>
    <w:locked/>
    <w:rsid w:val="00AE751F"/>
    <w:rPr>
      <w:rFonts w:ascii="Courier New" w:hAnsi="Courier New" w:cs="Times New Roman"/>
      <w:color w:val="000000"/>
      <w:sz w:val="21"/>
    </w:rPr>
  </w:style>
  <w:style w:type="paragraph" w:styleId="ac">
    <w:name w:val="Body Text Indent"/>
    <w:basedOn w:val="a"/>
    <w:link w:val="ad"/>
    <w:uiPriority w:val="99"/>
    <w:rsid w:val="00AE751F"/>
    <w:pPr>
      <w:ind w:firstLine="567"/>
      <w:jc w:val="both"/>
    </w:pPr>
    <w:rPr>
      <w:sz w:val="28"/>
      <w:szCs w:val="16"/>
    </w:rPr>
  </w:style>
  <w:style w:type="character" w:customStyle="1" w:styleId="ad">
    <w:name w:val="Основной текст с отступом Знак"/>
    <w:basedOn w:val="a0"/>
    <w:link w:val="ac"/>
    <w:uiPriority w:val="99"/>
    <w:locked/>
    <w:rsid w:val="00AE751F"/>
    <w:rPr>
      <w:rFonts w:cs="Times New Roman"/>
      <w:sz w:val="16"/>
    </w:rPr>
  </w:style>
  <w:style w:type="paragraph" w:styleId="ae">
    <w:name w:val="Body Text"/>
    <w:basedOn w:val="a"/>
    <w:link w:val="af"/>
    <w:uiPriority w:val="99"/>
    <w:rsid w:val="00AE751F"/>
    <w:pPr>
      <w:jc w:val="center"/>
    </w:pPr>
    <w:rPr>
      <w:b/>
      <w:bCs/>
      <w:sz w:val="28"/>
      <w:szCs w:val="20"/>
    </w:rPr>
  </w:style>
  <w:style w:type="character" w:customStyle="1" w:styleId="af">
    <w:name w:val="Основной текст Знак"/>
    <w:basedOn w:val="a0"/>
    <w:link w:val="ae"/>
    <w:uiPriority w:val="99"/>
    <w:locked/>
    <w:rsid w:val="00AE751F"/>
    <w:rPr>
      <w:rFonts w:cs="Times New Roman"/>
      <w:b/>
      <w:sz w:val="28"/>
    </w:rPr>
  </w:style>
  <w:style w:type="paragraph" w:styleId="31">
    <w:name w:val="Body Text Indent 3"/>
    <w:basedOn w:val="a"/>
    <w:link w:val="32"/>
    <w:uiPriority w:val="99"/>
    <w:rsid w:val="00AE751F"/>
    <w:pPr>
      <w:spacing w:after="120"/>
      <w:ind w:left="283"/>
    </w:pPr>
    <w:rPr>
      <w:sz w:val="16"/>
      <w:szCs w:val="16"/>
    </w:rPr>
  </w:style>
  <w:style w:type="character" w:customStyle="1" w:styleId="32">
    <w:name w:val="Основной текст с отступом 3 Знак"/>
    <w:basedOn w:val="a0"/>
    <w:link w:val="31"/>
    <w:uiPriority w:val="99"/>
    <w:locked/>
    <w:rsid w:val="00AE751F"/>
    <w:rPr>
      <w:rFonts w:cs="Times New Roman"/>
      <w:sz w:val="16"/>
    </w:rPr>
  </w:style>
  <w:style w:type="paragraph" w:styleId="af0">
    <w:name w:val="header"/>
    <w:basedOn w:val="a"/>
    <w:link w:val="af1"/>
    <w:uiPriority w:val="99"/>
    <w:rsid w:val="00AE751F"/>
    <w:pPr>
      <w:tabs>
        <w:tab w:val="center" w:pos="4677"/>
        <w:tab w:val="right" w:pos="9355"/>
      </w:tabs>
    </w:pPr>
    <w:rPr>
      <w:sz w:val="20"/>
      <w:szCs w:val="20"/>
    </w:rPr>
  </w:style>
  <w:style w:type="character" w:customStyle="1" w:styleId="af1">
    <w:name w:val="Верхний колонтитул Знак"/>
    <w:basedOn w:val="a0"/>
    <w:link w:val="af0"/>
    <w:uiPriority w:val="99"/>
    <w:locked/>
    <w:rsid w:val="00AE751F"/>
    <w:rPr>
      <w:rFonts w:cs="Times New Roman"/>
    </w:rPr>
  </w:style>
  <w:style w:type="character" w:styleId="af2">
    <w:name w:val="page number"/>
    <w:basedOn w:val="a0"/>
    <w:uiPriority w:val="99"/>
    <w:rsid w:val="00AE751F"/>
    <w:rPr>
      <w:rFonts w:cs="Times New Roman"/>
    </w:rPr>
  </w:style>
  <w:style w:type="paragraph" w:styleId="21">
    <w:name w:val="Body Text 2"/>
    <w:basedOn w:val="a"/>
    <w:link w:val="22"/>
    <w:uiPriority w:val="99"/>
    <w:rsid w:val="00AE751F"/>
    <w:pPr>
      <w:spacing w:after="120" w:line="480" w:lineRule="auto"/>
      <w:jc w:val="both"/>
    </w:pPr>
    <w:rPr>
      <w:rFonts w:ascii="Courier New" w:hAnsi="Courier New"/>
      <w:sz w:val="20"/>
      <w:lang w:val="uk-UA"/>
    </w:rPr>
  </w:style>
  <w:style w:type="character" w:customStyle="1" w:styleId="22">
    <w:name w:val="Основной текст 2 Знак"/>
    <w:basedOn w:val="a0"/>
    <w:link w:val="21"/>
    <w:uiPriority w:val="99"/>
    <w:locked/>
    <w:rsid w:val="00AE751F"/>
    <w:rPr>
      <w:rFonts w:ascii="Courier New" w:hAnsi="Courier New" w:cs="Times New Roman"/>
      <w:sz w:val="24"/>
      <w:lang w:val="uk-UA" w:eastAsia="x-none"/>
    </w:rPr>
  </w:style>
  <w:style w:type="paragraph" w:styleId="af3">
    <w:name w:val="Balloon Text"/>
    <w:basedOn w:val="a"/>
    <w:link w:val="af4"/>
    <w:uiPriority w:val="99"/>
    <w:semiHidden/>
    <w:unhideWhenUsed/>
    <w:rsid w:val="004C0299"/>
    <w:rPr>
      <w:rFonts w:ascii="Tahoma" w:hAnsi="Tahoma"/>
      <w:sz w:val="16"/>
      <w:szCs w:val="16"/>
    </w:rPr>
  </w:style>
  <w:style w:type="character" w:customStyle="1" w:styleId="af4">
    <w:name w:val="Текст выноски Знак"/>
    <w:basedOn w:val="a0"/>
    <w:link w:val="af3"/>
    <w:uiPriority w:val="99"/>
    <w:semiHidden/>
    <w:locked/>
    <w:rsid w:val="004C0299"/>
    <w:rPr>
      <w:rFonts w:ascii="Tahoma" w:hAnsi="Tahoma" w:cs="Times New Roman"/>
      <w:sz w:val="16"/>
    </w:rPr>
  </w:style>
  <w:style w:type="paragraph" w:styleId="af5">
    <w:name w:val="List Paragraph"/>
    <w:basedOn w:val="a"/>
    <w:uiPriority w:val="34"/>
    <w:qFormat/>
    <w:rsid w:val="00E90C47"/>
    <w:pPr>
      <w:spacing w:after="160" w:line="259" w:lineRule="auto"/>
      <w:ind w:left="720"/>
      <w:contextualSpacing/>
    </w:pPr>
    <w:rPr>
      <w:rFonts w:ascii="Calibri" w:eastAsia="Calibri" w:hAnsi="Calibri"/>
      <w:sz w:val="22"/>
      <w:szCs w:val="22"/>
      <w:lang w:eastAsia="en-US"/>
    </w:rPr>
  </w:style>
  <w:style w:type="character" w:customStyle="1" w:styleId="30">
    <w:name w:val="Заголовок 3 Знак"/>
    <w:basedOn w:val="a0"/>
    <w:link w:val="3"/>
    <w:uiPriority w:val="9"/>
    <w:semiHidden/>
    <w:rsid w:val="00E21C3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614094">
      <w:bodyDiv w:val="1"/>
      <w:marLeft w:val="0"/>
      <w:marRight w:val="0"/>
      <w:marTop w:val="0"/>
      <w:marBottom w:val="0"/>
      <w:divBdr>
        <w:top w:val="none" w:sz="0" w:space="0" w:color="auto"/>
        <w:left w:val="none" w:sz="0" w:space="0" w:color="auto"/>
        <w:bottom w:val="none" w:sz="0" w:space="0" w:color="auto"/>
        <w:right w:val="none" w:sz="0" w:space="0" w:color="auto"/>
      </w:divBdr>
    </w:div>
    <w:div w:id="877158136">
      <w:marLeft w:val="0"/>
      <w:marRight w:val="0"/>
      <w:marTop w:val="0"/>
      <w:marBottom w:val="0"/>
      <w:divBdr>
        <w:top w:val="none" w:sz="0" w:space="0" w:color="auto"/>
        <w:left w:val="none" w:sz="0" w:space="0" w:color="auto"/>
        <w:bottom w:val="none" w:sz="0" w:space="0" w:color="auto"/>
        <w:right w:val="none" w:sz="0" w:space="0" w:color="auto"/>
      </w:divBdr>
    </w:div>
    <w:div w:id="877158137">
      <w:marLeft w:val="0"/>
      <w:marRight w:val="0"/>
      <w:marTop w:val="0"/>
      <w:marBottom w:val="0"/>
      <w:divBdr>
        <w:top w:val="none" w:sz="0" w:space="0" w:color="auto"/>
        <w:left w:val="none" w:sz="0" w:space="0" w:color="auto"/>
        <w:bottom w:val="none" w:sz="0" w:space="0" w:color="auto"/>
        <w:right w:val="none" w:sz="0" w:space="0" w:color="auto"/>
      </w:divBdr>
    </w:div>
    <w:div w:id="877158138">
      <w:marLeft w:val="0"/>
      <w:marRight w:val="0"/>
      <w:marTop w:val="0"/>
      <w:marBottom w:val="0"/>
      <w:divBdr>
        <w:top w:val="none" w:sz="0" w:space="0" w:color="auto"/>
        <w:left w:val="none" w:sz="0" w:space="0" w:color="auto"/>
        <w:bottom w:val="none" w:sz="0" w:space="0" w:color="auto"/>
        <w:right w:val="none" w:sz="0" w:space="0" w:color="auto"/>
      </w:divBdr>
    </w:div>
    <w:div w:id="936861578">
      <w:bodyDiv w:val="1"/>
      <w:marLeft w:val="0"/>
      <w:marRight w:val="0"/>
      <w:marTop w:val="0"/>
      <w:marBottom w:val="0"/>
      <w:divBdr>
        <w:top w:val="none" w:sz="0" w:space="0" w:color="auto"/>
        <w:left w:val="none" w:sz="0" w:space="0" w:color="auto"/>
        <w:bottom w:val="none" w:sz="0" w:space="0" w:color="auto"/>
        <w:right w:val="none" w:sz="0" w:space="0" w:color="auto"/>
      </w:divBdr>
    </w:div>
    <w:div w:id="1313019951">
      <w:bodyDiv w:val="1"/>
      <w:marLeft w:val="0"/>
      <w:marRight w:val="0"/>
      <w:marTop w:val="0"/>
      <w:marBottom w:val="0"/>
      <w:divBdr>
        <w:top w:val="none" w:sz="0" w:space="0" w:color="auto"/>
        <w:left w:val="none" w:sz="0" w:space="0" w:color="auto"/>
        <w:bottom w:val="none" w:sz="0" w:space="0" w:color="auto"/>
        <w:right w:val="none" w:sz="0" w:space="0" w:color="auto"/>
      </w:divBdr>
    </w:div>
    <w:div w:id="1347244552">
      <w:bodyDiv w:val="1"/>
      <w:marLeft w:val="0"/>
      <w:marRight w:val="0"/>
      <w:marTop w:val="0"/>
      <w:marBottom w:val="0"/>
      <w:divBdr>
        <w:top w:val="none" w:sz="0" w:space="0" w:color="auto"/>
        <w:left w:val="none" w:sz="0" w:space="0" w:color="auto"/>
        <w:bottom w:val="none" w:sz="0" w:space="0" w:color="auto"/>
        <w:right w:val="none" w:sz="0" w:space="0" w:color="auto"/>
      </w:divBdr>
    </w:div>
    <w:div w:id="1395658818">
      <w:bodyDiv w:val="1"/>
      <w:marLeft w:val="0"/>
      <w:marRight w:val="0"/>
      <w:marTop w:val="0"/>
      <w:marBottom w:val="0"/>
      <w:divBdr>
        <w:top w:val="none" w:sz="0" w:space="0" w:color="auto"/>
        <w:left w:val="none" w:sz="0" w:space="0" w:color="auto"/>
        <w:bottom w:val="none" w:sz="0" w:space="0" w:color="auto"/>
        <w:right w:val="none" w:sz="0" w:space="0" w:color="auto"/>
      </w:divBdr>
    </w:div>
    <w:div w:id="1459107529">
      <w:bodyDiv w:val="1"/>
      <w:marLeft w:val="0"/>
      <w:marRight w:val="0"/>
      <w:marTop w:val="0"/>
      <w:marBottom w:val="0"/>
      <w:divBdr>
        <w:top w:val="none" w:sz="0" w:space="0" w:color="auto"/>
        <w:left w:val="none" w:sz="0" w:space="0" w:color="auto"/>
        <w:bottom w:val="none" w:sz="0" w:space="0" w:color="auto"/>
        <w:right w:val="none" w:sz="0" w:space="0" w:color="auto"/>
      </w:divBdr>
    </w:div>
    <w:div w:id="1467623560">
      <w:bodyDiv w:val="1"/>
      <w:marLeft w:val="0"/>
      <w:marRight w:val="0"/>
      <w:marTop w:val="0"/>
      <w:marBottom w:val="0"/>
      <w:divBdr>
        <w:top w:val="none" w:sz="0" w:space="0" w:color="auto"/>
        <w:left w:val="none" w:sz="0" w:space="0" w:color="auto"/>
        <w:bottom w:val="none" w:sz="0" w:space="0" w:color="auto"/>
        <w:right w:val="none" w:sz="0" w:space="0" w:color="auto"/>
      </w:divBdr>
    </w:div>
    <w:div w:id="1564565877">
      <w:bodyDiv w:val="1"/>
      <w:marLeft w:val="0"/>
      <w:marRight w:val="0"/>
      <w:marTop w:val="0"/>
      <w:marBottom w:val="0"/>
      <w:divBdr>
        <w:top w:val="none" w:sz="0" w:space="0" w:color="auto"/>
        <w:left w:val="none" w:sz="0" w:space="0" w:color="auto"/>
        <w:bottom w:val="none" w:sz="0" w:space="0" w:color="auto"/>
        <w:right w:val="none" w:sz="0" w:space="0" w:color="auto"/>
      </w:divBdr>
    </w:div>
    <w:div w:id="168882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B2613-B5DF-4E78-98FC-3CE0EC01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3084</Characters>
  <Application>Microsoft Office Word</Application>
  <DocSecurity>0</DocSecurity>
  <Lines>25</Lines>
  <Paragraphs>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 Онищенко</dc:creator>
  <cp:keywords/>
  <dc:description/>
  <cp:lastModifiedBy>Наталья Н. Шевчук</cp:lastModifiedBy>
  <cp:revision>2</cp:revision>
  <cp:lastPrinted>2021-10-05T16:34:00Z</cp:lastPrinted>
  <dcterms:created xsi:type="dcterms:W3CDTF">2021-12-27T15:36:00Z</dcterms:created>
  <dcterms:modified xsi:type="dcterms:W3CDTF">2021-12-27T15:36:00Z</dcterms:modified>
</cp:coreProperties>
</file>