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4BD" w:rsidRPr="00D044BD" w:rsidRDefault="00D044BD" w:rsidP="00D044BD">
      <w:pPr>
        <w:spacing w:before="100" w:beforeAutospacing="1" w:after="100" w:afterAutospacing="1"/>
      </w:pPr>
      <w:bookmarkStart w:id="0" w:name="_GoBack"/>
      <w:r w:rsidRPr="00D044BD">
        <w:rPr>
          <w:b/>
          <w:bCs/>
        </w:rPr>
        <w:t>Таблица. Исключения по распределению НДС согласно ст. 199 НК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8"/>
        <w:gridCol w:w="2210"/>
      </w:tblGrid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bookmarkEnd w:id="0"/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rPr>
                <w:b/>
                <w:bCs/>
              </w:rPr>
              <w:t>Операции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rPr>
                <w:b/>
                <w:bCs/>
              </w:rPr>
              <w:t>Основание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>Проведение операций по реорганизации (слиянию, присоединению, разделению, выделению и преобразованию) юридических лиц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t>Пп. 196.1.7, п. 199.6 НК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>До конца 2021 года! Поставка налогоплательщиком отходов и утиля черных и цветных металлов, образовавшихся у такого плательщика в результате переработки, обработки, плавки товаров (сырья, материалов, заготовок и т. п.) на производстве, строительстве, разборке (демонтажа) ликвидированных основных фондов и прочих подобных операций.</w:t>
            </w:r>
          </w:p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>С 01.01.2022 г. Закон от 30.11.2021 г. №1914 из исключений убрал эти операции. Поэтому с этой даты в случае поставки металлолома черных и цветных металлов распределение по ст. 199 НК включается в работу (действие льготы по металлолому продлили до 01.01.2027 года, п. 23 подразд. 2 разд. ХХ НК)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t>П. 199.6 НК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>Проведение операций поставки товаров/услуг в части суммы компенсации на покрытие разницы между фактическими расходами и регулируемыми ценами (тарифами) в виде производственной дотации из бюджета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t>Пп. 197.1.28, п. 199.6 НК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>Проведение операций поставки товаров и услуг на таможенной территории Украины и ввоза на таможенную территорию Украины товаров в качестве международной технической помощи, или которые финансируются за счет международной технической помощи, предоставляемой в соответствии с международными договорами Украины, согласие на обязательность которых дано в установленном законодательством порядке, ввоза на таможенную территорию Украины имущества в качестве гуманитарной помощи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t>П. 197.11, п. 199.6 НК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>Проведение операций оператора телекоммуникаций по предоставлению телекоммуникационных услуг в части осуществления благотворительного телекоммуникационного сообщения на благотворительные цели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t>п. 197.24, п. 199.6 НК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>Выполнение программ Глобального фонда для борьбы со СПИДом, туберкулезом и малярией в Украине (перечень освобожденных операций – в пп. 26 подразд. 2 разд. ХХ НК)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t>П. 26 подразд. 2 разд. ХХ НК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>Временное освобождение до 31.12.2022 некоторых операций с лекарственными средствами и медицинскими изделиями (конкретный перечень и условия – в п. 38</w:t>
            </w:r>
            <w:r w:rsidRPr="00D044BD">
              <w:rPr>
                <w:vertAlign w:val="superscript"/>
              </w:rPr>
              <w:t>1</w:t>
            </w:r>
            <w:r w:rsidRPr="00D044BD">
              <w:t xml:space="preserve"> подразд. 2 разд. ХХ НК)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t>П. 38</w:t>
            </w:r>
            <w:r w:rsidRPr="00D044BD">
              <w:rPr>
                <w:vertAlign w:val="superscript"/>
              </w:rPr>
              <w:t>1</w:t>
            </w:r>
            <w:r w:rsidRPr="00D044BD">
              <w:t xml:space="preserve"> подраздел. 2 разд. ХХ НК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 xml:space="preserve">Операции налогоплательщиков – должника и/или поручителя (имущественного поручителя – залогодателя, ипотекодателя) по поставке товаров для целей погашения задолженности должника перед кредиторами в соответствии с планом реструктуризации, подписанным согласно закону о финансовой реструктуризации, или планом санации, утвержденным согласно законодательству, регулирующему отношения по вопросам восстановления платежеспособности должника или признания его банкротом, с </w:t>
            </w:r>
            <w:r w:rsidRPr="00D044BD">
              <w:lastRenderedPageBreak/>
              <w:t>учетом особенностей, установленных законом по финансовой реструктуризации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lastRenderedPageBreak/>
              <w:t>П. 46 подразд. 2 разд. ХХ НК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lastRenderedPageBreak/>
              <w:t>Операции, связанные с выполнением обязательств по обособлению деятельности по транспортировке природного газа и по обеспечению деятельности оператора газотранспортной системы, взятых Украиной в соответствии с Законом Украины «О ратификации Протокола о присоединении Украины к Договору об основании Энергетического Содружества» (перечень и временный срок освобождения, с указанием о неначислении компенсирующих НО – п. 70 подразд. 2 разд. ХХ НК)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t>П. 70 подразд. 2 разд. ХХ НК</w:t>
            </w:r>
          </w:p>
        </w:tc>
      </w:tr>
      <w:tr w:rsidR="00D044BD" w:rsidRPr="00D044BD" w:rsidTr="00D044BD">
        <w:trPr>
          <w:tblCellSpacing w:w="15" w:type="dxa"/>
        </w:trPr>
        <w:tc>
          <w:tcPr>
            <w:tcW w:w="73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</w:pPr>
            <w:r w:rsidRPr="00D044BD">
              <w:t>Операции по ввозу на таможенную территорию Украины и/или операции по поставке на таможенной территории Украины товаров (в т. ч. лекарственных средств, медицинских изделий и/или медицинского оборудования), необходимых для выполнения мер, направленных на предотвращение возникновения и распространения, локализацию и ликвидацию вспышек, эпидемий и пандемий коронавирусной болезни (COVID-19), перечень которых определен Кабинетом Министров Украины (временно с 17 марта 2020 г. по последний день месяца окончания карантина)</w:t>
            </w:r>
          </w:p>
        </w:tc>
        <w:tc>
          <w:tcPr>
            <w:tcW w:w="2265" w:type="dxa"/>
            <w:vAlign w:val="center"/>
            <w:hideMark/>
          </w:tcPr>
          <w:p w:rsidR="00D044BD" w:rsidRPr="00D044BD" w:rsidRDefault="00D044BD" w:rsidP="00D044BD">
            <w:pPr>
              <w:spacing w:before="100" w:beforeAutospacing="1" w:after="100" w:afterAutospacing="1"/>
              <w:jc w:val="center"/>
            </w:pPr>
            <w:r w:rsidRPr="00D044BD">
              <w:t>П. 71 подразд. 2 разд. ХХ НК</w:t>
            </w:r>
          </w:p>
        </w:tc>
      </w:tr>
    </w:tbl>
    <w:p w:rsidR="00E90C47" w:rsidRPr="00D044BD" w:rsidRDefault="00E90C47" w:rsidP="00D044BD"/>
    <w:sectPr w:rsidR="00E90C47" w:rsidRPr="00D044BD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BD5" w:rsidRDefault="00137BD5">
      <w:r>
        <w:separator/>
      </w:r>
    </w:p>
  </w:endnote>
  <w:endnote w:type="continuationSeparator" w:id="0">
    <w:p w:rsidR="00137BD5" w:rsidRDefault="0013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BD5" w:rsidRDefault="00137BD5">
      <w:r>
        <w:separator/>
      </w:r>
    </w:p>
  </w:footnote>
  <w:footnote w:type="continuationSeparator" w:id="0">
    <w:p w:rsidR="00137BD5" w:rsidRDefault="00137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4B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24"/>
  </w:num>
  <w:num w:numId="5">
    <w:abstractNumId w:val="7"/>
  </w:num>
  <w:num w:numId="6">
    <w:abstractNumId w:val="28"/>
  </w:num>
  <w:num w:numId="7">
    <w:abstractNumId w:val="1"/>
  </w:num>
  <w:num w:numId="8">
    <w:abstractNumId w:val="17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21"/>
  </w:num>
  <w:num w:numId="15">
    <w:abstractNumId w:val="29"/>
  </w:num>
  <w:num w:numId="16">
    <w:abstractNumId w:val="18"/>
  </w:num>
  <w:num w:numId="17">
    <w:abstractNumId w:val="27"/>
  </w:num>
  <w:num w:numId="18">
    <w:abstractNumId w:val="10"/>
  </w:num>
  <w:num w:numId="19">
    <w:abstractNumId w:val="8"/>
  </w:num>
  <w:num w:numId="20">
    <w:abstractNumId w:val="19"/>
  </w:num>
  <w:num w:numId="21">
    <w:abstractNumId w:val="26"/>
  </w:num>
  <w:num w:numId="22">
    <w:abstractNumId w:val="6"/>
  </w:num>
  <w:num w:numId="23">
    <w:abstractNumId w:val="12"/>
  </w:num>
  <w:num w:numId="24">
    <w:abstractNumId w:val="23"/>
  </w:num>
  <w:num w:numId="25">
    <w:abstractNumId w:val="0"/>
  </w:num>
  <w:num w:numId="26">
    <w:abstractNumId w:val="22"/>
  </w:num>
  <w:num w:numId="27">
    <w:abstractNumId w:val="25"/>
  </w:num>
  <w:num w:numId="28">
    <w:abstractNumId w:val="16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37BD5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C39E5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2ECF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284D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2B85"/>
    <w:rsid w:val="009F48DF"/>
    <w:rsid w:val="00A058D5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6614C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523B"/>
    <w:rsid w:val="00C67EB3"/>
    <w:rsid w:val="00C81A5F"/>
    <w:rsid w:val="00C844D6"/>
    <w:rsid w:val="00C853D2"/>
    <w:rsid w:val="00C86F45"/>
    <w:rsid w:val="00CA7750"/>
    <w:rsid w:val="00CA7B2C"/>
    <w:rsid w:val="00CB3749"/>
    <w:rsid w:val="00CC366B"/>
    <w:rsid w:val="00CC70FC"/>
    <w:rsid w:val="00CD0C3F"/>
    <w:rsid w:val="00CD552E"/>
    <w:rsid w:val="00CF0316"/>
    <w:rsid w:val="00D00E27"/>
    <w:rsid w:val="00D01459"/>
    <w:rsid w:val="00D044BD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1A3F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CF86-7B70-45DD-8B59-CE24C595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2021-12-27T15:30:00Z</dcterms:created>
  <dcterms:modified xsi:type="dcterms:W3CDTF">2021-12-27T15:30:00Z</dcterms:modified>
</cp:coreProperties>
</file>