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51C7C" w14:textId="77777777" w:rsidR="00951656" w:rsidRDefault="00951656" w:rsidP="00951656">
      <w:pPr>
        <w:pStyle w:val="3"/>
      </w:pPr>
      <w:r>
        <w:rPr>
          <w:rStyle w:val="a9"/>
          <w:b/>
          <w:bCs/>
        </w:rPr>
        <w:t>Таблиця 2. Додатки до декларації з акцизного податку для платників паливного акцизу</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3286"/>
        <w:gridCol w:w="2578"/>
        <w:gridCol w:w="2687"/>
      </w:tblGrid>
      <w:tr w:rsidR="00951656" w14:paraId="4EB44A6B" w14:textId="77777777" w:rsidTr="00951656">
        <w:trPr>
          <w:tblCellSpacing w:w="15" w:type="dxa"/>
        </w:trPr>
        <w:tc>
          <w:tcPr>
            <w:tcW w:w="1575" w:type="dxa"/>
            <w:vAlign w:val="center"/>
            <w:hideMark/>
          </w:tcPr>
          <w:p w14:paraId="5F527844" w14:textId="77777777" w:rsidR="00951656" w:rsidRDefault="00951656">
            <w:pPr>
              <w:pStyle w:val="aa"/>
              <w:jc w:val="center"/>
            </w:pPr>
            <w:bookmarkStart w:id="0" w:name="_GoBack"/>
            <w:r>
              <w:rPr>
                <w:rStyle w:val="a9"/>
              </w:rPr>
              <w:t>Номер додатка</w:t>
            </w:r>
          </w:p>
        </w:tc>
        <w:tc>
          <w:tcPr>
            <w:tcW w:w="3105" w:type="dxa"/>
            <w:vAlign w:val="center"/>
            <w:hideMark/>
          </w:tcPr>
          <w:p w14:paraId="79DCC3E2" w14:textId="77777777" w:rsidR="00951656" w:rsidRDefault="00951656">
            <w:pPr>
              <w:pStyle w:val="aa"/>
              <w:jc w:val="center"/>
            </w:pPr>
            <w:r>
              <w:rPr>
                <w:rStyle w:val="a9"/>
              </w:rPr>
              <w:t>Назва додатка</w:t>
            </w:r>
          </w:p>
        </w:tc>
        <w:tc>
          <w:tcPr>
            <w:tcW w:w="2430" w:type="dxa"/>
            <w:vAlign w:val="center"/>
            <w:hideMark/>
          </w:tcPr>
          <w:p w14:paraId="2553A69F" w14:textId="77777777" w:rsidR="00951656" w:rsidRDefault="00951656">
            <w:pPr>
              <w:pStyle w:val="aa"/>
              <w:jc w:val="center"/>
            </w:pPr>
            <w:r>
              <w:rPr>
                <w:rStyle w:val="a9"/>
              </w:rPr>
              <w:t>Хто заповнює</w:t>
            </w:r>
          </w:p>
        </w:tc>
        <w:tc>
          <w:tcPr>
            <w:tcW w:w="2520" w:type="dxa"/>
            <w:vAlign w:val="center"/>
            <w:hideMark/>
          </w:tcPr>
          <w:p w14:paraId="152BDC6F" w14:textId="77777777" w:rsidR="00951656" w:rsidRDefault="00951656">
            <w:pPr>
              <w:pStyle w:val="aa"/>
              <w:jc w:val="center"/>
            </w:pPr>
            <w:r>
              <w:rPr>
                <w:rStyle w:val="a9"/>
              </w:rPr>
              <w:t>В яких випадках заповнюється</w:t>
            </w:r>
          </w:p>
        </w:tc>
      </w:tr>
      <w:tr w:rsidR="00951656" w14:paraId="66D57A07" w14:textId="77777777" w:rsidTr="00951656">
        <w:trPr>
          <w:tblCellSpacing w:w="15" w:type="dxa"/>
        </w:trPr>
        <w:tc>
          <w:tcPr>
            <w:tcW w:w="1575" w:type="dxa"/>
            <w:vMerge w:val="restart"/>
            <w:vAlign w:val="center"/>
            <w:hideMark/>
          </w:tcPr>
          <w:p w14:paraId="7597B845" w14:textId="77777777" w:rsidR="00951656" w:rsidRDefault="00951656">
            <w:pPr>
              <w:pStyle w:val="aa"/>
              <w:jc w:val="center"/>
            </w:pPr>
            <w:r>
              <w:rPr>
                <w:rStyle w:val="a9"/>
              </w:rPr>
              <w:t>Д1</w:t>
            </w:r>
          </w:p>
        </w:tc>
        <w:tc>
          <w:tcPr>
            <w:tcW w:w="3105" w:type="dxa"/>
            <w:vMerge w:val="restart"/>
            <w:vAlign w:val="center"/>
            <w:hideMark/>
          </w:tcPr>
          <w:p w14:paraId="58852142" w14:textId="77777777" w:rsidR="00951656" w:rsidRDefault="00951656">
            <w:pPr>
              <w:pStyle w:val="aa"/>
            </w:pPr>
            <w:r>
              <w:t>Розрахунок суми акцизного податку з підакцизних товарів (продукції) (крім транспортних засобів), на які встановлено специфічні ставки акцизного податку (крім операцій, визначених підпунктами 213.1.9, 213.1.11, 213.1.12 пункту 213.1 статті 213 розділу VI Кодексу)</w:t>
            </w:r>
          </w:p>
        </w:tc>
        <w:tc>
          <w:tcPr>
            <w:tcW w:w="2430" w:type="dxa"/>
            <w:vAlign w:val="center"/>
            <w:hideMark/>
          </w:tcPr>
          <w:p w14:paraId="0659B3ED" w14:textId="77777777" w:rsidR="00951656" w:rsidRDefault="00951656">
            <w:pPr>
              <w:pStyle w:val="aa"/>
            </w:pPr>
            <w:r>
              <w:t>Виробники пального</w:t>
            </w:r>
          </w:p>
        </w:tc>
        <w:tc>
          <w:tcPr>
            <w:tcW w:w="2520" w:type="dxa"/>
            <w:vAlign w:val="center"/>
            <w:hideMark/>
          </w:tcPr>
          <w:p w14:paraId="3A58417F" w14:textId="77777777" w:rsidR="00951656" w:rsidRDefault="00951656">
            <w:pPr>
              <w:pStyle w:val="aa"/>
            </w:pPr>
            <w:r>
              <w:t>Щоразу під час подання щомісячної звітної декларації</w:t>
            </w:r>
          </w:p>
        </w:tc>
      </w:tr>
      <w:tr w:rsidR="00951656" w14:paraId="77D0DA9F" w14:textId="77777777" w:rsidTr="00951656">
        <w:trPr>
          <w:tblCellSpacing w:w="15" w:type="dxa"/>
        </w:trPr>
        <w:tc>
          <w:tcPr>
            <w:tcW w:w="0" w:type="auto"/>
            <w:vMerge/>
            <w:vAlign w:val="center"/>
            <w:hideMark/>
          </w:tcPr>
          <w:p w14:paraId="26B75708" w14:textId="77777777" w:rsidR="00951656" w:rsidRDefault="00951656"/>
        </w:tc>
        <w:tc>
          <w:tcPr>
            <w:tcW w:w="0" w:type="auto"/>
            <w:vMerge/>
            <w:vAlign w:val="center"/>
            <w:hideMark/>
          </w:tcPr>
          <w:p w14:paraId="62928461" w14:textId="77777777" w:rsidR="00951656" w:rsidRDefault="00951656"/>
        </w:tc>
        <w:tc>
          <w:tcPr>
            <w:tcW w:w="2430" w:type="dxa"/>
            <w:vAlign w:val="center"/>
            <w:hideMark/>
          </w:tcPr>
          <w:p w14:paraId="29ED591A" w14:textId="77777777" w:rsidR="00951656" w:rsidRDefault="00951656">
            <w:pPr>
              <w:pStyle w:val="aa"/>
            </w:pPr>
            <w:r>
              <w:t>Особи, що заправляють «непальним» двигуни внутрішнього згоряння</w:t>
            </w:r>
          </w:p>
        </w:tc>
        <w:tc>
          <w:tcPr>
            <w:tcW w:w="2520" w:type="dxa"/>
            <w:vAlign w:val="center"/>
            <w:hideMark/>
          </w:tcPr>
          <w:p w14:paraId="11800873" w14:textId="77777777" w:rsidR="00951656" w:rsidRDefault="00951656">
            <w:pPr>
              <w:pStyle w:val="aa"/>
            </w:pPr>
            <w:r>
              <w:t>У разі виникнення об’єкта оподаткування (заправки двигунів внутрішнього згоряння)</w:t>
            </w:r>
          </w:p>
        </w:tc>
      </w:tr>
      <w:tr w:rsidR="00951656" w14:paraId="343B0B2D" w14:textId="77777777" w:rsidTr="00951656">
        <w:trPr>
          <w:tblCellSpacing w:w="15" w:type="dxa"/>
        </w:trPr>
        <w:tc>
          <w:tcPr>
            <w:tcW w:w="1575" w:type="dxa"/>
            <w:vAlign w:val="center"/>
            <w:hideMark/>
          </w:tcPr>
          <w:p w14:paraId="22600478" w14:textId="77777777" w:rsidR="00951656" w:rsidRDefault="00951656">
            <w:pPr>
              <w:pStyle w:val="aa"/>
              <w:jc w:val="center"/>
            </w:pPr>
            <w:r>
              <w:rPr>
                <w:rStyle w:val="a9"/>
              </w:rPr>
              <w:t>Д1</w:t>
            </w:r>
            <w:r>
              <w:rPr>
                <w:rStyle w:val="a9"/>
                <w:vertAlign w:val="superscript"/>
              </w:rPr>
              <w:t>1</w:t>
            </w:r>
          </w:p>
        </w:tc>
        <w:tc>
          <w:tcPr>
            <w:tcW w:w="3105" w:type="dxa"/>
            <w:vAlign w:val="center"/>
            <w:hideMark/>
          </w:tcPr>
          <w:p w14:paraId="58982910" w14:textId="77777777" w:rsidR="00951656" w:rsidRDefault="00951656">
            <w:pPr>
              <w:pStyle w:val="aa"/>
            </w:pPr>
            <w:r>
              <w:t>Розрахунок суми акцизного податку з реалізації пального згідно із підпунктом 213.1.12 пункту 213.1 статті 213 розділу VI Кодексу</w:t>
            </w:r>
          </w:p>
        </w:tc>
        <w:tc>
          <w:tcPr>
            <w:tcW w:w="2430" w:type="dxa"/>
            <w:vAlign w:val="center"/>
            <w:hideMark/>
          </w:tcPr>
          <w:p w14:paraId="606C30DD" w14:textId="77777777" w:rsidR="00951656" w:rsidRDefault="00951656">
            <w:pPr>
              <w:pStyle w:val="aa"/>
            </w:pPr>
            <w:r>
              <w:t>Особи, що реалізовують пальне</w:t>
            </w:r>
          </w:p>
        </w:tc>
        <w:tc>
          <w:tcPr>
            <w:tcW w:w="2520" w:type="dxa"/>
            <w:vAlign w:val="center"/>
            <w:hideMark/>
          </w:tcPr>
          <w:p w14:paraId="319B7743" w14:textId="77777777" w:rsidR="00951656" w:rsidRDefault="00951656">
            <w:pPr>
              <w:pStyle w:val="aa"/>
            </w:pPr>
            <w:r>
              <w:t>Щоразу під час подання щомісячної звітної декларації</w:t>
            </w:r>
          </w:p>
        </w:tc>
      </w:tr>
      <w:tr w:rsidR="00951656" w14:paraId="0D1273A9" w14:textId="77777777" w:rsidTr="00951656">
        <w:trPr>
          <w:tblCellSpacing w:w="15" w:type="dxa"/>
        </w:trPr>
        <w:tc>
          <w:tcPr>
            <w:tcW w:w="1575" w:type="dxa"/>
            <w:vAlign w:val="center"/>
            <w:hideMark/>
          </w:tcPr>
          <w:p w14:paraId="58287BE9" w14:textId="77777777" w:rsidR="00951656" w:rsidRDefault="00951656">
            <w:pPr>
              <w:pStyle w:val="aa"/>
              <w:jc w:val="center"/>
            </w:pPr>
            <w:r>
              <w:rPr>
                <w:rStyle w:val="a9"/>
              </w:rPr>
              <w:t>Д1</w:t>
            </w:r>
            <w:r>
              <w:rPr>
                <w:rStyle w:val="a9"/>
                <w:vertAlign w:val="superscript"/>
              </w:rPr>
              <w:t>4</w:t>
            </w:r>
          </w:p>
        </w:tc>
        <w:tc>
          <w:tcPr>
            <w:tcW w:w="3105" w:type="dxa"/>
            <w:vAlign w:val="center"/>
            <w:hideMark/>
          </w:tcPr>
          <w:p w14:paraId="24268D30" w14:textId="77777777" w:rsidR="00951656" w:rsidRDefault="00951656">
            <w:pPr>
              <w:pStyle w:val="aa"/>
            </w:pPr>
            <w:r>
              <w:t>Розрахунок суми акцизного податку з реалізації пального під час зміні умов оподаткування згідно з підпунктом 229.8.13 пункту 229.8 статті 229 розділу VI Кодексу</w:t>
            </w:r>
          </w:p>
        </w:tc>
        <w:tc>
          <w:tcPr>
            <w:tcW w:w="2430" w:type="dxa"/>
            <w:vAlign w:val="center"/>
            <w:hideMark/>
          </w:tcPr>
          <w:p w14:paraId="7603215B" w14:textId="77777777" w:rsidR="00951656" w:rsidRDefault="00951656">
            <w:pPr>
              <w:pStyle w:val="aa"/>
            </w:pPr>
            <w:r>
              <w:t>Особи, що реалізовують бензини авіаційні або пальне для двигунів внутрішнього згоряння:</w:t>
            </w:r>
          </w:p>
          <w:p w14:paraId="7123A5BA" w14:textId="77777777" w:rsidR="00951656" w:rsidRDefault="00951656">
            <w:pPr>
              <w:pStyle w:val="aa"/>
            </w:pPr>
            <w:r>
              <w:t>– суб’єктам літакобудування, на яких поширюються пільги;</w:t>
            </w:r>
          </w:p>
          <w:p w14:paraId="7F99D291" w14:textId="77777777" w:rsidR="00951656" w:rsidRDefault="00951656">
            <w:pPr>
              <w:pStyle w:val="aa"/>
            </w:pPr>
            <w:r>
              <w:t>– замовникам, що здійснюють закупівлю для забезпечення потреб держави або територіальної громади</w:t>
            </w:r>
          </w:p>
        </w:tc>
        <w:tc>
          <w:tcPr>
            <w:tcW w:w="2520" w:type="dxa"/>
            <w:vAlign w:val="center"/>
            <w:hideMark/>
          </w:tcPr>
          <w:p w14:paraId="4B300A93" w14:textId="77777777" w:rsidR="00951656" w:rsidRDefault="00951656">
            <w:pPr>
              <w:pStyle w:val="aa"/>
            </w:pPr>
            <w:r>
              <w:t>У разі подання звітної декларації за період, в якому підтверджено цільове використання бензинів авіаційних або пального для двигунів внутрішнього згоряння шляхом погашення податкового векселя під час реєстрації в ЄРАН АН на відповідні операції</w:t>
            </w:r>
          </w:p>
        </w:tc>
      </w:tr>
      <w:tr w:rsidR="00951656" w14:paraId="2EEEA0F1" w14:textId="77777777" w:rsidTr="00951656">
        <w:trPr>
          <w:tblCellSpacing w:w="15" w:type="dxa"/>
        </w:trPr>
        <w:tc>
          <w:tcPr>
            <w:tcW w:w="1575" w:type="dxa"/>
            <w:vAlign w:val="center"/>
            <w:hideMark/>
          </w:tcPr>
          <w:p w14:paraId="17EBCE19" w14:textId="77777777" w:rsidR="00951656" w:rsidRDefault="00951656">
            <w:pPr>
              <w:pStyle w:val="aa"/>
              <w:jc w:val="center"/>
            </w:pPr>
            <w:r>
              <w:rPr>
                <w:rStyle w:val="a9"/>
              </w:rPr>
              <w:t>Д4</w:t>
            </w:r>
          </w:p>
        </w:tc>
        <w:tc>
          <w:tcPr>
            <w:tcW w:w="3105" w:type="dxa"/>
            <w:vAlign w:val="center"/>
            <w:hideMark/>
          </w:tcPr>
          <w:p w14:paraId="4C4E554C" w14:textId="77777777" w:rsidR="00951656" w:rsidRDefault="00951656">
            <w:pPr>
              <w:pStyle w:val="aa"/>
            </w:pPr>
            <w:r>
              <w:t>Обороти, що звільняються від оподаткування, оподатковуються за нульовою або за зниженою ставкою</w:t>
            </w:r>
          </w:p>
        </w:tc>
        <w:tc>
          <w:tcPr>
            <w:tcW w:w="2430" w:type="dxa"/>
            <w:vAlign w:val="center"/>
            <w:hideMark/>
          </w:tcPr>
          <w:p w14:paraId="742B11A2" w14:textId="77777777" w:rsidR="00951656" w:rsidRDefault="00951656">
            <w:pPr>
              <w:pStyle w:val="aa"/>
            </w:pPr>
            <w:r>
              <w:t>Платники паливного акцизу, які мають пільги</w:t>
            </w:r>
          </w:p>
        </w:tc>
        <w:tc>
          <w:tcPr>
            <w:tcW w:w="2520" w:type="dxa"/>
            <w:vAlign w:val="center"/>
            <w:hideMark/>
          </w:tcPr>
          <w:p w14:paraId="33506991" w14:textId="77777777" w:rsidR="00951656" w:rsidRDefault="00951656">
            <w:pPr>
              <w:pStyle w:val="aa"/>
            </w:pPr>
            <w:r>
              <w:t>Під час подання щомісячної звітної декларації в разі наявності/використання пільг</w:t>
            </w:r>
          </w:p>
        </w:tc>
      </w:tr>
      <w:tr w:rsidR="00951656" w14:paraId="16DC337A" w14:textId="77777777" w:rsidTr="00951656">
        <w:trPr>
          <w:tblCellSpacing w:w="15" w:type="dxa"/>
        </w:trPr>
        <w:tc>
          <w:tcPr>
            <w:tcW w:w="1575" w:type="dxa"/>
            <w:vAlign w:val="center"/>
            <w:hideMark/>
          </w:tcPr>
          <w:p w14:paraId="13A0F90C" w14:textId="77777777" w:rsidR="00951656" w:rsidRDefault="00951656">
            <w:pPr>
              <w:pStyle w:val="aa"/>
              <w:jc w:val="center"/>
            </w:pPr>
            <w:r>
              <w:rPr>
                <w:rStyle w:val="a9"/>
              </w:rPr>
              <w:t>Д8</w:t>
            </w:r>
          </w:p>
        </w:tc>
        <w:tc>
          <w:tcPr>
            <w:tcW w:w="3105" w:type="dxa"/>
            <w:vAlign w:val="center"/>
            <w:hideMark/>
          </w:tcPr>
          <w:p w14:paraId="217EFD61" w14:textId="77777777" w:rsidR="00951656" w:rsidRDefault="00951656">
            <w:pPr>
              <w:pStyle w:val="aa"/>
            </w:pPr>
            <w:r>
              <w:t>Розрахунок суми акцизного податку, що збільшує або зменшує податкові зобов’язання внаслідок виправлення самостійно виявленої помилки, допущеної в попередніх звітних періодах</w:t>
            </w:r>
          </w:p>
        </w:tc>
        <w:tc>
          <w:tcPr>
            <w:tcW w:w="2430" w:type="dxa"/>
            <w:vAlign w:val="center"/>
            <w:hideMark/>
          </w:tcPr>
          <w:p w14:paraId="1FCB38AC" w14:textId="77777777" w:rsidR="00951656" w:rsidRDefault="00951656">
            <w:pPr>
              <w:pStyle w:val="aa"/>
            </w:pPr>
            <w:r>
              <w:t>Будь-який платник паливного акцизу</w:t>
            </w:r>
          </w:p>
        </w:tc>
        <w:tc>
          <w:tcPr>
            <w:tcW w:w="2520" w:type="dxa"/>
            <w:vAlign w:val="center"/>
            <w:hideMark/>
          </w:tcPr>
          <w:p w14:paraId="5249EE6F" w14:textId="77777777" w:rsidR="00951656" w:rsidRDefault="00951656">
            <w:pPr>
              <w:pStyle w:val="aa"/>
            </w:pPr>
            <w:r>
              <w:t>Для виправлення помилок у складі поточної або уточнюючої декларації.</w:t>
            </w:r>
          </w:p>
          <w:p w14:paraId="794CEAE4" w14:textId="77777777" w:rsidR="00951656" w:rsidRDefault="00951656">
            <w:pPr>
              <w:pStyle w:val="aa"/>
            </w:pPr>
            <w:r>
              <w:t>Під час реєстрації в ЄРАН РК до АН, складеної в минулих звітних періодах (разом із звітною або уточнюючою декларацією)</w:t>
            </w:r>
          </w:p>
        </w:tc>
      </w:tr>
      <w:tr w:rsidR="00951656" w14:paraId="34AED6BC" w14:textId="77777777" w:rsidTr="00951656">
        <w:trPr>
          <w:tblCellSpacing w:w="15" w:type="dxa"/>
        </w:trPr>
        <w:tc>
          <w:tcPr>
            <w:tcW w:w="1575" w:type="dxa"/>
            <w:vAlign w:val="center"/>
            <w:hideMark/>
          </w:tcPr>
          <w:p w14:paraId="18AF9289" w14:textId="77777777" w:rsidR="00951656" w:rsidRDefault="00951656">
            <w:pPr>
              <w:pStyle w:val="aa"/>
              <w:jc w:val="center"/>
            </w:pPr>
            <w:r>
              <w:rPr>
                <w:rStyle w:val="a9"/>
              </w:rPr>
              <w:lastRenderedPageBreak/>
              <w:t>Д9</w:t>
            </w:r>
          </w:p>
        </w:tc>
        <w:tc>
          <w:tcPr>
            <w:tcW w:w="3105" w:type="dxa"/>
            <w:vAlign w:val="center"/>
            <w:hideMark/>
          </w:tcPr>
          <w:p w14:paraId="229542A0" w14:textId="77777777" w:rsidR="00951656" w:rsidRDefault="00951656">
            <w:pPr>
              <w:pStyle w:val="aa"/>
            </w:pPr>
            <w:r>
              <w:t>Заява про порушення особою, яка реалізує пальне або спирт етиловий, порядку заповнення та/або порядку реєстрації акцизної накладної/розрахунку коригування</w:t>
            </w:r>
          </w:p>
        </w:tc>
        <w:tc>
          <w:tcPr>
            <w:tcW w:w="2430" w:type="dxa"/>
            <w:vAlign w:val="center"/>
            <w:hideMark/>
          </w:tcPr>
          <w:p w14:paraId="5329B816" w14:textId="77777777" w:rsidR="00951656" w:rsidRDefault="00951656">
            <w:pPr>
              <w:pStyle w:val="aa"/>
            </w:pPr>
            <w:r>
              <w:t>Платник паливного акцизу – покупець пального</w:t>
            </w:r>
          </w:p>
        </w:tc>
        <w:tc>
          <w:tcPr>
            <w:tcW w:w="2520" w:type="dxa"/>
            <w:vAlign w:val="center"/>
            <w:hideMark/>
          </w:tcPr>
          <w:p w14:paraId="0287F42B" w14:textId="77777777" w:rsidR="00951656" w:rsidRDefault="00951656">
            <w:pPr>
              <w:pStyle w:val="aa"/>
            </w:pPr>
            <w:r>
              <w:t>У разі порушення контрагентом порядку виписування/реєстрації АН, у складі звітної декларації</w:t>
            </w:r>
          </w:p>
        </w:tc>
      </w:tr>
      <w:tr w:rsidR="00951656" w14:paraId="74103C5E" w14:textId="77777777" w:rsidTr="00951656">
        <w:trPr>
          <w:tblCellSpacing w:w="15" w:type="dxa"/>
        </w:trPr>
        <w:tc>
          <w:tcPr>
            <w:tcW w:w="1575" w:type="dxa"/>
            <w:vAlign w:val="center"/>
            <w:hideMark/>
          </w:tcPr>
          <w:p w14:paraId="3270BE38" w14:textId="77777777" w:rsidR="00951656" w:rsidRDefault="00951656">
            <w:pPr>
              <w:pStyle w:val="aa"/>
              <w:jc w:val="center"/>
            </w:pPr>
            <w:r>
              <w:rPr>
                <w:rStyle w:val="a9"/>
              </w:rPr>
              <w:t>Д11</w:t>
            </w:r>
          </w:p>
        </w:tc>
        <w:tc>
          <w:tcPr>
            <w:tcW w:w="3105" w:type="dxa"/>
            <w:vAlign w:val="center"/>
            <w:hideMark/>
          </w:tcPr>
          <w:p w14:paraId="2A3E459C" w14:textId="77777777" w:rsidR="00951656" w:rsidRDefault="00951656">
            <w:pPr>
              <w:pStyle w:val="aa"/>
            </w:pPr>
            <w:r>
              <w:t>Розрахунок суми акцизного податку, що підлягає відніманню, з пального, під час виробництва якого як сировину використано інші оподатковувані підакцизні товари, згідно із пунктом 217.6 статті 217 розділу VI Кодексу</w:t>
            </w:r>
          </w:p>
        </w:tc>
        <w:tc>
          <w:tcPr>
            <w:tcW w:w="2430" w:type="dxa"/>
            <w:vAlign w:val="center"/>
            <w:hideMark/>
          </w:tcPr>
          <w:p w14:paraId="32012E4A" w14:textId="77777777" w:rsidR="00951656" w:rsidRDefault="00951656">
            <w:pPr>
              <w:pStyle w:val="aa"/>
            </w:pPr>
            <w:r>
              <w:t>Виробники пального</w:t>
            </w:r>
          </w:p>
        </w:tc>
        <w:tc>
          <w:tcPr>
            <w:tcW w:w="2520" w:type="dxa"/>
            <w:vAlign w:val="center"/>
            <w:hideMark/>
          </w:tcPr>
          <w:p w14:paraId="7259A4B2" w14:textId="77777777" w:rsidR="00951656" w:rsidRDefault="00951656">
            <w:pPr>
              <w:pStyle w:val="aa"/>
            </w:pPr>
            <w:r>
              <w:t>У складі щомісячної звітної декларації в разі використання у виробництві інших підакцизних товарів</w:t>
            </w:r>
          </w:p>
        </w:tc>
      </w:tr>
      <w:tr w:rsidR="00951656" w14:paraId="46E483B7" w14:textId="77777777" w:rsidTr="00951656">
        <w:trPr>
          <w:tblCellSpacing w:w="15" w:type="dxa"/>
        </w:trPr>
        <w:tc>
          <w:tcPr>
            <w:tcW w:w="1575" w:type="dxa"/>
            <w:vAlign w:val="center"/>
            <w:hideMark/>
          </w:tcPr>
          <w:p w14:paraId="2DE8DE28" w14:textId="77777777" w:rsidR="00951656" w:rsidRDefault="00951656">
            <w:pPr>
              <w:pStyle w:val="aa"/>
              <w:jc w:val="center"/>
            </w:pPr>
            <w:r>
              <w:rPr>
                <w:rStyle w:val="a9"/>
              </w:rPr>
              <w:t>Д13</w:t>
            </w:r>
          </w:p>
        </w:tc>
        <w:tc>
          <w:tcPr>
            <w:tcW w:w="3105" w:type="dxa"/>
            <w:vAlign w:val="center"/>
            <w:hideMark/>
          </w:tcPr>
          <w:p w14:paraId="599F6FAF" w14:textId="77777777" w:rsidR="00951656" w:rsidRDefault="00951656">
            <w:pPr>
              <w:pStyle w:val="aa"/>
            </w:pPr>
            <w:r>
              <w:t>Інформація про повітряні судна, які були заправлені, та про обсяги бензинів авіаційних або палива для реактивних двигунів, використані для заправлення таких суден, згідно із підпунктом 229.8.10 пункту 229.8 статті 229 розділу VI Кодексу</w:t>
            </w:r>
          </w:p>
        </w:tc>
        <w:tc>
          <w:tcPr>
            <w:tcW w:w="2430" w:type="dxa"/>
            <w:vAlign w:val="center"/>
            <w:hideMark/>
          </w:tcPr>
          <w:p w14:paraId="548C6D88" w14:textId="77777777" w:rsidR="00951656" w:rsidRDefault="00951656">
            <w:pPr>
              <w:pStyle w:val="aa"/>
            </w:pPr>
            <w:r>
              <w:t>Особи, які здійснюють забезпечення авіапальним згідно з чинним сертифікатом на відповідність вимогам авіаційних правил</w:t>
            </w:r>
          </w:p>
        </w:tc>
        <w:tc>
          <w:tcPr>
            <w:tcW w:w="2520" w:type="dxa"/>
            <w:vAlign w:val="center"/>
            <w:hideMark/>
          </w:tcPr>
          <w:p w14:paraId="2A52D5E5" w14:textId="77777777" w:rsidR="00951656" w:rsidRDefault="00951656">
            <w:pPr>
              <w:pStyle w:val="aa"/>
            </w:pPr>
            <w:r>
              <w:t>У складі щомісячної декларації за наявності операцій із заправки повітряних суден авіаційним бензином або паливом для реактивних двигунів</w:t>
            </w:r>
          </w:p>
        </w:tc>
      </w:tr>
      <w:bookmarkEnd w:id="0"/>
    </w:tbl>
    <w:p w14:paraId="0AD8FF37" w14:textId="58CA34C3" w:rsidR="00E3097F" w:rsidRPr="00951656" w:rsidRDefault="00E3097F" w:rsidP="00951656"/>
    <w:sectPr w:rsidR="00E3097F" w:rsidRPr="00951656" w:rsidSect="003F3377">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03D84" w14:textId="77777777" w:rsidR="00BC13D4" w:rsidRDefault="00BC13D4" w:rsidP="003506CA">
      <w:r>
        <w:separator/>
      </w:r>
    </w:p>
  </w:endnote>
  <w:endnote w:type="continuationSeparator" w:id="0">
    <w:p w14:paraId="42B3157A" w14:textId="77777777" w:rsidR="00BC13D4" w:rsidRDefault="00BC13D4" w:rsidP="0035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AA32A" w14:textId="193CAFCA" w:rsidR="003506CA" w:rsidRPr="003506CA" w:rsidRDefault="003506CA" w:rsidP="00FC5F01">
    <w:pPr>
      <w:pStyle w:val="a7"/>
      <w:jc w:val="right"/>
    </w:pPr>
    <w:r>
      <w:rPr>
        <w:noProof/>
      </w:rPr>
      <w:drawing>
        <wp:inline distT="0" distB="0" distL="0" distR="0" wp14:anchorId="60A68350" wp14:editId="63F6A975">
          <wp:extent cx="892175" cy="219710"/>
          <wp:effectExtent l="0" t="0" r="3175" b="8890"/>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2197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552E5" w14:textId="77777777" w:rsidR="00BC13D4" w:rsidRDefault="00BC13D4" w:rsidP="003506CA">
      <w:r>
        <w:separator/>
      </w:r>
    </w:p>
  </w:footnote>
  <w:footnote w:type="continuationSeparator" w:id="0">
    <w:p w14:paraId="40BBCB95" w14:textId="77777777" w:rsidR="00BC13D4" w:rsidRDefault="00BC13D4" w:rsidP="00350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E1"/>
    <w:rsid w:val="000F0DD5"/>
    <w:rsid w:val="00152231"/>
    <w:rsid w:val="00216140"/>
    <w:rsid w:val="003506CA"/>
    <w:rsid w:val="0039637A"/>
    <w:rsid w:val="003F3377"/>
    <w:rsid w:val="00465B53"/>
    <w:rsid w:val="0050094F"/>
    <w:rsid w:val="005C2752"/>
    <w:rsid w:val="005E5067"/>
    <w:rsid w:val="007F5218"/>
    <w:rsid w:val="0081644B"/>
    <w:rsid w:val="00830D7E"/>
    <w:rsid w:val="008D5B4D"/>
    <w:rsid w:val="00951656"/>
    <w:rsid w:val="0095240C"/>
    <w:rsid w:val="00B905FE"/>
    <w:rsid w:val="00BC13D4"/>
    <w:rsid w:val="00BE1287"/>
    <w:rsid w:val="00CE6D50"/>
    <w:rsid w:val="00D543E1"/>
    <w:rsid w:val="00D91602"/>
    <w:rsid w:val="00DC1A77"/>
    <w:rsid w:val="00DD2B93"/>
    <w:rsid w:val="00DF315F"/>
    <w:rsid w:val="00E3097F"/>
    <w:rsid w:val="00FC5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551F"/>
  <w15:chartTrackingRefBased/>
  <w15:docId w15:val="{FCBD2761-ACC0-4795-9BBB-A5D9B27C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3E1"/>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C1A7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42">
    <w:name w:val="st42"/>
    <w:uiPriority w:val="99"/>
    <w:rsid w:val="00D543E1"/>
    <w:rPr>
      <w:color w:val="000000"/>
    </w:rPr>
  </w:style>
  <w:style w:type="paragraph" w:styleId="a3">
    <w:name w:val="Balloon Text"/>
    <w:basedOn w:val="a"/>
    <w:link w:val="a4"/>
    <w:uiPriority w:val="99"/>
    <w:semiHidden/>
    <w:unhideWhenUsed/>
    <w:rsid w:val="007F5218"/>
    <w:rPr>
      <w:rFonts w:ascii="Segoe UI" w:hAnsi="Segoe UI" w:cs="Segoe UI"/>
      <w:sz w:val="18"/>
      <w:szCs w:val="18"/>
    </w:rPr>
  </w:style>
  <w:style w:type="character" w:customStyle="1" w:styleId="a4">
    <w:name w:val="Текст выноски Знак"/>
    <w:basedOn w:val="a0"/>
    <w:link w:val="a3"/>
    <w:uiPriority w:val="99"/>
    <w:semiHidden/>
    <w:rsid w:val="007F5218"/>
    <w:rPr>
      <w:rFonts w:ascii="Segoe UI" w:eastAsia="Times New Roman" w:hAnsi="Segoe UI" w:cs="Segoe UI"/>
      <w:sz w:val="18"/>
      <w:szCs w:val="18"/>
      <w:lang w:val="ru-RU" w:eastAsia="ru-RU"/>
    </w:rPr>
  </w:style>
  <w:style w:type="paragraph" w:styleId="a5">
    <w:name w:val="header"/>
    <w:basedOn w:val="a"/>
    <w:link w:val="a6"/>
    <w:uiPriority w:val="99"/>
    <w:unhideWhenUsed/>
    <w:rsid w:val="003506CA"/>
    <w:pPr>
      <w:tabs>
        <w:tab w:val="center" w:pos="4677"/>
        <w:tab w:val="right" w:pos="9355"/>
      </w:tabs>
    </w:pPr>
  </w:style>
  <w:style w:type="character" w:customStyle="1" w:styleId="a6">
    <w:name w:val="Верхний колонтитул Знак"/>
    <w:basedOn w:val="a0"/>
    <w:link w:val="a5"/>
    <w:uiPriority w:val="99"/>
    <w:rsid w:val="003506CA"/>
    <w:rPr>
      <w:rFonts w:ascii="Times New Roman" w:eastAsia="Times New Roman" w:hAnsi="Times New Roman" w:cs="Times New Roman"/>
      <w:sz w:val="24"/>
      <w:szCs w:val="24"/>
      <w:lang w:eastAsia="ru-RU"/>
    </w:rPr>
  </w:style>
  <w:style w:type="paragraph" w:styleId="a7">
    <w:name w:val="footer"/>
    <w:basedOn w:val="a"/>
    <w:link w:val="a8"/>
    <w:unhideWhenUsed/>
    <w:rsid w:val="003506CA"/>
    <w:pPr>
      <w:tabs>
        <w:tab w:val="center" w:pos="4677"/>
        <w:tab w:val="right" w:pos="9355"/>
      </w:tabs>
    </w:pPr>
  </w:style>
  <w:style w:type="character" w:customStyle="1" w:styleId="a8">
    <w:name w:val="Нижний колонтитул Знак"/>
    <w:basedOn w:val="a0"/>
    <w:link w:val="a7"/>
    <w:rsid w:val="003506C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C1A77"/>
    <w:rPr>
      <w:rFonts w:ascii="Times New Roman" w:eastAsia="Times New Roman" w:hAnsi="Times New Roman" w:cs="Times New Roman"/>
      <w:b/>
      <w:bCs/>
      <w:sz w:val="27"/>
      <w:szCs w:val="27"/>
      <w:lang w:eastAsia="ru-RU"/>
    </w:rPr>
  </w:style>
  <w:style w:type="character" w:styleId="a9">
    <w:name w:val="Strong"/>
    <w:basedOn w:val="a0"/>
    <w:uiPriority w:val="22"/>
    <w:qFormat/>
    <w:rsid w:val="00DC1A77"/>
    <w:rPr>
      <w:b/>
      <w:bCs/>
    </w:rPr>
  </w:style>
  <w:style w:type="paragraph" w:styleId="aa">
    <w:name w:val="Normal (Web)"/>
    <w:basedOn w:val="a"/>
    <w:uiPriority w:val="99"/>
    <w:semiHidden/>
    <w:unhideWhenUsed/>
    <w:rsid w:val="00DC1A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5630">
      <w:bodyDiv w:val="1"/>
      <w:marLeft w:val="0"/>
      <w:marRight w:val="0"/>
      <w:marTop w:val="0"/>
      <w:marBottom w:val="0"/>
      <w:divBdr>
        <w:top w:val="none" w:sz="0" w:space="0" w:color="auto"/>
        <w:left w:val="none" w:sz="0" w:space="0" w:color="auto"/>
        <w:bottom w:val="none" w:sz="0" w:space="0" w:color="auto"/>
        <w:right w:val="none" w:sz="0" w:space="0" w:color="auto"/>
      </w:divBdr>
    </w:div>
    <w:div w:id="869804387">
      <w:bodyDiv w:val="1"/>
      <w:marLeft w:val="0"/>
      <w:marRight w:val="0"/>
      <w:marTop w:val="0"/>
      <w:marBottom w:val="0"/>
      <w:divBdr>
        <w:top w:val="none" w:sz="0" w:space="0" w:color="auto"/>
        <w:left w:val="none" w:sz="0" w:space="0" w:color="auto"/>
        <w:bottom w:val="none" w:sz="0" w:space="0" w:color="auto"/>
        <w:right w:val="none" w:sz="0" w:space="0" w:color="auto"/>
      </w:divBdr>
    </w:div>
    <w:div w:id="878206937">
      <w:bodyDiv w:val="1"/>
      <w:marLeft w:val="0"/>
      <w:marRight w:val="0"/>
      <w:marTop w:val="0"/>
      <w:marBottom w:val="0"/>
      <w:divBdr>
        <w:top w:val="none" w:sz="0" w:space="0" w:color="auto"/>
        <w:left w:val="none" w:sz="0" w:space="0" w:color="auto"/>
        <w:bottom w:val="none" w:sz="0" w:space="0" w:color="auto"/>
        <w:right w:val="none" w:sz="0" w:space="0" w:color="auto"/>
      </w:divBdr>
    </w:div>
    <w:div w:id="885331581">
      <w:bodyDiv w:val="1"/>
      <w:marLeft w:val="0"/>
      <w:marRight w:val="0"/>
      <w:marTop w:val="0"/>
      <w:marBottom w:val="0"/>
      <w:divBdr>
        <w:top w:val="none" w:sz="0" w:space="0" w:color="auto"/>
        <w:left w:val="none" w:sz="0" w:space="0" w:color="auto"/>
        <w:bottom w:val="none" w:sz="0" w:space="0" w:color="auto"/>
        <w:right w:val="none" w:sz="0" w:space="0" w:color="auto"/>
      </w:divBdr>
    </w:div>
    <w:div w:id="954022507">
      <w:bodyDiv w:val="1"/>
      <w:marLeft w:val="0"/>
      <w:marRight w:val="0"/>
      <w:marTop w:val="0"/>
      <w:marBottom w:val="0"/>
      <w:divBdr>
        <w:top w:val="none" w:sz="0" w:space="0" w:color="auto"/>
        <w:left w:val="none" w:sz="0" w:space="0" w:color="auto"/>
        <w:bottom w:val="none" w:sz="0" w:space="0" w:color="auto"/>
        <w:right w:val="none" w:sz="0" w:space="0" w:color="auto"/>
      </w:divBdr>
    </w:div>
    <w:div w:id="1132098010">
      <w:bodyDiv w:val="1"/>
      <w:marLeft w:val="0"/>
      <w:marRight w:val="0"/>
      <w:marTop w:val="0"/>
      <w:marBottom w:val="0"/>
      <w:divBdr>
        <w:top w:val="none" w:sz="0" w:space="0" w:color="auto"/>
        <w:left w:val="none" w:sz="0" w:space="0" w:color="auto"/>
        <w:bottom w:val="none" w:sz="0" w:space="0" w:color="auto"/>
        <w:right w:val="none" w:sz="0" w:space="0" w:color="auto"/>
      </w:divBdr>
    </w:div>
    <w:div w:id="1945188393">
      <w:bodyDiv w:val="1"/>
      <w:marLeft w:val="0"/>
      <w:marRight w:val="0"/>
      <w:marTop w:val="0"/>
      <w:marBottom w:val="0"/>
      <w:divBdr>
        <w:top w:val="none" w:sz="0" w:space="0" w:color="auto"/>
        <w:left w:val="none" w:sz="0" w:space="0" w:color="auto"/>
        <w:bottom w:val="none" w:sz="0" w:space="0" w:color="auto"/>
        <w:right w:val="none" w:sz="0" w:space="0" w:color="auto"/>
      </w:divBdr>
    </w:div>
    <w:div w:id="19534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irishkagubina35@gmail.com</dc:creator>
  <cp:keywords/>
  <dc:description/>
  <cp:lastModifiedBy>Наталья Н. Шевчук</cp:lastModifiedBy>
  <cp:revision>3</cp:revision>
  <cp:lastPrinted>2021-04-19T11:48:00Z</cp:lastPrinted>
  <dcterms:created xsi:type="dcterms:W3CDTF">2021-04-19T13:17:00Z</dcterms:created>
  <dcterms:modified xsi:type="dcterms:W3CDTF">2021-10-21T18:50:00Z</dcterms:modified>
</cp:coreProperties>
</file>