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DD3020" w14:textId="405BEDB0" w:rsidR="00DC1A77" w:rsidRPr="00DC1A77" w:rsidRDefault="00DC1A77" w:rsidP="00DC1A77">
      <w:pPr>
        <w:spacing w:before="100" w:beforeAutospacing="1" w:after="100" w:afterAutospacing="1"/>
        <w:outlineLvl w:val="2"/>
        <w:rPr>
          <w:b/>
          <w:bCs/>
          <w:sz w:val="27"/>
          <w:szCs w:val="27"/>
        </w:rPr>
      </w:pPr>
      <w:r w:rsidRPr="00DC1A77">
        <w:rPr>
          <w:b/>
          <w:bCs/>
          <w:sz w:val="27"/>
          <w:szCs w:val="27"/>
        </w:rPr>
        <w:t>Таблица 2. Приложения к декларации по акц</w:t>
      </w:r>
      <w:r w:rsidR="007E0BEE">
        <w:rPr>
          <w:b/>
          <w:bCs/>
          <w:sz w:val="27"/>
          <w:szCs w:val="27"/>
        </w:rPr>
        <w:t xml:space="preserve">изному налогу для плательщиков </w:t>
      </w:r>
      <w:r w:rsidRPr="00DC1A77">
        <w:rPr>
          <w:b/>
          <w:bCs/>
          <w:sz w:val="27"/>
          <w:szCs w:val="27"/>
        </w:rPr>
        <w:t>топливного</w:t>
      </w:r>
      <w:bookmarkStart w:id="0" w:name="_GoBack"/>
      <w:bookmarkEnd w:id="0"/>
      <w:r w:rsidRPr="00DC1A77">
        <w:rPr>
          <w:b/>
          <w:bCs/>
          <w:sz w:val="27"/>
          <w:szCs w:val="27"/>
        </w:rPr>
        <w:t xml:space="preserve"> акциза</w:t>
      </w:r>
    </w:p>
    <w:tbl>
      <w:tblPr>
        <w:tblW w:w="49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87"/>
        <w:gridCol w:w="4844"/>
        <w:gridCol w:w="3797"/>
        <w:gridCol w:w="3952"/>
      </w:tblGrid>
      <w:tr w:rsidR="00DC1A77" w:rsidRPr="00DC1A77" w14:paraId="547C5026" w14:textId="77777777" w:rsidTr="00DC1A77">
        <w:trPr>
          <w:tblCellSpacing w:w="15" w:type="dxa"/>
        </w:trPr>
        <w:tc>
          <w:tcPr>
            <w:tcW w:w="1575" w:type="dxa"/>
            <w:vAlign w:val="center"/>
            <w:hideMark/>
          </w:tcPr>
          <w:p w14:paraId="238C134B" w14:textId="77777777" w:rsidR="00DC1A77" w:rsidRPr="00DC1A77" w:rsidRDefault="00DC1A77" w:rsidP="00DC1A77">
            <w:pPr>
              <w:spacing w:before="100" w:beforeAutospacing="1" w:after="100" w:afterAutospacing="1"/>
              <w:jc w:val="center"/>
            </w:pPr>
            <w:r w:rsidRPr="00DC1A77">
              <w:rPr>
                <w:b/>
                <w:bCs/>
              </w:rPr>
              <w:t>Номер приложения</w:t>
            </w:r>
          </w:p>
        </w:tc>
        <w:tc>
          <w:tcPr>
            <w:tcW w:w="3105" w:type="dxa"/>
            <w:vAlign w:val="center"/>
            <w:hideMark/>
          </w:tcPr>
          <w:p w14:paraId="4FCCEBA7" w14:textId="77777777" w:rsidR="00DC1A77" w:rsidRPr="00DC1A77" w:rsidRDefault="00DC1A77" w:rsidP="00DC1A77">
            <w:pPr>
              <w:spacing w:before="100" w:beforeAutospacing="1" w:after="100" w:afterAutospacing="1"/>
              <w:jc w:val="center"/>
            </w:pPr>
            <w:r w:rsidRPr="00DC1A77">
              <w:rPr>
                <w:b/>
                <w:bCs/>
              </w:rPr>
              <w:t>Название приложения</w:t>
            </w:r>
          </w:p>
        </w:tc>
        <w:tc>
          <w:tcPr>
            <w:tcW w:w="2430" w:type="dxa"/>
            <w:vAlign w:val="center"/>
            <w:hideMark/>
          </w:tcPr>
          <w:p w14:paraId="0379437B" w14:textId="77777777" w:rsidR="00DC1A77" w:rsidRPr="00DC1A77" w:rsidRDefault="00DC1A77" w:rsidP="00DC1A77">
            <w:pPr>
              <w:spacing w:before="100" w:beforeAutospacing="1" w:after="100" w:afterAutospacing="1"/>
              <w:jc w:val="center"/>
            </w:pPr>
            <w:r w:rsidRPr="00DC1A77">
              <w:rPr>
                <w:b/>
                <w:bCs/>
              </w:rPr>
              <w:t>Кто заполняет</w:t>
            </w:r>
          </w:p>
        </w:tc>
        <w:tc>
          <w:tcPr>
            <w:tcW w:w="2520" w:type="dxa"/>
            <w:vAlign w:val="center"/>
            <w:hideMark/>
          </w:tcPr>
          <w:p w14:paraId="5E1E890B" w14:textId="77777777" w:rsidR="00DC1A77" w:rsidRPr="00DC1A77" w:rsidRDefault="00DC1A77" w:rsidP="00DC1A77">
            <w:pPr>
              <w:spacing w:before="100" w:beforeAutospacing="1" w:after="100" w:afterAutospacing="1"/>
              <w:jc w:val="center"/>
            </w:pPr>
            <w:r w:rsidRPr="00DC1A77">
              <w:rPr>
                <w:b/>
                <w:bCs/>
              </w:rPr>
              <w:t>В каких случаях заполняется</w:t>
            </w:r>
          </w:p>
        </w:tc>
      </w:tr>
      <w:tr w:rsidR="00DC1A77" w:rsidRPr="00DC1A77" w14:paraId="2ABD2DDE" w14:textId="77777777" w:rsidTr="00DC1A77">
        <w:trPr>
          <w:tblCellSpacing w:w="15" w:type="dxa"/>
        </w:trPr>
        <w:tc>
          <w:tcPr>
            <w:tcW w:w="1575" w:type="dxa"/>
            <w:vMerge w:val="restart"/>
            <w:vAlign w:val="center"/>
            <w:hideMark/>
          </w:tcPr>
          <w:p w14:paraId="401BA3E3" w14:textId="77777777" w:rsidR="00DC1A77" w:rsidRPr="00DC1A77" w:rsidRDefault="00DC1A77" w:rsidP="00DC1A77">
            <w:pPr>
              <w:spacing w:before="100" w:beforeAutospacing="1" w:after="100" w:afterAutospacing="1"/>
              <w:jc w:val="center"/>
            </w:pPr>
            <w:r w:rsidRPr="00DC1A77">
              <w:rPr>
                <w:b/>
                <w:bCs/>
              </w:rPr>
              <w:t>Д1</w:t>
            </w:r>
          </w:p>
        </w:tc>
        <w:tc>
          <w:tcPr>
            <w:tcW w:w="3105" w:type="dxa"/>
            <w:vMerge w:val="restart"/>
            <w:vAlign w:val="center"/>
            <w:hideMark/>
          </w:tcPr>
          <w:p w14:paraId="7F6B0C62" w14:textId="77777777" w:rsidR="00DC1A77" w:rsidRPr="00DC1A77" w:rsidRDefault="00DC1A77" w:rsidP="00DC1A77">
            <w:pPr>
              <w:spacing w:before="100" w:beforeAutospacing="1" w:after="100" w:afterAutospacing="1"/>
            </w:pPr>
            <w:r w:rsidRPr="00DC1A77">
              <w:t>Розрахунок суми акцизного податку з підакцизних товарів (продукції) (крім транспортних засобів), на які встановлено специфічні ставки акцизного податку (крім операцій, визначених підпунктами 213.1.9, 213.1.11, 213.1.12 пункту 213.1 статті 213 розділу VI Кодексу)</w:t>
            </w:r>
          </w:p>
        </w:tc>
        <w:tc>
          <w:tcPr>
            <w:tcW w:w="2430" w:type="dxa"/>
            <w:vAlign w:val="center"/>
            <w:hideMark/>
          </w:tcPr>
          <w:p w14:paraId="48C71266" w14:textId="77777777" w:rsidR="00DC1A77" w:rsidRPr="00DC1A77" w:rsidRDefault="00DC1A77" w:rsidP="00DC1A77">
            <w:pPr>
              <w:spacing w:before="100" w:beforeAutospacing="1" w:after="100" w:afterAutospacing="1"/>
            </w:pPr>
            <w:r w:rsidRPr="00DC1A77">
              <w:t>Производители горючего</w:t>
            </w:r>
          </w:p>
        </w:tc>
        <w:tc>
          <w:tcPr>
            <w:tcW w:w="2520" w:type="dxa"/>
            <w:vAlign w:val="center"/>
            <w:hideMark/>
          </w:tcPr>
          <w:p w14:paraId="1819A434" w14:textId="77777777" w:rsidR="00DC1A77" w:rsidRPr="00DC1A77" w:rsidRDefault="00DC1A77" w:rsidP="00DC1A77">
            <w:pPr>
              <w:spacing w:before="100" w:beforeAutospacing="1" w:after="100" w:afterAutospacing="1"/>
            </w:pPr>
            <w:r w:rsidRPr="00DC1A77">
              <w:t>Каждый раз при подаче ежемесячной отчетной декларации</w:t>
            </w:r>
          </w:p>
        </w:tc>
      </w:tr>
      <w:tr w:rsidR="00DC1A77" w:rsidRPr="00DC1A77" w14:paraId="6C60E8B0" w14:textId="77777777" w:rsidTr="00DC1A77">
        <w:trPr>
          <w:tblCellSpacing w:w="15" w:type="dxa"/>
        </w:trPr>
        <w:tc>
          <w:tcPr>
            <w:tcW w:w="0" w:type="auto"/>
            <w:vMerge/>
            <w:vAlign w:val="center"/>
            <w:hideMark/>
          </w:tcPr>
          <w:p w14:paraId="3695625C" w14:textId="77777777" w:rsidR="00DC1A77" w:rsidRPr="00DC1A77" w:rsidRDefault="00DC1A77" w:rsidP="00DC1A77"/>
        </w:tc>
        <w:tc>
          <w:tcPr>
            <w:tcW w:w="0" w:type="auto"/>
            <w:vMerge/>
            <w:vAlign w:val="center"/>
            <w:hideMark/>
          </w:tcPr>
          <w:p w14:paraId="1BEB2C8E" w14:textId="77777777" w:rsidR="00DC1A77" w:rsidRPr="00DC1A77" w:rsidRDefault="00DC1A77" w:rsidP="00DC1A77"/>
        </w:tc>
        <w:tc>
          <w:tcPr>
            <w:tcW w:w="2430" w:type="dxa"/>
            <w:vAlign w:val="center"/>
            <w:hideMark/>
          </w:tcPr>
          <w:p w14:paraId="281901DA" w14:textId="77777777" w:rsidR="00DC1A77" w:rsidRPr="00DC1A77" w:rsidRDefault="00DC1A77" w:rsidP="00DC1A77">
            <w:pPr>
              <w:spacing w:before="100" w:beforeAutospacing="1" w:after="100" w:afterAutospacing="1"/>
            </w:pPr>
            <w:r w:rsidRPr="00DC1A77">
              <w:t>Лица, заправляющие «негорючим» двигатели внутреннего сгорания</w:t>
            </w:r>
          </w:p>
        </w:tc>
        <w:tc>
          <w:tcPr>
            <w:tcW w:w="2520" w:type="dxa"/>
            <w:vAlign w:val="center"/>
            <w:hideMark/>
          </w:tcPr>
          <w:p w14:paraId="6268DFDC" w14:textId="77777777" w:rsidR="00DC1A77" w:rsidRPr="00DC1A77" w:rsidRDefault="00DC1A77" w:rsidP="00DC1A77">
            <w:pPr>
              <w:spacing w:before="100" w:beforeAutospacing="1" w:after="100" w:afterAutospacing="1"/>
            </w:pPr>
            <w:r w:rsidRPr="00DC1A77">
              <w:t>При возникновении объекта налогообложения (при заправке двигателей внутреннего сгорания)</w:t>
            </w:r>
          </w:p>
        </w:tc>
      </w:tr>
      <w:tr w:rsidR="00DC1A77" w:rsidRPr="00DC1A77" w14:paraId="290BA6A6" w14:textId="77777777" w:rsidTr="00DC1A77">
        <w:trPr>
          <w:tblCellSpacing w:w="15" w:type="dxa"/>
        </w:trPr>
        <w:tc>
          <w:tcPr>
            <w:tcW w:w="1575" w:type="dxa"/>
            <w:vAlign w:val="center"/>
            <w:hideMark/>
          </w:tcPr>
          <w:p w14:paraId="5CCBAC1C" w14:textId="77777777" w:rsidR="00DC1A77" w:rsidRPr="00DC1A77" w:rsidRDefault="00DC1A77" w:rsidP="00DC1A77">
            <w:pPr>
              <w:spacing w:before="100" w:beforeAutospacing="1" w:after="100" w:afterAutospacing="1"/>
              <w:jc w:val="center"/>
            </w:pPr>
            <w:r w:rsidRPr="00DC1A77">
              <w:rPr>
                <w:b/>
                <w:bCs/>
              </w:rPr>
              <w:t>Д1</w:t>
            </w:r>
            <w:r w:rsidRPr="00DC1A77">
              <w:rPr>
                <w:b/>
                <w:bCs/>
                <w:vertAlign w:val="superscript"/>
              </w:rPr>
              <w:t>1</w:t>
            </w:r>
          </w:p>
        </w:tc>
        <w:tc>
          <w:tcPr>
            <w:tcW w:w="3105" w:type="dxa"/>
            <w:vAlign w:val="center"/>
            <w:hideMark/>
          </w:tcPr>
          <w:p w14:paraId="0C9697E6" w14:textId="77777777" w:rsidR="00DC1A77" w:rsidRPr="00DC1A77" w:rsidRDefault="00DC1A77" w:rsidP="00DC1A77">
            <w:pPr>
              <w:spacing w:before="100" w:beforeAutospacing="1" w:after="100" w:afterAutospacing="1"/>
            </w:pPr>
            <w:r w:rsidRPr="00DC1A77">
              <w:t>Розрахунок суми акцизного податку з реалізації пального згідно із підпунктом 213.1.12 пункту 213.1 статті 213 розділу VI Кодексу</w:t>
            </w:r>
          </w:p>
        </w:tc>
        <w:tc>
          <w:tcPr>
            <w:tcW w:w="2430" w:type="dxa"/>
            <w:vAlign w:val="center"/>
            <w:hideMark/>
          </w:tcPr>
          <w:p w14:paraId="084E1159" w14:textId="77777777" w:rsidR="00DC1A77" w:rsidRPr="00DC1A77" w:rsidRDefault="00DC1A77" w:rsidP="00DC1A77">
            <w:pPr>
              <w:spacing w:before="100" w:beforeAutospacing="1" w:after="100" w:afterAutospacing="1"/>
            </w:pPr>
            <w:r w:rsidRPr="00DC1A77">
              <w:t>Лица, реализующие горючее</w:t>
            </w:r>
          </w:p>
        </w:tc>
        <w:tc>
          <w:tcPr>
            <w:tcW w:w="2520" w:type="dxa"/>
            <w:vAlign w:val="center"/>
            <w:hideMark/>
          </w:tcPr>
          <w:p w14:paraId="35FC3F0D" w14:textId="77777777" w:rsidR="00DC1A77" w:rsidRPr="00DC1A77" w:rsidRDefault="00DC1A77" w:rsidP="00DC1A77">
            <w:pPr>
              <w:spacing w:before="100" w:beforeAutospacing="1" w:after="100" w:afterAutospacing="1"/>
            </w:pPr>
            <w:r w:rsidRPr="00DC1A77">
              <w:t>Каждый раз при подаче ежемесячной отчетной декларации</w:t>
            </w:r>
          </w:p>
        </w:tc>
      </w:tr>
      <w:tr w:rsidR="00DC1A77" w:rsidRPr="00DC1A77" w14:paraId="46CC823D" w14:textId="77777777" w:rsidTr="00DC1A77">
        <w:trPr>
          <w:tblCellSpacing w:w="15" w:type="dxa"/>
        </w:trPr>
        <w:tc>
          <w:tcPr>
            <w:tcW w:w="1575" w:type="dxa"/>
            <w:vAlign w:val="center"/>
            <w:hideMark/>
          </w:tcPr>
          <w:p w14:paraId="3F04E860" w14:textId="77777777" w:rsidR="00DC1A77" w:rsidRPr="00DC1A77" w:rsidRDefault="00DC1A77" w:rsidP="00DC1A77">
            <w:pPr>
              <w:spacing w:before="100" w:beforeAutospacing="1" w:after="100" w:afterAutospacing="1"/>
              <w:jc w:val="center"/>
            </w:pPr>
            <w:r w:rsidRPr="00DC1A77">
              <w:rPr>
                <w:b/>
                <w:bCs/>
              </w:rPr>
              <w:t>Д1</w:t>
            </w:r>
            <w:r w:rsidRPr="00DC1A77">
              <w:rPr>
                <w:b/>
                <w:bCs/>
                <w:vertAlign w:val="superscript"/>
              </w:rPr>
              <w:t>4</w:t>
            </w:r>
          </w:p>
        </w:tc>
        <w:tc>
          <w:tcPr>
            <w:tcW w:w="3105" w:type="dxa"/>
            <w:vAlign w:val="center"/>
            <w:hideMark/>
          </w:tcPr>
          <w:p w14:paraId="3A537BF3" w14:textId="77777777" w:rsidR="00DC1A77" w:rsidRPr="00DC1A77" w:rsidRDefault="00DC1A77" w:rsidP="00DC1A77">
            <w:pPr>
              <w:spacing w:before="100" w:beforeAutospacing="1" w:after="100" w:afterAutospacing="1"/>
            </w:pPr>
            <w:r w:rsidRPr="00DC1A77">
              <w:t>Розрахунок суми акцизного податку з реалізації пального під час зміні умов оподаткування згідно з підпунктом 229.8.13 пункту 229.8 статті 229 розділу VI Кодексу</w:t>
            </w:r>
          </w:p>
        </w:tc>
        <w:tc>
          <w:tcPr>
            <w:tcW w:w="2430" w:type="dxa"/>
            <w:vAlign w:val="center"/>
            <w:hideMark/>
          </w:tcPr>
          <w:p w14:paraId="2FC6E149" w14:textId="77777777" w:rsidR="00DC1A77" w:rsidRPr="00DC1A77" w:rsidRDefault="00DC1A77" w:rsidP="00DC1A77">
            <w:pPr>
              <w:spacing w:before="100" w:beforeAutospacing="1" w:after="100" w:afterAutospacing="1"/>
            </w:pPr>
            <w:r w:rsidRPr="00DC1A77">
              <w:t>Лица, реализующие бензины авиационные или горючее для двигателей внутреннего сгорания:</w:t>
            </w:r>
          </w:p>
          <w:p w14:paraId="7BBD7659" w14:textId="77777777" w:rsidR="00DC1A77" w:rsidRPr="00DC1A77" w:rsidRDefault="00DC1A77" w:rsidP="00DC1A77">
            <w:pPr>
              <w:spacing w:before="100" w:beforeAutospacing="1" w:after="100" w:afterAutospacing="1"/>
            </w:pPr>
            <w:r w:rsidRPr="00DC1A77">
              <w:t>– субъектам самолетостроения, на которых распространяются льготы;</w:t>
            </w:r>
          </w:p>
          <w:p w14:paraId="2E722374" w14:textId="77777777" w:rsidR="00DC1A77" w:rsidRPr="00DC1A77" w:rsidRDefault="00DC1A77" w:rsidP="00DC1A77">
            <w:pPr>
              <w:spacing w:before="100" w:beforeAutospacing="1" w:after="100" w:afterAutospacing="1"/>
            </w:pPr>
            <w:r w:rsidRPr="00DC1A77">
              <w:t>– заказчикам, осуществляющим закупку для обеспечения потребностей государства или территориальной общины</w:t>
            </w:r>
          </w:p>
        </w:tc>
        <w:tc>
          <w:tcPr>
            <w:tcW w:w="2520" w:type="dxa"/>
            <w:vAlign w:val="center"/>
            <w:hideMark/>
          </w:tcPr>
          <w:p w14:paraId="6BC6DB00" w14:textId="77777777" w:rsidR="00DC1A77" w:rsidRPr="00DC1A77" w:rsidRDefault="00DC1A77" w:rsidP="00DC1A77">
            <w:pPr>
              <w:spacing w:before="100" w:beforeAutospacing="1" w:after="100" w:afterAutospacing="1"/>
            </w:pPr>
            <w:r w:rsidRPr="00DC1A77">
              <w:t>При подаче отчетной декларации за период, в котором подтверждено целевое использование бензинов авиационных или горючего для двигателей внутреннего сгорания путем погашения налогового векселя при регистрации в ЕРАН АН на соответствующие операции</w:t>
            </w:r>
          </w:p>
        </w:tc>
      </w:tr>
      <w:tr w:rsidR="00DC1A77" w:rsidRPr="00DC1A77" w14:paraId="4B653012" w14:textId="77777777" w:rsidTr="00DC1A77">
        <w:trPr>
          <w:tblCellSpacing w:w="15" w:type="dxa"/>
        </w:trPr>
        <w:tc>
          <w:tcPr>
            <w:tcW w:w="1575" w:type="dxa"/>
            <w:vAlign w:val="center"/>
            <w:hideMark/>
          </w:tcPr>
          <w:p w14:paraId="2EAD4616" w14:textId="77777777" w:rsidR="00DC1A77" w:rsidRPr="00DC1A77" w:rsidRDefault="00DC1A77" w:rsidP="00DC1A77">
            <w:pPr>
              <w:spacing w:before="100" w:beforeAutospacing="1" w:after="100" w:afterAutospacing="1"/>
              <w:jc w:val="center"/>
            </w:pPr>
            <w:r w:rsidRPr="00DC1A77">
              <w:rPr>
                <w:b/>
                <w:bCs/>
              </w:rPr>
              <w:t>Д4</w:t>
            </w:r>
          </w:p>
        </w:tc>
        <w:tc>
          <w:tcPr>
            <w:tcW w:w="3105" w:type="dxa"/>
            <w:vAlign w:val="center"/>
            <w:hideMark/>
          </w:tcPr>
          <w:p w14:paraId="4866915C" w14:textId="77777777" w:rsidR="00DC1A77" w:rsidRPr="00DC1A77" w:rsidRDefault="00DC1A77" w:rsidP="00DC1A77">
            <w:pPr>
              <w:spacing w:before="100" w:beforeAutospacing="1" w:after="100" w:afterAutospacing="1"/>
            </w:pPr>
            <w:r w:rsidRPr="00DC1A77">
              <w:t>Обороти, що звільняються від оподаткування, оподатковуються за нульовою або за зниженою ставкою</w:t>
            </w:r>
          </w:p>
        </w:tc>
        <w:tc>
          <w:tcPr>
            <w:tcW w:w="2430" w:type="dxa"/>
            <w:vAlign w:val="center"/>
            <w:hideMark/>
          </w:tcPr>
          <w:p w14:paraId="21E34852" w14:textId="77777777" w:rsidR="00DC1A77" w:rsidRPr="00DC1A77" w:rsidRDefault="00DC1A77" w:rsidP="00DC1A77">
            <w:pPr>
              <w:spacing w:before="100" w:beforeAutospacing="1" w:after="100" w:afterAutospacing="1"/>
            </w:pPr>
            <w:r w:rsidRPr="00DC1A77">
              <w:t>Плательщики топливного акциза, которые имеют льготы</w:t>
            </w:r>
          </w:p>
        </w:tc>
        <w:tc>
          <w:tcPr>
            <w:tcW w:w="2520" w:type="dxa"/>
            <w:vAlign w:val="center"/>
            <w:hideMark/>
          </w:tcPr>
          <w:p w14:paraId="275A39B9" w14:textId="77777777" w:rsidR="00DC1A77" w:rsidRPr="00DC1A77" w:rsidRDefault="00DC1A77" w:rsidP="00DC1A77">
            <w:pPr>
              <w:spacing w:before="100" w:beforeAutospacing="1" w:after="100" w:afterAutospacing="1"/>
            </w:pPr>
            <w:r w:rsidRPr="00DC1A77">
              <w:t>При подаче ежемесячной отчетной декларации в случае наличия/использования льгот</w:t>
            </w:r>
          </w:p>
        </w:tc>
      </w:tr>
      <w:tr w:rsidR="00DC1A77" w:rsidRPr="00DC1A77" w14:paraId="778C9FFD" w14:textId="77777777" w:rsidTr="00DC1A77">
        <w:trPr>
          <w:tblCellSpacing w:w="15" w:type="dxa"/>
        </w:trPr>
        <w:tc>
          <w:tcPr>
            <w:tcW w:w="1575" w:type="dxa"/>
            <w:vAlign w:val="center"/>
            <w:hideMark/>
          </w:tcPr>
          <w:p w14:paraId="03F1EF6B" w14:textId="77777777" w:rsidR="00DC1A77" w:rsidRPr="00DC1A77" w:rsidRDefault="00DC1A77" w:rsidP="00DC1A77">
            <w:pPr>
              <w:spacing w:before="100" w:beforeAutospacing="1" w:after="100" w:afterAutospacing="1"/>
              <w:jc w:val="center"/>
            </w:pPr>
            <w:r w:rsidRPr="00DC1A77">
              <w:rPr>
                <w:b/>
                <w:bCs/>
              </w:rPr>
              <w:t>Д8</w:t>
            </w:r>
          </w:p>
        </w:tc>
        <w:tc>
          <w:tcPr>
            <w:tcW w:w="3105" w:type="dxa"/>
            <w:vAlign w:val="center"/>
            <w:hideMark/>
          </w:tcPr>
          <w:p w14:paraId="737A9D48" w14:textId="77777777" w:rsidR="00DC1A77" w:rsidRPr="00DC1A77" w:rsidRDefault="00DC1A77" w:rsidP="00DC1A77">
            <w:pPr>
              <w:spacing w:before="100" w:beforeAutospacing="1" w:after="100" w:afterAutospacing="1"/>
            </w:pPr>
            <w:r w:rsidRPr="00DC1A77">
              <w:t>Розрахунок суми акцизного податку, що збільшує або зменшує податкові зобов’язання внаслідок виправлення самостійно виявленої помилки, допущеної в попередніх звітних періодах</w:t>
            </w:r>
          </w:p>
        </w:tc>
        <w:tc>
          <w:tcPr>
            <w:tcW w:w="2430" w:type="dxa"/>
            <w:vAlign w:val="center"/>
            <w:hideMark/>
          </w:tcPr>
          <w:p w14:paraId="41F0C2F3" w14:textId="77777777" w:rsidR="00DC1A77" w:rsidRPr="00DC1A77" w:rsidRDefault="00DC1A77" w:rsidP="00DC1A77">
            <w:pPr>
              <w:spacing w:before="100" w:beforeAutospacing="1" w:after="100" w:afterAutospacing="1"/>
            </w:pPr>
            <w:r w:rsidRPr="00DC1A77">
              <w:t>Любой плательщик топливного акциза</w:t>
            </w:r>
          </w:p>
        </w:tc>
        <w:tc>
          <w:tcPr>
            <w:tcW w:w="2520" w:type="dxa"/>
            <w:vAlign w:val="center"/>
            <w:hideMark/>
          </w:tcPr>
          <w:p w14:paraId="4C73BE6A" w14:textId="77777777" w:rsidR="00DC1A77" w:rsidRPr="00DC1A77" w:rsidRDefault="00DC1A77" w:rsidP="00DC1A77">
            <w:pPr>
              <w:spacing w:before="100" w:beforeAutospacing="1" w:after="100" w:afterAutospacing="1"/>
            </w:pPr>
            <w:r w:rsidRPr="00DC1A77">
              <w:t>При исправлении ошибок в составе текущей или уточняющей декларации.</w:t>
            </w:r>
          </w:p>
          <w:p w14:paraId="0F5CD60E" w14:textId="77777777" w:rsidR="00DC1A77" w:rsidRPr="00DC1A77" w:rsidRDefault="00DC1A77" w:rsidP="00DC1A77">
            <w:pPr>
              <w:spacing w:before="100" w:beforeAutospacing="1" w:after="100" w:afterAutospacing="1"/>
            </w:pPr>
            <w:r w:rsidRPr="00DC1A77">
              <w:t xml:space="preserve">При регистрации в ЕРАН РК к АН, составленной в прошлых отчетных </w:t>
            </w:r>
            <w:r w:rsidRPr="00DC1A77">
              <w:lastRenderedPageBreak/>
              <w:t>периодах (вместе с отчетной или уточняющей декларацией)</w:t>
            </w:r>
          </w:p>
        </w:tc>
      </w:tr>
      <w:tr w:rsidR="00DC1A77" w:rsidRPr="00DC1A77" w14:paraId="6058BB8F" w14:textId="77777777" w:rsidTr="00DC1A77">
        <w:trPr>
          <w:tblCellSpacing w:w="15" w:type="dxa"/>
        </w:trPr>
        <w:tc>
          <w:tcPr>
            <w:tcW w:w="1575" w:type="dxa"/>
            <w:vAlign w:val="center"/>
            <w:hideMark/>
          </w:tcPr>
          <w:p w14:paraId="68E2A2FF" w14:textId="77777777" w:rsidR="00DC1A77" w:rsidRPr="00DC1A77" w:rsidRDefault="00DC1A77" w:rsidP="00DC1A77">
            <w:pPr>
              <w:spacing w:before="100" w:beforeAutospacing="1" w:after="100" w:afterAutospacing="1"/>
              <w:jc w:val="center"/>
            </w:pPr>
            <w:r w:rsidRPr="00DC1A77">
              <w:rPr>
                <w:b/>
                <w:bCs/>
              </w:rPr>
              <w:lastRenderedPageBreak/>
              <w:t>Д9</w:t>
            </w:r>
          </w:p>
        </w:tc>
        <w:tc>
          <w:tcPr>
            <w:tcW w:w="3105" w:type="dxa"/>
            <w:vAlign w:val="center"/>
            <w:hideMark/>
          </w:tcPr>
          <w:p w14:paraId="5993F4AA" w14:textId="77777777" w:rsidR="00DC1A77" w:rsidRPr="00DC1A77" w:rsidRDefault="00DC1A77" w:rsidP="00DC1A77">
            <w:pPr>
              <w:spacing w:before="100" w:beforeAutospacing="1" w:after="100" w:afterAutospacing="1"/>
            </w:pPr>
            <w:r w:rsidRPr="00DC1A77">
              <w:t>Заява про порушення особою, яка реалізує пальне або спирт етиловий, порядку заповнення та/або порядку реєстрації акцизної накладної/розрахунку коригування</w:t>
            </w:r>
          </w:p>
        </w:tc>
        <w:tc>
          <w:tcPr>
            <w:tcW w:w="2430" w:type="dxa"/>
            <w:vAlign w:val="center"/>
            <w:hideMark/>
          </w:tcPr>
          <w:p w14:paraId="1C1E0A68" w14:textId="77777777" w:rsidR="00DC1A77" w:rsidRPr="00DC1A77" w:rsidRDefault="00DC1A77" w:rsidP="00DC1A77">
            <w:pPr>
              <w:spacing w:before="100" w:beforeAutospacing="1" w:after="100" w:afterAutospacing="1"/>
            </w:pPr>
            <w:r w:rsidRPr="00DC1A77">
              <w:t>Плательщик топливного акциза – покупатель горючего</w:t>
            </w:r>
          </w:p>
        </w:tc>
        <w:tc>
          <w:tcPr>
            <w:tcW w:w="2520" w:type="dxa"/>
            <w:vAlign w:val="center"/>
            <w:hideMark/>
          </w:tcPr>
          <w:p w14:paraId="4781F9CB" w14:textId="77777777" w:rsidR="00DC1A77" w:rsidRPr="00DC1A77" w:rsidRDefault="00DC1A77" w:rsidP="00DC1A77">
            <w:pPr>
              <w:spacing w:before="100" w:beforeAutospacing="1" w:after="100" w:afterAutospacing="1"/>
            </w:pPr>
            <w:r w:rsidRPr="00DC1A77">
              <w:t>При нарушении контрагентом порядка выписки/регистрации АН, в составе отчетной декларации</w:t>
            </w:r>
          </w:p>
        </w:tc>
      </w:tr>
      <w:tr w:rsidR="00DC1A77" w:rsidRPr="00DC1A77" w14:paraId="4DAC3FA8" w14:textId="77777777" w:rsidTr="00DC1A77">
        <w:trPr>
          <w:tblCellSpacing w:w="15" w:type="dxa"/>
        </w:trPr>
        <w:tc>
          <w:tcPr>
            <w:tcW w:w="1575" w:type="dxa"/>
            <w:vAlign w:val="center"/>
            <w:hideMark/>
          </w:tcPr>
          <w:p w14:paraId="47203C7C" w14:textId="77777777" w:rsidR="00DC1A77" w:rsidRPr="00DC1A77" w:rsidRDefault="00DC1A77" w:rsidP="00DC1A77">
            <w:pPr>
              <w:spacing w:before="100" w:beforeAutospacing="1" w:after="100" w:afterAutospacing="1"/>
              <w:jc w:val="center"/>
            </w:pPr>
            <w:r w:rsidRPr="00DC1A77">
              <w:rPr>
                <w:b/>
                <w:bCs/>
              </w:rPr>
              <w:t>Д11</w:t>
            </w:r>
          </w:p>
        </w:tc>
        <w:tc>
          <w:tcPr>
            <w:tcW w:w="3105" w:type="dxa"/>
            <w:vAlign w:val="center"/>
            <w:hideMark/>
          </w:tcPr>
          <w:p w14:paraId="3ABD2B3A" w14:textId="77777777" w:rsidR="00DC1A77" w:rsidRPr="00DC1A77" w:rsidRDefault="00DC1A77" w:rsidP="00DC1A77">
            <w:pPr>
              <w:spacing w:before="100" w:beforeAutospacing="1" w:after="100" w:afterAutospacing="1"/>
            </w:pPr>
            <w:r w:rsidRPr="00DC1A77">
              <w:t>Розрахунок суми акцизного податку, що підлягає відніманню, з пального, під час виробництва якого як сировину використано інші оподатковувані підакцизні товари, згідно із пунктом 217.6 статті 217 розділу VI Кодексу</w:t>
            </w:r>
          </w:p>
        </w:tc>
        <w:tc>
          <w:tcPr>
            <w:tcW w:w="2430" w:type="dxa"/>
            <w:vAlign w:val="center"/>
            <w:hideMark/>
          </w:tcPr>
          <w:p w14:paraId="0630232B" w14:textId="77777777" w:rsidR="00DC1A77" w:rsidRPr="00DC1A77" w:rsidRDefault="00DC1A77" w:rsidP="00DC1A77">
            <w:pPr>
              <w:spacing w:before="100" w:beforeAutospacing="1" w:after="100" w:afterAutospacing="1"/>
            </w:pPr>
            <w:r w:rsidRPr="00DC1A77">
              <w:t>Производители горючего</w:t>
            </w:r>
          </w:p>
        </w:tc>
        <w:tc>
          <w:tcPr>
            <w:tcW w:w="2520" w:type="dxa"/>
            <w:vAlign w:val="center"/>
            <w:hideMark/>
          </w:tcPr>
          <w:p w14:paraId="7FC1ECF4" w14:textId="77777777" w:rsidR="00DC1A77" w:rsidRPr="00DC1A77" w:rsidRDefault="00DC1A77" w:rsidP="00DC1A77">
            <w:pPr>
              <w:spacing w:before="100" w:beforeAutospacing="1" w:after="100" w:afterAutospacing="1"/>
            </w:pPr>
            <w:r w:rsidRPr="00DC1A77">
              <w:t>В составе ежемесячной отчетной декларации при использовании в производстве других подакцизных товаров</w:t>
            </w:r>
          </w:p>
        </w:tc>
      </w:tr>
      <w:tr w:rsidR="00DC1A77" w:rsidRPr="00DC1A77" w14:paraId="217090D0" w14:textId="77777777" w:rsidTr="00DC1A77">
        <w:trPr>
          <w:tblCellSpacing w:w="15" w:type="dxa"/>
        </w:trPr>
        <w:tc>
          <w:tcPr>
            <w:tcW w:w="1575" w:type="dxa"/>
            <w:vAlign w:val="center"/>
            <w:hideMark/>
          </w:tcPr>
          <w:p w14:paraId="6412E2FA" w14:textId="77777777" w:rsidR="00DC1A77" w:rsidRPr="00DC1A77" w:rsidRDefault="00DC1A77" w:rsidP="00DC1A77">
            <w:pPr>
              <w:spacing w:before="100" w:beforeAutospacing="1" w:after="100" w:afterAutospacing="1"/>
              <w:jc w:val="center"/>
            </w:pPr>
            <w:r w:rsidRPr="00DC1A77">
              <w:rPr>
                <w:b/>
                <w:bCs/>
              </w:rPr>
              <w:t>Д13</w:t>
            </w:r>
          </w:p>
        </w:tc>
        <w:tc>
          <w:tcPr>
            <w:tcW w:w="3105" w:type="dxa"/>
            <w:vAlign w:val="center"/>
            <w:hideMark/>
          </w:tcPr>
          <w:p w14:paraId="439A6D95" w14:textId="77777777" w:rsidR="00DC1A77" w:rsidRPr="00DC1A77" w:rsidRDefault="00DC1A77" w:rsidP="00DC1A77">
            <w:pPr>
              <w:spacing w:before="100" w:beforeAutospacing="1" w:after="100" w:afterAutospacing="1"/>
            </w:pPr>
            <w:r w:rsidRPr="00DC1A77">
              <w:t>Інформація про повітряні судна, які були заправлені, та про обсяги бензинів авіаційних або палива для реактивних двигунів, використані для заправлення таких суден, згідно із підпунктом 229.8.10 пункту 229.8 статті 229 розділу VI Кодексу</w:t>
            </w:r>
          </w:p>
        </w:tc>
        <w:tc>
          <w:tcPr>
            <w:tcW w:w="2430" w:type="dxa"/>
            <w:vAlign w:val="center"/>
            <w:hideMark/>
          </w:tcPr>
          <w:p w14:paraId="166AC207" w14:textId="77777777" w:rsidR="00DC1A77" w:rsidRPr="00DC1A77" w:rsidRDefault="00DC1A77" w:rsidP="00DC1A77">
            <w:pPr>
              <w:spacing w:before="100" w:beforeAutospacing="1" w:after="100" w:afterAutospacing="1"/>
            </w:pPr>
            <w:r w:rsidRPr="00DC1A77">
              <w:t>Лица, осуществляющие авиатопливообеспечение согласно действующему сертификату на соответствие требованиям авиационных правил</w:t>
            </w:r>
          </w:p>
        </w:tc>
        <w:tc>
          <w:tcPr>
            <w:tcW w:w="2520" w:type="dxa"/>
            <w:vAlign w:val="center"/>
            <w:hideMark/>
          </w:tcPr>
          <w:p w14:paraId="18A2324E" w14:textId="77777777" w:rsidR="00DC1A77" w:rsidRPr="00DC1A77" w:rsidRDefault="00DC1A77" w:rsidP="00DC1A77">
            <w:pPr>
              <w:spacing w:before="100" w:beforeAutospacing="1" w:after="100" w:afterAutospacing="1"/>
            </w:pPr>
            <w:r w:rsidRPr="00DC1A77">
              <w:t>В составе ежемесячной декларации при наличии операций по заправке воздушных судов авиационным бензином или топливом для реактивных двигателей</w:t>
            </w:r>
          </w:p>
        </w:tc>
      </w:tr>
    </w:tbl>
    <w:p w14:paraId="0AD8FF37" w14:textId="58CA34C3" w:rsidR="00E3097F" w:rsidRPr="00DC1A77" w:rsidRDefault="00E3097F" w:rsidP="00DC1A77"/>
    <w:sectPr w:rsidR="00E3097F" w:rsidRPr="00DC1A77" w:rsidSect="00DF315F">
      <w:footerReference w:type="default" r:id="rId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D35E5C" w14:textId="77777777" w:rsidR="005877CA" w:rsidRDefault="005877CA" w:rsidP="003506CA">
      <w:r>
        <w:separator/>
      </w:r>
    </w:p>
  </w:endnote>
  <w:endnote w:type="continuationSeparator" w:id="0">
    <w:p w14:paraId="7F4DD5A1" w14:textId="77777777" w:rsidR="005877CA" w:rsidRDefault="005877CA" w:rsidP="00350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AA32A" w14:textId="193CAFCA" w:rsidR="003506CA" w:rsidRPr="003506CA" w:rsidRDefault="003506CA" w:rsidP="00FC5F01">
    <w:pPr>
      <w:pStyle w:val="a7"/>
      <w:jc w:val="right"/>
    </w:pPr>
    <w:r>
      <w:rPr>
        <w:noProof/>
      </w:rPr>
      <w:drawing>
        <wp:inline distT="0" distB="0" distL="0" distR="0" wp14:anchorId="60A68350" wp14:editId="63F6A975">
          <wp:extent cx="892175" cy="219710"/>
          <wp:effectExtent l="0" t="0" r="3175" b="8890"/>
          <wp:docPr id="1" name="Рисунок 1" descr="лого цветно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 цветное"/>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75" cy="21971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4BBD23" w14:textId="77777777" w:rsidR="005877CA" w:rsidRDefault="005877CA" w:rsidP="003506CA">
      <w:r>
        <w:separator/>
      </w:r>
    </w:p>
  </w:footnote>
  <w:footnote w:type="continuationSeparator" w:id="0">
    <w:p w14:paraId="2EA69AD8" w14:textId="77777777" w:rsidR="005877CA" w:rsidRDefault="005877CA" w:rsidP="003506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3E1"/>
    <w:rsid w:val="000F0DD5"/>
    <w:rsid w:val="003506CA"/>
    <w:rsid w:val="0039637A"/>
    <w:rsid w:val="00465B53"/>
    <w:rsid w:val="005877CA"/>
    <w:rsid w:val="005C2752"/>
    <w:rsid w:val="007E0BEE"/>
    <w:rsid w:val="007F5218"/>
    <w:rsid w:val="0081644B"/>
    <w:rsid w:val="00830D7E"/>
    <w:rsid w:val="008D5B4D"/>
    <w:rsid w:val="0095240C"/>
    <w:rsid w:val="00AB2857"/>
    <w:rsid w:val="00B905FE"/>
    <w:rsid w:val="00BE1287"/>
    <w:rsid w:val="00D543E1"/>
    <w:rsid w:val="00D91602"/>
    <w:rsid w:val="00DC1A77"/>
    <w:rsid w:val="00DF315F"/>
    <w:rsid w:val="00E3097F"/>
    <w:rsid w:val="00FC5F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4551F"/>
  <w15:chartTrackingRefBased/>
  <w15:docId w15:val="{FCBD2761-ACC0-4795-9BBB-A5D9B27C3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43E1"/>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DC1A77"/>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42">
    <w:name w:val="st42"/>
    <w:uiPriority w:val="99"/>
    <w:rsid w:val="00D543E1"/>
    <w:rPr>
      <w:color w:val="000000"/>
    </w:rPr>
  </w:style>
  <w:style w:type="paragraph" w:styleId="a3">
    <w:name w:val="Balloon Text"/>
    <w:basedOn w:val="a"/>
    <w:link w:val="a4"/>
    <w:uiPriority w:val="99"/>
    <w:semiHidden/>
    <w:unhideWhenUsed/>
    <w:rsid w:val="007F5218"/>
    <w:rPr>
      <w:rFonts w:ascii="Segoe UI" w:hAnsi="Segoe UI" w:cs="Segoe UI"/>
      <w:sz w:val="18"/>
      <w:szCs w:val="18"/>
    </w:rPr>
  </w:style>
  <w:style w:type="character" w:customStyle="1" w:styleId="a4">
    <w:name w:val="Текст выноски Знак"/>
    <w:basedOn w:val="a0"/>
    <w:link w:val="a3"/>
    <w:uiPriority w:val="99"/>
    <w:semiHidden/>
    <w:rsid w:val="007F5218"/>
    <w:rPr>
      <w:rFonts w:ascii="Segoe UI" w:eastAsia="Times New Roman" w:hAnsi="Segoe UI" w:cs="Segoe UI"/>
      <w:sz w:val="18"/>
      <w:szCs w:val="18"/>
      <w:lang w:val="ru-RU" w:eastAsia="ru-RU"/>
    </w:rPr>
  </w:style>
  <w:style w:type="paragraph" w:styleId="a5">
    <w:name w:val="header"/>
    <w:basedOn w:val="a"/>
    <w:link w:val="a6"/>
    <w:uiPriority w:val="99"/>
    <w:unhideWhenUsed/>
    <w:rsid w:val="003506CA"/>
    <w:pPr>
      <w:tabs>
        <w:tab w:val="center" w:pos="4677"/>
        <w:tab w:val="right" w:pos="9355"/>
      </w:tabs>
    </w:pPr>
  </w:style>
  <w:style w:type="character" w:customStyle="1" w:styleId="a6">
    <w:name w:val="Верхний колонтитул Знак"/>
    <w:basedOn w:val="a0"/>
    <w:link w:val="a5"/>
    <w:uiPriority w:val="99"/>
    <w:rsid w:val="003506CA"/>
    <w:rPr>
      <w:rFonts w:ascii="Times New Roman" w:eastAsia="Times New Roman" w:hAnsi="Times New Roman" w:cs="Times New Roman"/>
      <w:sz w:val="24"/>
      <w:szCs w:val="24"/>
      <w:lang w:eastAsia="ru-RU"/>
    </w:rPr>
  </w:style>
  <w:style w:type="paragraph" w:styleId="a7">
    <w:name w:val="footer"/>
    <w:basedOn w:val="a"/>
    <w:link w:val="a8"/>
    <w:unhideWhenUsed/>
    <w:rsid w:val="003506CA"/>
    <w:pPr>
      <w:tabs>
        <w:tab w:val="center" w:pos="4677"/>
        <w:tab w:val="right" w:pos="9355"/>
      </w:tabs>
    </w:pPr>
  </w:style>
  <w:style w:type="character" w:customStyle="1" w:styleId="a8">
    <w:name w:val="Нижний колонтитул Знак"/>
    <w:basedOn w:val="a0"/>
    <w:link w:val="a7"/>
    <w:rsid w:val="003506CA"/>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DC1A77"/>
    <w:rPr>
      <w:rFonts w:ascii="Times New Roman" w:eastAsia="Times New Roman" w:hAnsi="Times New Roman" w:cs="Times New Roman"/>
      <w:b/>
      <w:bCs/>
      <w:sz w:val="27"/>
      <w:szCs w:val="27"/>
      <w:lang w:eastAsia="ru-RU"/>
    </w:rPr>
  </w:style>
  <w:style w:type="character" w:styleId="a9">
    <w:name w:val="Strong"/>
    <w:basedOn w:val="a0"/>
    <w:uiPriority w:val="22"/>
    <w:qFormat/>
    <w:rsid w:val="00DC1A77"/>
    <w:rPr>
      <w:b/>
      <w:bCs/>
    </w:rPr>
  </w:style>
  <w:style w:type="paragraph" w:styleId="aa">
    <w:name w:val="Normal (Web)"/>
    <w:basedOn w:val="a"/>
    <w:uiPriority w:val="99"/>
    <w:semiHidden/>
    <w:unhideWhenUsed/>
    <w:rsid w:val="00DC1A7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55630">
      <w:bodyDiv w:val="1"/>
      <w:marLeft w:val="0"/>
      <w:marRight w:val="0"/>
      <w:marTop w:val="0"/>
      <w:marBottom w:val="0"/>
      <w:divBdr>
        <w:top w:val="none" w:sz="0" w:space="0" w:color="auto"/>
        <w:left w:val="none" w:sz="0" w:space="0" w:color="auto"/>
        <w:bottom w:val="none" w:sz="0" w:space="0" w:color="auto"/>
        <w:right w:val="none" w:sz="0" w:space="0" w:color="auto"/>
      </w:divBdr>
    </w:div>
    <w:div w:id="88533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2840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irishkagubina35@gmail.com</dc:creator>
  <cp:keywords/>
  <dc:description/>
  <cp:lastModifiedBy>Наталья Н. Шевчук</cp:lastModifiedBy>
  <cp:revision>3</cp:revision>
  <cp:lastPrinted>2021-04-19T11:48:00Z</cp:lastPrinted>
  <dcterms:created xsi:type="dcterms:W3CDTF">2021-04-19T12:47:00Z</dcterms:created>
  <dcterms:modified xsi:type="dcterms:W3CDTF">2021-10-21T18:34:00Z</dcterms:modified>
</cp:coreProperties>
</file>