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6419E" w14:textId="77777777" w:rsidR="00CE6D50" w:rsidRPr="00CE6D50" w:rsidRDefault="00CE6D50" w:rsidP="00CE6D50">
      <w:pPr>
        <w:spacing w:before="100" w:beforeAutospacing="1" w:after="100" w:afterAutospacing="1"/>
      </w:pPr>
      <w:r w:rsidRPr="00CE6D50">
        <w:t>&lt;…&gt;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477"/>
        <w:gridCol w:w="1332"/>
        <w:gridCol w:w="10463"/>
      </w:tblGrid>
      <w:tr w:rsidR="00CE6D50" w:rsidRPr="00CE6D50" w14:paraId="534DBE52" w14:textId="77777777" w:rsidTr="00CE6D50">
        <w:trPr>
          <w:tblCellSpacing w:w="15" w:type="dxa"/>
          <w:jc w:val="center"/>
        </w:trPr>
        <w:tc>
          <w:tcPr>
            <w:tcW w:w="450" w:type="pct"/>
            <w:vAlign w:val="center"/>
            <w:hideMark/>
          </w:tcPr>
          <w:p w14:paraId="2BD00046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bookmarkStart w:id="0" w:name="_GoBack"/>
            <w:r w:rsidRPr="00CE6D50">
              <w:rPr>
                <w:b/>
                <w:bCs/>
              </w:rPr>
              <w:t>Ознака</w:t>
            </w:r>
          </w:p>
          <w:p w14:paraId="65A747E8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r w:rsidRPr="00CE6D50">
              <w:rPr>
                <w:b/>
                <w:bCs/>
              </w:rPr>
              <w:t>подання</w:t>
            </w:r>
          </w:p>
        </w:tc>
        <w:tc>
          <w:tcPr>
            <w:tcW w:w="500" w:type="pct"/>
            <w:vAlign w:val="center"/>
            <w:hideMark/>
          </w:tcPr>
          <w:p w14:paraId="5D7E7E40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r w:rsidRPr="00CE6D50">
              <w:rPr>
                <w:b/>
                <w:bCs/>
              </w:rPr>
              <w:t>Кількість</w:t>
            </w:r>
          </w:p>
          <w:p w14:paraId="58BE3776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r w:rsidRPr="00CE6D50">
              <w:rPr>
                <w:b/>
                <w:bCs/>
              </w:rPr>
              <w:t>примірників</w:t>
            </w:r>
          </w:p>
        </w:tc>
        <w:tc>
          <w:tcPr>
            <w:tcW w:w="450" w:type="pct"/>
            <w:vAlign w:val="center"/>
            <w:hideMark/>
          </w:tcPr>
          <w:p w14:paraId="14629E62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r w:rsidRPr="00CE6D50">
              <w:rPr>
                <w:b/>
                <w:bCs/>
              </w:rPr>
              <w:t>Кількість</w:t>
            </w:r>
          </w:p>
          <w:p w14:paraId="2662DA63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r w:rsidRPr="00CE6D50">
              <w:rPr>
                <w:b/>
                <w:bCs/>
              </w:rPr>
              <w:t>сторінок</w:t>
            </w:r>
          </w:p>
        </w:tc>
        <w:tc>
          <w:tcPr>
            <w:tcW w:w="3450" w:type="pct"/>
            <w:vAlign w:val="center"/>
            <w:hideMark/>
          </w:tcPr>
          <w:p w14:paraId="3960D810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r w:rsidRPr="00CE6D50">
              <w:rPr>
                <w:b/>
                <w:bCs/>
              </w:rPr>
              <w:t>Назва додатка</w:t>
            </w:r>
          </w:p>
        </w:tc>
      </w:tr>
      <w:tr w:rsidR="00CE6D50" w:rsidRPr="00CE6D50" w14:paraId="753CE148" w14:textId="77777777" w:rsidTr="00CE6D50">
        <w:trPr>
          <w:tblCellSpacing w:w="15" w:type="dxa"/>
          <w:jc w:val="center"/>
        </w:trPr>
        <w:tc>
          <w:tcPr>
            <w:tcW w:w="450" w:type="pct"/>
            <w:vAlign w:val="center"/>
            <w:hideMark/>
          </w:tcPr>
          <w:p w14:paraId="688B27D4" w14:textId="77777777" w:rsidR="00CE6D50" w:rsidRPr="00CE6D50" w:rsidRDefault="00CE6D50" w:rsidP="00CE6D50">
            <w:pPr>
              <w:spacing w:before="100" w:beforeAutospacing="1" w:after="100" w:afterAutospacing="1"/>
            </w:pPr>
          </w:p>
        </w:tc>
        <w:tc>
          <w:tcPr>
            <w:tcW w:w="500" w:type="pct"/>
            <w:vAlign w:val="center"/>
            <w:hideMark/>
          </w:tcPr>
          <w:p w14:paraId="3D83DA44" w14:textId="77777777" w:rsidR="00CE6D50" w:rsidRPr="00CE6D50" w:rsidRDefault="00CE6D50" w:rsidP="00CE6D50">
            <w:pPr>
              <w:spacing w:before="100" w:beforeAutospacing="1" w:after="100" w:afterAutospacing="1"/>
            </w:pPr>
          </w:p>
        </w:tc>
        <w:tc>
          <w:tcPr>
            <w:tcW w:w="450" w:type="pct"/>
            <w:vAlign w:val="center"/>
            <w:hideMark/>
          </w:tcPr>
          <w:p w14:paraId="06592BE9" w14:textId="77777777" w:rsidR="00CE6D50" w:rsidRPr="00CE6D50" w:rsidRDefault="00CE6D50" w:rsidP="00CE6D50">
            <w:pPr>
              <w:spacing w:before="100" w:beforeAutospacing="1" w:after="100" w:afterAutospacing="1"/>
            </w:pPr>
          </w:p>
        </w:tc>
        <w:tc>
          <w:tcPr>
            <w:tcW w:w="3450" w:type="pct"/>
            <w:vAlign w:val="center"/>
            <w:hideMark/>
          </w:tcPr>
          <w:p w14:paraId="25F64EE1" w14:textId="77777777" w:rsidR="00CE6D50" w:rsidRPr="00CE6D50" w:rsidRDefault="00CE6D50" w:rsidP="00CE6D50">
            <w:pPr>
              <w:spacing w:before="100" w:beforeAutospacing="1" w:after="100" w:afterAutospacing="1"/>
            </w:pPr>
            <w:r w:rsidRPr="00CE6D50">
              <w:t>Додаток 1. Розрахунок суми акцизного податку з підакцизних товарів (продукції) (крім транспортних засобів), на які встановлено специфічні ставки акцизного податку (крім операцій, визначених підпунктами 213.1.9, 213.1.11, 213.1.12 пункту 213.1 статті 213 розділу VI Кодексу)</w:t>
            </w:r>
          </w:p>
        </w:tc>
      </w:tr>
      <w:tr w:rsidR="00CE6D50" w:rsidRPr="00CE6D50" w14:paraId="6071B55C" w14:textId="77777777" w:rsidTr="00CE6D50">
        <w:trPr>
          <w:tblCellSpacing w:w="15" w:type="dxa"/>
          <w:jc w:val="center"/>
        </w:trPr>
        <w:tc>
          <w:tcPr>
            <w:tcW w:w="450" w:type="pct"/>
            <w:vAlign w:val="center"/>
            <w:hideMark/>
          </w:tcPr>
          <w:p w14:paraId="3B9B754D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r w:rsidRPr="00CE6D50">
              <w:t>Х</w:t>
            </w:r>
          </w:p>
        </w:tc>
        <w:tc>
          <w:tcPr>
            <w:tcW w:w="500" w:type="pct"/>
            <w:vAlign w:val="center"/>
            <w:hideMark/>
          </w:tcPr>
          <w:p w14:paraId="55EFE569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r w:rsidRPr="00CE6D50">
              <w:t>1</w:t>
            </w:r>
          </w:p>
        </w:tc>
        <w:tc>
          <w:tcPr>
            <w:tcW w:w="450" w:type="pct"/>
            <w:vAlign w:val="center"/>
            <w:hideMark/>
          </w:tcPr>
          <w:p w14:paraId="6F40D032" w14:textId="77777777" w:rsidR="00CE6D50" w:rsidRPr="00CE6D50" w:rsidRDefault="00CE6D50" w:rsidP="00CE6D50">
            <w:pPr>
              <w:spacing w:before="100" w:beforeAutospacing="1" w:after="100" w:afterAutospacing="1"/>
              <w:jc w:val="center"/>
            </w:pPr>
            <w:r w:rsidRPr="00CE6D50">
              <w:t>2</w:t>
            </w:r>
          </w:p>
        </w:tc>
        <w:tc>
          <w:tcPr>
            <w:tcW w:w="3450" w:type="pct"/>
            <w:vAlign w:val="center"/>
            <w:hideMark/>
          </w:tcPr>
          <w:p w14:paraId="24801350" w14:textId="77777777" w:rsidR="00CE6D50" w:rsidRPr="00CE6D50" w:rsidRDefault="00CE6D50" w:rsidP="00CE6D50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  <w:r w:rsidRPr="00CE6D50">
              <w:rPr>
                <w:b/>
                <w:bCs/>
                <w:sz w:val="27"/>
                <w:szCs w:val="27"/>
              </w:rPr>
              <w:t>Додаток 1</w:t>
            </w:r>
            <w:r w:rsidRPr="00CE6D50">
              <w:rPr>
                <w:b/>
                <w:bCs/>
                <w:sz w:val="27"/>
                <w:szCs w:val="27"/>
                <w:vertAlign w:val="superscript"/>
              </w:rPr>
              <w:t>1</w:t>
            </w:r>
            <w:r w:rsidRPr="00CE6D50">
              <w:rPr>
                <w:b/>
                <w:bCs/>
                <w:sz w:val="27"/>
                <w:szCs w:val="27"/>
              </w:rPr>
              <w:t>. Розрахунок суми акцизного податку з реалізації пального згідно із підпунктом 213.1.12 пункту 213.1 статті 213 розділу VI Кодексу</w:t>
            </w:r>
          </w:p>
        </w:tc>
      </w:tr>
      <w:tr w:rsidR="00CE6D50" w:rsidRPr="00CE6D50" w14:paraId="1F540AB6" w14:textId="77777777" w:rsidTr="00CE6D50">
        <w:trPr>
          <w:tblCellSpacing w:w="15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14:paraId="05476756" w14:textId="77777777" w:rsidR="00CE6D50" w:rsidRPr="00CE6D50" w:rsidRDefault="00CE6D50" w:rsidP="00CE6D50">
            <w:pPr>
              <w:spacing w:before="100" w:beforeAutospacing="1" w:after="100" w:afterAutospacing="1"/>
            </w:pPr>
            <w:r w:rsidRPr="00CE6D50">
              <w:t>&lt;…&gt;</w:t>
            </w:r>
          </w:p>
        </w:tc>
      </w:tr>
    </w:tbl>
    <w:bookmarkEnd w:id="0"/>
    <w:p w14:paraId="762BB1FE" w14:textId="77777777" w:rsidR="00CE6D50" w:rsidRPr="00CE6D50" w:rsidRDefault="00CE6D50" w:rsidP="00CE6D50">
      <w:pPr>
        <w:spacing w:before="100" w:beforeAutospacing="1" w:after="100" w:afterAutospacing="1"/>
      </w:pPr>
      <w:r w:rsidRPr="00CE6D50">
        <w:t>&lt;…&gt;</w:t>
      </w:r>
    </w:p>
    <w:p w14:paraId="0AD8FF37" w14:textId="58CA34C3" w:rsidR="00E3097F" w:rsidRPr="00CE6D50" w:rsidRDefault="00E3097F" w:rsidP="00CE6D50"/>
    <w:sectPr w:rsidR="00E3097F" w:rsidRPr="00CE6D50" w:rsidSect="00DF315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73EAE" w14:textId="77777777" w:rsidR="000A6258" w:rsidRDefault="000A6258" w:rsidP="003506CA">
      <w:r>
        <w:separator/>
      </w:r>
    </w:p>
  </w:endnote>
  <w:endnote w:type="continuationSeparator" w:id="0">
    <w:p w14:paraId="310C4F77" w14:textId="77777777" w:rsidR="000A6258" w:rsidRDefault="000A6258" w:rsidP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A32A" w14:textId="193CAFCA" w:rsidR="003506CA" w:rsidRPr="003506CA" w:rsidRDefault="003506CA" w:rsidP="00FC5F01">
    <w:pPr>
      <w:pStyle w:val="a7"/>
      <w:jc w:val="right"/>
    </w:pPr>
    <w:r>
      <w:rPr>
        <w:noProof/>
      </w:rPr>
      <w:drawing>
        <wp:inline distT="0" distB="0" distL="0" distR="0" wp14:anchorId="60A68350" wp14:editId="63F6A975">
          <wp:extent cx="892175" cy="219710"/>
          <wp:effectExtent l="0" t="0" r="3175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37DAF" w14:textId="77777777" w:rsidR="000A6258" w:rsidRDefault="000A6258" w:rsidP="003506CA">
      <w:r>
        <w:separator/>
      </w:r>
    </w:p>
  </w:footnote>
  <w:footnote w:type="continuationSeparator" w:id="0">
    <w:p w14:paraId="32BBE456" w14:textId="77777777" w:rsidR="000A6258" w:rsidRDefault="000A6258" w:rsidP="0035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1"/>
    <w:rsid w:val="000A6258"/>
    <w:rsid w:val="000F0DD5"/>
    <w:rsid w:val="003506CA"/>
    <w:rsid w:val="0039637A"/>
    <w:rsid w:val="00465B53"/>
    <w:rsid w:val="005C2752"/>
    <w:rsid w:val="007F5218"/>
    <w:rsid w:val="0081644B"/>
    <w:rsid w:val="00830D7E"/>
    <w:rsid w:val="008D5B4D"/>
    <w:rsid w:val="0095240C"/>
    <w:rsid w:val="00B905FE"/>
    <w:rsid w:val="00BE1287"/>
    <w:rsid w:val="00CE6D50"/>
    <w:rsid w:val="00D543E1"/>
    <w:rsid w:val="00D91602"/>
    <w:rsid w:val="00DC1A77"/>
    <w:rsid w:val="00DF315F"/>
    <w:rsid w:val="00E3097F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51F"/>
  <w15:chartTrackingRefBased/>
  <w15:docId w15:val="{FCBD2761-ACC0-4795-9BBB-A5D9B2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1A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D543E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DC1A77"/>
    <w:rPr>
      <w:b/>
      <w:bCs/>
    </w:rPr>
  </w:style>
  <w:style w:type="paragraph" w:styleId="aa">
    <w:name w:val="Normal (Web)"/>
    <w:basedOn w:val="a"/>
    <w:uiPriority w:val="99"/>
    <w:semiHidden/>
    <w:unhideWhenUsed/>
    <w:rsid w:val="00DC1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irishkagubina35@gmail.com</dc:creator>
  <cp:keywords/>
  <dc:description/>
  <cp:lastModifiedBy>Наталья Н. Шевчук</cp:lastModifiedBy>
  <cp:revision>2</cp:revision>
  <cp:lastPrinted>2021-04-19T11:48:00Z</cp:lastPrinted>
  <dcterms:created xsi:type="dcterms:W3CDTF">2021-04-19T12:48:00Z</dcterms:created>
  <dcterms:modified xsi:type="dcterms:W3CDTF">2021-04-19T12:48:00Z</dcterms:modified>
</cp:coreProperties>
</file>