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35FB" w:rsidRPr="001035FB" w:rsidRDefault="001035FB" w:rsidP="001035FB">
      <w:pPr>
        <w:rPr>
          <w:lang w:val="ru-RU"/>
        </w:rPr>
      </w:pPr>
      <w:proofErr w:type="spellStart"/>
      <w:r w:rsidRPr="001035FB">
        <w:rPr>
          <w:lang w:val="ru-RU"/>
        </w:rPr>
        <w:t>Огляд</w:t>
      </w:r>
      <w:proofErr w:type="spellEnd"/>
      <w:r w:rsidRPr="001035FB">
        <w:rPr>
          <w:lang w:val="ru-RU"/>
        </w:rPr>
        <w:t xml:space="preserve"> </w:t>
      </w:r>
      <w:proofErr w:type="spellStart"/>
      <w:r w:rsidRPr="001035FB">
        <w:rPr>
          <w:lang w:val="ru-RU"/>
        </w:rPr>
        <w:t>судової</w:t>
      </w:r>
      <w:proofErr w:type="spellEnd"/>
      <w:r w:rsidRPr="001035FB">
        <w:rPr>
          <w:lang w:val="ru-RU"/>
        </w:rPr>
        <w:t xml:space="preserve"> практики </w:t>
      </w:r>
    </w:p>
    <w:tbl>
      <w:tblPr>
        <w:tblW w:w="0" w:type="auto"/>
        <w:tblInd w:w="57" w:type="dxa"/>
        <w:tblLayout w:type="fixed"/>
        <w:tblCellMar>
          <w:left w:w="0" w:type="dxa"/>
          <w:right w:w="0" w:type="dxa"/>
        </w:tblCellMar>
        <w:tblLook w:val="0000"/>
      </w:tblPr>
      <w:tblGrid>
        <w:gridCol w:w="8303"/>
        <w:gridCol w:w="1467"/>
      </w:tblGrid>
      <w:tr w:rsidR="001035FB" w:rsidRPr="001035FB">
        <w:trPr>
          <w:trHeight w:val="60"/>
        </w:trPr>
        <w:tc>
          <w:tcPr>
            <w:tcW w:w="8303" w:type="dxa"/>
            <w:tcBorders>
              <w:top w:val="single" w:sz="4" w:space="0" w:color="B50014"/>
              <w:left w:val="single" w:sz="4" w:space="0" w:color="B50014"/>
              <w:bottom w:val="single" w:sz="4" w:space="0" w:color="B50014"/>
              <w:right w:val="single" w:sz="4" w:space="0" w:color="B50014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035FB" w:rsidRPr="001035FB" w:rsidRDefault="001035FB" w:rsidP="001035FB">
            <w:pPr>
              <w:rPr>
                <w:b/>
                <w:bCs/>
              </w:rPr>
            </w:pPr>
            <w:r w:rsidRPr="001035FB">
              <w:rPr>
                <w:b/>
                <w:bCs/>
              </w:rPr>
              <w:t xml:space="preserve">тільки правильно складені первинні документи </w:t>
            </w:r>
            <w:r w:rsidRPr="001035FB">
              <w:rPr>
                <w:b/>
                <w:bCs/>
              </w:rPr>
              <w:br/>
              <w:t>підтверджують реальність господарчої операції</w:t>
            </w:r>
          </w:p>
          <w:p w:rsidR="001035FB" w:rsidRPr="001035FB" w:rsidRDefault="001035FB" w:rsidP="001035FB"/>
        </w:tc>
        <w:tc>
          <w:tcPr>
            <w:tcW w:w="1467" w:type="dxa"/>
            <w:tcBorders>
              <w:top w:val="single" w:sz="4" w:space="0" w:color="B50014"/>
              <w:left w:val="single" w:sz="4" w:space="0" w:color="B50014"/>
              <w:bottom w:val="single" w:sz="4" w:space="0" w:color="B50014"/>
              <w:right w:val="single" w:sz="4" w:space="0" w:color="B50014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035FB" w:rsidRPr="001035FB" w:rsidRDefault="001035FB" w:rsidP="001035FB">
            <w:pPr>
              <w:rPr>
                <w:b/>
                <w:bCs/>
              </w:rPr>
            </w:pPr>
            <w:r w:rsidRPr="001035FB">
              <w:rPr>
                <w:b/>
                <w:bCs/>
              </w:rPr>
              <w:t>Реквізити</w:t>
            </w:r>
            <w:r w:rsidRPr="001035FB">
              <w:rPr>
                <w:b/>
                <w:bCs/>
              </w:rPr>
              <w:br/>
              <w:t>рішення</w:t>
            </w:r>
          </w:p>
          <w:p w:rsidR="001035FB" w:rsidRPr="001035FB" w:rsidRDefault="001035FB" w:rsidP="001035FB"/>
        </w:tc>
      </w:tr>
      <w:tr w:rsidR="001035FB" w:rsidRPr="001035FB">
        <w:trPr>
          <w:trHeight w:val="12082"/>
        </w:trPr>
        <w:tc>
          <w:tcPr>
            <w:tcW w:w="8303" w:type="dxa"/>
            <w:tcBorders>
              <w:top w:val="single" w:sz="4" w:space="0" w:color="B50014"/>
              <w:left w:val="single" w:sz="4" w:space="0" w:color="B50014"/>
              <w:bottom w:val="single" w:sz="4" w:space="0" w:color="B50014"/>
              <w:right w:val="single" w:sz="4" w:space="0" w:color="B50014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035FB" w:rsidRPr="001035FB" w:rsidRDefault="001035FB" w:rsidP="001035FB">
            <w:r w:rsidRPr="001035FB">
              <w:t>Сторони спору</w:t>
            </w:r>
          </w:p>
          <w:p w:rsidR="001035FB" w:rsidRPr="001035FB" w:rsidRDefault="001035FB" w:rsidP="001035FB">
            <w:r w:rsidRPr="001035FB">
              <w:t xml:space="preserve">Позивач – ТОВ, відповідач – державна податкова інспекція (далі – ДПІ). </w:t>
            </w:r>
          </w:p>
          <w:p w:rsidR="001035FB" w:rsidRPr="001035FB" w:rsidRDefault="001035FB" w:rsidP="001035FB">
            <w:r w:rsidRPr="001035FB">
              <w:t xml:space="preserve">Обставини справи </w:t>
            </w:r>
          </w:p>
          <w:p w:rsidR="001035FB" w:rsidRPr="001035FB" w:rsidRDefault="001035FB" w:rsidP="001035FB">
            <w:r w:rsidRPr="001035FB">
              <w:t xml:space="preserve">1 жовтня 2014 року між ТОВ і контрагентом був укладений договір про надання рекламних послуг (далі – договір), за умовами якого контрагент був зобов'язаний розробити та узгодити з ТОВ рекламну кампанію, організувати її проведення шляхом розміщення ролика </w:t>
            </w:r>
            <w:r w:rsidRPr="001035FB">
              <w:br/>
              <w:t xml:space="preserve">в рекламних блоках, подавати ТОВ для підписання звіти у вигляді актів наданих послуг. ДПІ провела документальну позапланову перевірку ТОВ із питань дотримання податкового законодавства при здійсненні фінансово-господарських відносин із контрагентом за жовтень 2014 року. За результатами перевірки ДПІ дійшла висновку про порушення ТОВ вимог п. 44.1, 198.2, 198.3, 200.1, 200.2, 201.10 Податкового кодексу (далі – ПК). А саме: </w:t>
            </w:r>
            <w:r w:rsidRPr="001035FB">
              <w:br/>
              <w:t xml:space="preserve">у контрагента немає реальної можливості здійснити </w:t>
            </w:r>
            <w:proofErr w:type="spellStart"/>
            <w:r w:rsidRPr="001035FB">
              <w:t>госпоперацію</w:t>
            </w:r>
            <w:proofErr w:type="spellEnd"/>
            <w:r w:rsidRPr="001035FB">
              <w:t>, за результатами якої ТОВ сформувало податковий кредит, у ТОВ відсутні докази реального виконання спірних операцій. Ця обставина стала підставою для прийняття ДПІ податкового повідомлення-рішення про донарахування ТОВ грошового зобов'язання з ПДВ і застосування штрафної санкції. ТОВ оскаржило рішення до адміністративного суду.</w:t>
            </w:r>
          </w:p>
          <w:p w:rsidR="001035FB" w:rsidRPr="001035FB" w:rsidRDefault="001035FB" w:rsidP="001035FB">
            <w:r w:rsidRPr="001035FB">
              <w:t>Позиції сторін</w:t>
            </w:r>
          </w:p>
          <w:p w:rsidR="001035FB" w:rsidRPr="001035FB" w:rsidRDefault="001035FB" w:rsidP="001035FB">
            <w:r w:rsidRPr="001035FB">
              <w:rPr>
                <w:b/>
                <w:bCs/>
              </w:rPr>
              <w:t>Позивач (ТОВ).</w:t>
            </w:r>
            <w:r w:rsidRPr="001035FB">
              <w:t xml:space="preserve"> </w:t>
            </w:r>
            <w:proofErr w:type="spellStart"/>
            <w:r w:rsidRPr="001035FB">
              <w:t>Госпоперації</w:t>
            </w:r>
            <w:proofErr w:type="spellEnd"/>
            <w:r w:rsidRPr="001035FB">
              <w:t xml:space="preserve"> за договором виконувалися реально, тому суми ПДВ за ними були правомірно віднесені до складу податкового кредиту. </w:t>
            </w:r>
          </w:p>
          <w:p w:rsidR="001035FB" w:rsidRPr="001035FB" w:rsidRDefault="001035FB" w:rsidP="001035FB">
            <w:r w:rsidRPr="001035FB">
              <w:rPr>
                <w:b/>
                <w:bCs/>
              </w:rPr>
              <w:t>Відповідач (ДПІ).</w:t>
            </w:r>
            <w:r w:rsidRPr="001035FB">
              <w:t xml:space="preserve"> Акт приймання-передачі послуг не містить інформацію про те, яка саме рекламна кампанія проводилася і як вона була пов'язана з </w:t>
            </w:r>
            <w:proofErr w:type="spellStart"/>
            <w:r w:rsidRPr="001035FB">
              <w:t>госпдіяльністю</w:t>
            </w:r>
            <w:proofErr w:type="spellEnd"/>
            <w:r w:rsidRPr="001035FB">
              <w:t xml:space="preserve"> ТОВ. Тому немає підстав уважати, що послуги з договору надані реально, отже, податкове повідомлення-рішення винесене законно й обґрунтовано. </w:t>
            </w:r>
          </w:p>
          <w:p w:rsidR="001035FB" w:rsidRPr="001035FB" w:rsidRDefault="001035FB" w:rsidP="001035FB">
            <w:r w:rsidRPr="001035FB">
              <w:t>На чиєму боці суд</w:t>
            </w:r>
          </w:p>
          <w:p w:rsidR="001035FB" w:rsidRPr="001035FB" w:rsidRDefault="001035FB" w:rsidP="001035FB">
            <w:r w:rsidRPr="001035FB">
              <w:t xml:space="preserve">Рішення прийнято на користь ДПІ. Ухвалою ВАСУ залишена в силі постанова окружного адміністративного суду та ухвала апеляційного адміністративного суду, якими ТОВ відмовлено в задоволенні позовних вимог про визнання протиправним і скасування податкового повідомлення-рішення про донарахування грошового зобов'язання з ПДВ і застосування штрафної санкції. </w:t>
            </w:r>
          </w:p>
          <w:p w:rsidR="001035FB" w:rsidRPr="001035FB" w:rsidRDefault="001035FB" w:rsidP="001035FB">
            <w:r w:rsidRPr="001035FB">
              <w:t>Аргументи суду</w:t>
            </w:r>
          </w:p>
          <w:p w:rsidR="001035FB" w:rsidRPr="001035FB" w:rsidRDefault="001035FB" w:rsidP="001035FB">
            <w:r w:rsidRPr="001035FB">
              <w:rPr>
                <w:b/>
                <w:bCs/>
              </w:rPr>
              <w:t xml:space="preserve">1. </w:t>
            </w:r>
            <w:r w:rsidRPr="001035FB">
              <w:t xml:space="preserve">Право на податковий кредит виникає незалежно від того, чи почали використовуватися товари, послуги та основні фонди в оподатковуваних операціях у рамках господарської діяльності платника податків протягом звітного періоду, і від </w:t>
            </w:r>
            <w:r w:rsidRPr="001035FB">
              <w:lastRenderedPageBreak/>
              <w:t>того, чи здійснював платник оподатковувані операції у звітному періоді (п. 198.3 ПК).</w:t>
            </w:r>
          </w:p>
          <w:p w:rsidR="001035FB" w:rsidRPr="001035FB" w:rsidRDefault="001035FB" w:rsidP="001035FB">
            <w:r w:rsidRPr="001035FB">
              <w:rPr>
                <w:b/>
                <w:bCs/>
              </w:rPr>
              <w:t xml:space="preserve">2. </w:t>
            </w:r>
            <w:r w:rsidRPr="001035FB">
              <w:t xml:space="preserve">Підставою для бухгалтерського обліку операцій служать первинні документи, що фіксують факт їх здійснення. Ці документи повинні містити ряд обов'язкових реквізитів, у т. ч. зміст та обсяг операції (ст. 9 Закону від 16.07.99 р. № 996-XIV). </w:t>
            </w:r>
          </w:p>
          <w:p w:rsidR="001035FB" w:rsidRPr="001035FB" w:rsidRDefault="001035FB" w:rsidP="001035FB">
            <w:r w:rsidRPr="001035FB">
              <w:rPr>
                <w:b/>
                <w:bCs/>
              </w:rPr>
              <w:t xml:space="preserve">3. </w:t>
            </w:r>
            <w:r w:rsidRPr="001035FB">
              <w:t xml:space="preserve">Із системного аналізу вищенаведених норм випливає, що обов'язковою умовою підтвердження реальності господарської операції є фактична наявність у платника податків первинних документів, фізичних, технічних і технологічних можливостей для проведення відповідних операцій і зв'язку між фактом придбання товару (послуги) і подальшою </w:t>
            </w:r>
            <w:proofErr w:type="spellStart"/>
            <w:r w:rsidRPr="001035FB">
              <w:t>госпдіяльністю</w:t>
            </w:r>
            <w:proofErr w:type="spellEnd"/>
            <w:r w:rsidRPr="001035FB">
              <w:t>.</w:t>
            </w:r>
          </w:p>
          <w:p w:rsidR="001035FB" w:rsidRPr="001035FB" w:rsidRDefault="001035FB" w:rsidP="001035FB">
            <w:r w:rsidRPr="001035FB">
              <w:rPr>
                <w:b/>
                <w:bCs/>
              </w:rPr>
              <w:t>4.</w:t>
            </w:r>
            <w:r w:rsidRPr="001035FB">
              <w:t xml:space="preserve"> Складений ТОВ і контрагентом акт приймання-передачі послуг містив тільки загальну назву послуги згідно з її видом, визначеним у відповідному пункті договору. Конкретне посилання на предмет реклами у цьому акті відсутнє, що унеможливило встановлення зв'язку реклами з господарською діяльністю ТОВ.</w:t>
            </w:r>
          </w:p>
          <w:p w:rsidR="001035FB" w:rsidRPr="001035FB" w:rsidRDefault="001035FB" w:rsidP="001035FB">
            <w:r w:rsidRPr="001035FB">
              <w:rPr>
                <w:b/>
                <w:bCs/>
              </w:rPr>
              <w:t>5.</w:t>
            </w:r>
            <w:r w:rsidRPr="001035FB">
              <w:t xml:space="preserve"> Надані ТОВ на диску </w:t>
            </w:r>
            <w:proofErr w:type="spellStart"/>
            <w:r w:rsidRPr="001035FB">
              <w:t>аудіозаписи</w:t>
            </w:r>
            <w:proofErr w:type="spellEnd"/>
            <w:r w:rsidRPr="001035FB">
              <w:t xml:space="preserve"> рекламних роликів містять інформацію про надання контрагентом послуг із розміщення реклами на радіо, але не містять відомостей про дати створення цих рекламних роликів та їх трансляції в рекламних блоках на радіо. </w:t>
            </w:r>
          </w:p>
          <w:p w:rsidR="001035FB" w:rsidRPr="001035FB" w:rsidRDefault="001035FB" w:rsidP="001035FB">
            <w:r w:rsidRPr="001035FB">
              <w:t xml:space="preserve">Висновок </w:t>
            </w:r>
          </w:p>
          <w:p w:rsidR="001035FB" w:rsidRPr="001035FB" w:rsidRDefault="001035FB" w:rsidP="001035FB">
            <w:r w:rsidRPr="001035FB">
              <w:t>Через недбале заповнення акта приймання-передачі послуг платник податків втратив право на податковий кредит і можливість підтвердити реальність виконаних ним господарських операцій</w:t>
            </w:r>
          </w:p>
        </w:tc>
        <w:tc>
          <w:tcPr>
            <w:tcW w:w="1467" w:type="dxa"/>
            <w:tcBorders>
              <w:top w:val="single" w:sz="4" w:space="0" w:color="B50014"/>
              <w:left w:val="single" w:sz="4" w:space="0" w:color="B50014"/>
              <w:bottom w:val="single" w:sz="4" w:space="0" w:color="B50014"/>
              <w:right w:val="single" w:sz="4" w:space="0" w:color="B50014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035FB" w:rsidRPr="001035FB" w:rsidRDefault="001035FB" w:rsidP="001035FB">
            <w:r w:rsidRPr="001035FB">
              <w:lastRenderedPageBreak/>
              <w:t xml:space="preserve">Ухвала ВАСУ </w:t>
            </w:r>
            <w:r w:rsidRPr="001035FB">
              <w:br/>
              <w:t>від 31.08.16 р.</w:t>
            </w:r>
            <w:r w:rsidRPr="001035FB">
              <w:br/>
              <w:t xml:space="preserve">(ЄДРСР, </w:t>
            </w:r>
            <w:r w:rsidRPr="001035FB">
              <w:br/>
              <w:t xml:space="preserve">реєстр. </w:t>
            </w:r>
            <w:r w:rsidRPr="001035FB">
              <w:br/>
              <w:t>№ 60758830)</w:t>
            </w:r>
          </w:p>
          <w:p w:rsidR="001035FB" w:rsidRPr="001035FB" w:rsidRDefault="001035FB" w:rsidP="001035FB"/>
        </w:tc>
      </w:tr>
    </w:tbl>
    <w:p w:rsidR="001035FB" w:rsidRPr="001035FB" w:rsidRDefault="001035FB" w:rsidP="001035FB">
      <w:pPr>
        <w:rPr>
          <w:lang w:val="en-US"/>
        </w:rPr>
      </w:pPr>
    </w:p>
    <w:p w:rsidR="005C4AA7" w:rsidRDefault="005C4AA7">
      <w:bookmarkStart w:id="0" w:name="_GoBack"/>
      <w:bookmarkEnd w:id="0"/>
    </w:p>
    <w:sectPr w:rsidR="005C4AA7" w:rsidSect="007259D6">
      <w:pgSz w:w="11906" w:h="16838"/>
      <w:pgMar w:top="720" w:right="720" w:bottom="720" w:left="720" w:header="708" w:footer="708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035FB"/>
    <w:rsid w:val="001035FB"/>
    <w:rsid w:val="00575F1C"/>
    <w:rsid w:val="005C4AA7"/>
    <w:rsid w:val="00991546"/>
    <w:rsid w:val="00A107A8"/>
    <w:rsid w:val="00E85E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E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578</Words>
  <Characters>3297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3868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Sumne Romashko</dc:creator>
  <cp:lastModifiedBy>SunRay</cp:lastModifiedBy>
  <cp:revision>2</cp:revision>
  <dcterms:created xsi:type="dcterms:W3CDTF">2016-09-15T07:56:00Z</dcterms:created>
  <dcterms:modified xsi:type="dcterms:W3CDTF">2016-09-15T07:56:00Z</dcterms:modified>
</cp:coreProperties>
</file>