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45" w:rsidRPr="004A5245" w:rsidRDefault="004A5245" w:rsidP="004A5245">
      <w:pPr>
        <w:rPr>
          <w:lang w:val="ru-RU"/>
        </w:rPr>
      </w:pPr>
      <w:r w:rsidRPr="004A5245">
        <w:rPr>
          <w:lang w:val="ru-RU"/>
        </w:rPr>
        <w:t xml:space="preserve">Обзор судебной практики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63"/>
        <w:gridCol w:w="1314"/>
      </w:tblGrid>
      <w:tr w:rsidR="004A5245" w:rsidRPr="004A5245">
        <w:trPr>
          <w:trHeight w:val="60"/>
        </w:trPr>
        <w:tc>
          <w:tcPr>
            <w:tcW w:w="8463" w:type="dxa"/>
            <w:tcBorders>
              <w:top w:val="single" w:sz="4" w:space="0" w:color="B50014"/>
              <w:left w:val="single" w:sz="4" w:space="0" w:color="B50014"/>
              <w:bottom w:val="single" w:sz="4" w:space="0" w:color="B50014"/>
              <w:right w:val="single" w:sz="4" w:space="0" w:color="B50014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5245" w:rsidRPr="004A5245" w:rsidRDefault="004A5245" w:rsidP="004A5245">
            <w:pPr>
              <w:rPr>
                <w:b/>
                <w:bCs/>
                <w:lang w:val="ru-RU"/>
              </w:rPr>
            </w:pPr>
            <w:r w:rsidRPr="004A5245">
              <w:rPr>
                <w:b/>
                <w:bCs/>
                <w:lang w:val="ru-RU"/>
              </w:rPr>
              <w:t xml:space="preserve">только правильно составленные первичные документы </w:t>
            </w:r>
            <w:r w:rsidRPr="004A5245">
              <w:rPr>
                <w:b/>
                <w:bCs/>
                <w:lang w:val="ru-RU"/>
              </w:rPr>
              <w:br/>
              <w:t>подтверждают реальность хозяйственной операции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</w:p>
        </w:tc>
        <w:tc>
          <w:tcPr>
            <w:tcW w:w="1314" w:type="dxa"/>
            <w:tcBorders>
              <w:top w:val="single" w:sz="4" w:space="0" w:color="B50014"/>
              <w:left w:val="single" w:sz="4" w:space="0" w:color="B50014"/>
              <w:bottom w:val="single" w:sz="4" w:space="0" w:color="B50014"/>
              <w:right w:val="single" w:sz="4" w:space="0" w:color="B50014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5245" w:rsidRPr="004A5245" w:rsidRDefault="004A5245" w:rsidP="004A5245">
            <w:pPr>
              <w:rPr>
                <w:b/>
                <w:bCs/>
                <w:lang w:val="ru-RU"/>
              </w:rPr>
            </w:pPr>
            <w:r w:rsidRPr="004A5245">
              <w:rPr>
                <w:b/>
                <w:bCs/>
                <w:lang w:val="ru-RU"/>
              </w:rPr>
              <w:t>Реквизиты</w:t>
            </w:r>
            <w:r w:rsidRPr="004A5245">
              <w:rPr>
                <w:b/>
                <w:bCs/>
                <w:lang w:val="ru-RU"/>
              </w:rPr>
              <w:br/>
              <w:t>решения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</w:p>
        </w:tc>
      </w:tr>
      <w:tr w:rsidR="004A5245" w:rsidRPr="004A5245">
        <w:trPr>
          <w:trHeight w:val="11325"/>
        </w:trPr>
        <w:tc>
          <w:tcPr>
            <w:tcW w:w="8463" w:type="dxa"/>
            <w:tcBorders>
              <w:top w:val="single" w:sz="4" w:space="0" w:color="B50014"/>
              <w:left w:val="single" w:sz="4" w:space="0" w:color="B50014"/>
              <w:bottom w:val="single" w:sz="4" w:space="0" w:color="B50014"/>
              <w:right w:val="single" w:sz="4" w:space="0" w:color="B50014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>Стороны спора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 xml:space="preserve">Истец – ООО, ответчик – государственная налоговая инспекция (далее – ГНИ). 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 xml:space="preserve">Обстоятельства дела 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 xml:space="preserve">1 октября 2014 года между ООО и контрагентом был заключен договор о предоставлении </w:t>
            </w:r>
            <w:r w:rsidRPr="004A5245">
              <w:rPr>
                <w:lang w:val="ru-RU"/>
              </w:rPr>
              <w:br/>
              <w:t xml:space="preserve">рекламных услуг (далее – договор), по условиям которого контрагент был обязан разработать и согласовать с ООО рекламную кампанию, организовать ее проведение путем размещения ролика в рекламных блоках, подавать ООО для подписания отчеты в виде актов предоставленных услуг. ГНИ провела документальную внеплановую проверку ООО по вопросам соблюдения налогового законодательства при осуществлении финансово-хозяйственных отношений с контрагентом за октябрь 2014 года. По результатам проверки ГНИ пришла </w:t>
            </w:r>
            <w:r w:rsidRPr="004A5245">
              <w:rPr>
                <w:lang w:val="ru-RU"/>
              </w:rPr>
              <w:br/>
              <w:t xml:space="preserve">к выводу о нарушении ООО требований п. 44.1, 198.2, 198.3, 200.1, 200.2, 201.10 Налогового кодекса (далее – НК). А именно: у контрагента нет реальной возможности осуществить </w:t>
            </w:r>
            <w:r w:rsidRPr="004A5245">
              <w:rPr>
                <w:lang w:val="ru-RU"/>
              </w:rPr>
              <w:br/>
            </w:r>
            <w:proofErr w:type="spellStart"/>
            <w:r w:rsidRPr="004A5245">
              <w:rPr>
                <w:lang w:val="ru-RU"/>
              </w:rPr>
              <w:t>хозоперацию</w:t>
            </w:r>
            <w:proofErr w:type="spellEnd"/>
            <w:r w:rsidRPr="004A5245">
              <w:rPr>
                <w:lang w:val="ru-RU"/>
              </w:rPr>
              <w:t xml:space="preserve">, по результатам которой ООО сформировало налоговый кредит, у ООО отсутствуют доказательства реального выполнения спорных операций. Данное обстоятельство стало основанием для принятия ГНИ налогового уведомления-решения о доначислении </w:t>
            </w:r>
            <w:r w:rsidRPr="004A5245">
              <w:rPr>
                <w:lang w:val="ru-RU"/>
              </w:rPr>
              <w:br/>
              <w:t>ООО денежного обязательства по НДС и применении штрафной санкции. ООО обжаловало решение в административный суд.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>Позиции сторон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b/>
                <w:bCs/>
                <w:lang w:val="ru-RU"/>
              </w:rPr>
              <w:t>Истец (ООО).</w:t>
            </w:r>
            <w:r w:rsidRPr="004A5245">
              <w:rPr>
                <w:lang w:val="ru-RU"/>
              </w:rPr>
              <w:t xml:space="preserve"> </w:t>
            </w:r>
            <w:proofErr w:type="spellStart"/>
            <w:r w:rsidRPr="004A5245">
              <w:rPr>
                <w:lang w:val="ru-RU"/>
              </w:rPr>
              <w:t>Хозоперации</w:t>
            </w:r>
            <w:proofErr w:type="spellEnd"/>
            <w:r w:rsidRPr="004A5245">
              <w:rPr>
                <w:lang w:val="ru-RU"/>
              </w:rPr>
              <w:t xml:space="preserve"> по договору выполнялись реально, поэтому суммы НДС по ним были правомерно отнесены к составу налогового кредита. 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b/>
                <w:bCs/>
                <w:lang w:val="ru-RU"/>
              </w:rPr>
              <w:t>Ответчик (ГНИ).</w:t>
            </w:r>
            <w:r w:rsidRPr="004A5245">
              <w:rPr>
                <w:lang w:val="ru-RU"/>
              </w:rPr>
              <w:t xml:space="preserve"> Акт приемки-передачи услуг не содержит информацию о том, какая имен-</w:t>
            </w:r>
            <w:r w:rsidRPr="004A5245">
              <w:rPr>
                <w:lang w:val="ru-RU"/>
              </w:rPr>
              <w:br/>
              <w:t xml:space="preserve">но рекламная кампания проводилась и как она была связана с </w:t>
            </w:r>
            <w:proofErr w:type="spellStart"/>
            <w:r w:rsidRPr="004A5245">
              <w:rPr>
                <w:lang w:val="ru-RU"/>
              </w:rPr>
              <w:t>хоздеятельностью</w:t>
            </w:r>
            <w:proofErr w:type="spellEnd"/>
            <w:r w:rsidRPr="004A5245">
              <w:rPr>
                <w:lang w:val="ru-RU"/>
              </w:rPr>
              <w:t xml:space="preserve"> ООО. Поэтому нет оснований считать, что услуги по договору предоставлены реально, значит, налоговое уведомление-решение вынесено законно и обоснованно. 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>На чьей стороне суд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 xml:space="preserve">Решение принято в пользу ГНИ. Определением ВАСУ оставлено в силе постановление </w:t>
            </w:r>
            <w:r w:rsidRPr="004A5245">
              <w:rPr>
                <w:lang w:val="ru-RU"/>
              </w:rPr>
              <w:br/>
              <w:t xml:space="preserve">окружного административного суда и определение апелляционного административного суда, которыми ООО отказано в удовлетворении исковых требований о признании противоправным и отмене налогового уведомления-решения о доначислении денежного обязательства по НДС и применении штрафной санкции. 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>Аргументы суда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b/>
                <w:bCs/>
                <w:lang w:val="ru-RU"/>
              </w:rPr>
              <w:lastRenderedPageBreak/>
              <w:t xml:space="preserve">1. </w:t>
            </w:r>
            <w:r w:rsidRPr="004A5245">
              <w:rPr>
                <w:lang w:val="ru-RU"/>
              </w:rPr>
              <w:t>Право на налоговый кредит возникает независимо от того, начали ли использоваться товары, услуги и основные фонды в налогооблагаемых операциях в рамках хозяйственной деятельности налогоплательщика в течение отчетного периода, и от того, осуществлял ли плательщик налогооблагаемые операции в отчетном периоде (п. 198.3 НК).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b/>
                <w:bCs/>
                <w:lang w:val="ru-RU"/>
              </w:rPr>
              <w:t xml:space="preserve">2. </w:t>
            </w:r>
            <w:r w:rsidRPr="004A5245">
              <w:rPr>
                <w:lang w:val="ru-RU"/>
              </w:rPr>
              <w:t>Основанием для бухгалтерского учета операций служат первичные документы, фиксирующие факт их осуществления. Эти документы должны содержать ряд обязательных реквизитов, в т. ч. содержание и объем операции</w:t>
            </w:r>
            <w:r w:rsidRPr="004A5245">
              <w:rPr>
                <w:b/>
                <w:bCs/>
                <w:lang w:val="ru-RU"/>
              </w:rPr>
              <w:t xml:space="preserve"> </w:t>
            </w:r>
            <w:r w:rsidRPr="004A5245">
              <w:rPr>
                <w:lang w:val="ru-RU"/>
              </w:rPr>
              <w:t xml:space="preserve">(ст. 9 Закона от 16.07.99 г. № 996-XIV). 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b/>
                <w:bCs/>
                <w:lang w:val="ru-RU"/>
              </w:rPr>
              <w:t xml:space="preserve">3. </w:t>
            </w:r>
            <w:r w:rsidRPr="004A5245">
              <w:rPr>
                <w:lang w:val="ru-RU"/>
              </w:rPr>
              <w:t xml:space="preserve">Из системного анализа вышеприведенных норм следует, что обязательным условием подтверждения реальности хозяйственной операции является фактическое наличие у налогоплательщика первичных документов, физических, технических и технологических возможностей для проведения соответствующих операций и связи между фактом приобретения товара (услуги) и дальнейшей </w:t>
            </w:r>
            <w:proofErr w:type="spellStart"/>
            <w:r w:rsidRPr="004A5245">
              <w:rPr>
                <w:lang w:val="ru-RU"/>
              </w:rPr>
              <w:t>хоздеятельностью</w:t>
            </w:r>
            <w:proofErr w:type="spellEnd"/>
            <w:r w:rsidRPr="004A5245">
              <w:rPr>
                <w:lang w:val="ru-RU"/>
              </w:rPr>
              <w:t>.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b/>
                <w:bCs/>
                <w:lang w:val="ru-RU"/>
              </w:rPr>
              <w:t>4.</w:t>
            </w:r>
            <w:r w:rsidRPr="004A5245">
              <w:rPr>
                <w:lang w:val="ru-RU"/>
              </w:rPr>
              <w:t xml:space="preserve"> Составленный ООО и контрагентом акт приемки-передачи услуг содержал только общее название услуги согласно ее виду, определенному в соответствующем пункте договора. Конкретная ссылка на предмет рекламы в этом акте отсутствует, что сделало невозможным установить связь рекламы с хозяйственной деятельностью ООО.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b/>
                <w:bCs/>
                <w:lang w:val="ru-RU"/>
              </w:rPr>
              <w:t>5.</w:t>
            </w:r>
            <w:r w:rsidRPr="004A5245">
              <w:rPr>
                <w:lang w:val="ru-RU"/>
              </w:rPr>
              <w:t xml:space="preserve"> Предоставленные ООО на диске аудиозаписи рекламных роликов содержат информацию об оказании контрагентом услуг по размещению рекламы на радио, но не содержат сведений о датах создания этих рекламных роликов и их трансляции в рекламных блоках на радио. 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 xml:space="preserve">Вывод 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t>Из-за небрежного заполнения акта приемки-передачи услуг налогоплательщик утратил право на налоговый кредит и возможность подтвердить реальность выполненных им хозяйственных операций</w:t>
            </w:r>
          </w:p>
        </w:tc>
        <w:tc>
          <w:tcPr>
            <w:tcW w:w="1314" w:type="dxa"/>
            <w:tcBorders>
              <w:top w:val="single" w:sz="4" w:space="0" w:color="B50014"/>
              <w:left w:val="single" w:sz="4" w:space="0" w:color="B50014"/>
              <w:bottom w:val="single" w:sz="4" w:space="0" w:color="B50014"/>
              <w:right w:val="single" w:sz="4" w:space="0" w:color="B50014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5245" w:rsidRPr="004A5245" w:rsidRDefault="004A5245" w:rsidP="004A5245">
            <w:pPr>
              <w:rPr>
                <w:lang w:val="ru-RU"/>
              </w:rPr>
            </w:pPr>
            <w:r w:rsidRPr="004A5245">
              <w:rPr>
                <w:lang w:val="ru-RU"/>
              </w:rPr>
              <w:lastRenderedPageBreak/>
              <w:t xml:space="preserve">Определение ВАСУ </w:t>
            </w:r>
            <w:r w:rsidRPr="004A5245">
              <w:rPr>
                <w:lang w:val="ru-RU"/>
              </w:rPr>
              <w:br/>
              <w:t>от 31.08.16 г.</w:t>
            </w:r>
            <w:r w:rsidRPr="004A5245">
              <w:rPr>
                <w:lang w:val="ru-RU"/>
              </w:rPr>
              <w:br/>
              <w:t xml:space="preserve">(ЕГРСР, рег. </w:t>
            </w:r>
            <w:r w:rsidRPr="004A5245">
              <w:rPr>
                <w:lang w:val="ru-RU"/>
              </w:rPr>
              <w:br/>
              <w:t>№ 60758830)</w:t>
            </w:r>
          </w:p>
          <w:p w:rsidR="004A5245" w:rsidRPr="004A5245" w:rsidRDefault="004A5245" w:rsidP="004A5245">
            <w:pPr>
              <w:rPr>
                <w:lang w:val="ru-RU"/>
              </w:rPr>
            </w:pPr>
          </w:p>
        </w:tc>
      </w:tr>
    </w:tbl>
    <w:p w:rsidR="004A5245" w:rsidRPr="004A5245" w:rsidRDefault="004A5245" w:rsidP="004A5245">
      <w:pPr>
        <w:rPr>
          <w:lang w:val="ru-RU"/>
        </w:rPr>
      </w:pPr>
    </w:p>
    <w:p w:rsidR="005C4AA7" w:rsidRDefault="005C4AA7">
      <w:bookmarkStart w:id="0" w:name="_GoBack"/>
      <w:bookmarkEnd w:id="0"/>
    </w:p>
    <w:sectPr w:rsidR="005C4AA7" w:rsidSect="007259D6">
      <w:pgSz w:w="11906" w:h="16838"/>
      <w:pgMar w:top="720" w:right="720" w:bottom="720" w:left="720" w:header="708" w:footer="708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5245"/>
    <w:rsid w:val="004A5245"/>
    <w:rsid w:val="005C4AA7"/>
    <w:rsid w:val="00984E10"/>
    <w:rsid w:val="009D2887"/>
    <w:rsid w:val="00BE0086"/>
    <w:rsid w:val="00BF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Sumne Romashko</dc:creator>
  <cp:lastModifiedBy>SunRay</cp:lastModifiedBy>
  <cp:revision>2</cp:revision>
  <dcterms:created xsi:type="dcterms:W3CDTF">2016-09-15T07:56:00Z</dcterms:created>
  <dcterms:modified xsi:type="dcterms:W3CDTF">2016-09-15T07:56:00Z</dcterms:modified>
</cp:coreProperties>
</file>