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3280"/>
        <w:gridCol w:w="3998"/>
      </w:tblGrid>
      <w:tr w:rsidR="00BF3D8C" w:rsidTr="00BF3D8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BF3D8C" w:rsidRDefault="00BF3D8C">
            <w:pPr>
              <w:pStyle w:val="a3"/>
              <w:jc w:val="center"/>
            </w:pPr>
            <w:bookmarkStart w:id="0" w:name="_GoBack"/>
            <w:r>
              <w:rPr>
                <w:rStyle w:val="a4"/>
                <w:rFonts w:eastAsiaTheme="majorEastAsia"/>
              </w:rPr>
              <w:t>Відмінна ознака</w:t>
            </w:r>
          </w:p>
        </w:tc>
        <w:tc>
          <w:tcPr>
            <w:tcW w:w="3255" w:type="dxa"/>
            <w:vAlign w:val="center"/>
            <w:hideMark/>
          </w:tcPr>
          <w:p w:rsidR="00BF3D8C" w:rsidRDefault="00BF3D8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Облікова оцінка</w:t>
            </w:r>
          </w:p>
        </w:tc>
        <w:tc>
          <w:tcPr>
            <w:tcW w:w="3960" w:type="dxa"/>
            <w:vAlign w:val="center"/>
            <w:hideMark/>
          </w:tcPr>
          <w:p w:rsidR="00BF3D8C" w:rsidRDefault="00BF3D8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Облікова політика</w:t>
            </w:r>
          </w:p>
        </w:tc>
      </w:tr>
      <w:tr w:rsidR="00BF3D8C" w:rsidTr="00BF3D8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BF3D8C" w:rsidRDefault="00BF3D8C">
            <w:pPr>
              <w:pStyle w:val="a3"/>
            </w:pPr>
            <w:r>
              <w:t>Визначення терміна</w:t>
            </w:r>
          </w:p>
        </w:tc>
        <w:tc>
          <w:tcPr>
            <w:tcW w:w="3255" w:type="dxa"/>
            <w:vAlign w:val="center"/>
            <w:hideMark/>
          </w:tcPr>
          <w:p w:rsidR="00BF3D8C" w:rsidRDefault="00BF3D8C">
            <w:pPr>
              <w:pStyle w:val="a3"/>
            </w:pPr>
            <w:r>
              <w:t>Попередня оцінка, яка використовується підприємством з метою розподілу витрат і доходів між відповідними звітними періодами (п. 3 НП(С)БО 6)</w:t>
            </w:r>
          </w:p>
        </w:tc>
        <w:tc>
          <w:tcPr>
            <w:tcW w:w="3960" w:type="dxa"/>
            <w:vAlign w:val="center"/>
            <w:hideMark/>
          </w:tcPr>
          <w:p w:rsidR="00BF3D8C" w:rsidRDefault="00BF3D8C">
            <w:pPr>
              <w:pStyle w:val="a3"/>
            </w:pPr>
            <w:r>
              <w:t>Сукупність принципів, методів і процедур, що використовуються підприємством для ведення бухгалтерського обліку, складання та подання фінансової звітності (ст. 1 Закону від 16.07.99 р. № 996-XIV «Про бухгалтерський облік та фінансову звітність в Україні»)</w:t>
            </w:r>
          </w:p>
        </w:tc>
      </w:tr>
      <w:tr w:rsidR="00BF3D8C" w:rsidTr="00BF3D8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BF3D8C" w:rsidRDefault="00BF3D8C">
            <w:pPr>
              <w:pStyle w:val="a3"/>
            </w:pPr>
            <w:r>
              <w:t>Коли змінюють</w:t>
            </w:r>
          </w:p>
        </w:tc>
        <w:tc>
          <w:tcPr>
            <w:tcW w:w="3255" w:type="dxa"/>
            <w:vAlign w:val="center"/>
            <w:hideMark/>
          </w:tcPr>
          <w:p w:rsidR="00BF3D8C" w:rsidRDefault="00BF3D8C">
            <w:pPr>
              <w:pStyle w:val="a3"/>
            </w:pPr>
            <w:r>
              <w:t>Облікова оцінка може переглядатися, якщо змінюються обставини, на яких базувалася ця оцінка, або отримано додаткову інформацію (п. 6 НП(С)БО 6)</w:t>
            </w:r>
          </w:p>
        </w:tc>
        <w:tc>
          <w:tcPr>
            <w:tcW w:w="3960" w:type="dxa"/>
            <w:vAlign w:val="center"/>
            <w:hideMark/>
          </w:tcPr>
          <w:p w:rsidR="00BF3D8C" w:rsidRDefault="00BF3D8C">
            <w:pPr>
              <w:pStyle w:val="a3"/>
            </w:pPr>
            <w:r>
              <w:t>Облікова політика може змінюватися, лише якщо:</w:t>
            </w:r>
          </w:p>
          <w:p w:rsidR="00BF3D8C" w:rsidRDefault="00BF3D8C">
            <w:pPr>
              <w:pStyle w:val="a3"/>
            </w:pPr>
            <w:r>
              <w:t>– змінюються статутні вимоги;</w:t>
            </w:r>
          </w:p>
          <w:p w:rsidR="00BF3D8C" w:rsidRDefault="00BF3D8C">
            <w:pPr>
              <w:pStyle w:val="a3"/>
            </w:pPr>
            <w:r>
              <w:t>– змінюються вимоги органу, який затверджує НП(С)БО,</w:t>
            </w:r>
          </w:p>
          <w:p w:rsidR="00BF3D8C" w:rsidRDefault="00BF3D8C">
            <w:pPr>
              <w:pStyle w:val="a3"/>
            </w:pPr>
            <w:r>
              <w:t>або</w:t>
            </w:r>
          </w:p>
          <w:p w:rsidR="00BF3D8C" w:rsidRDefault="00BF3D8C">
            <w:pPr>
              <w:pStyle w:val="a3"/>
            </w:pPr>
            <w:r>
              <w:t>– якщо зміни забезпечать достовірне відображення подій чи операцій у фінансовій звітності підприємства (п. 9 НП(С)БО 6).</w:t>
            </w:r>
          </w:p>
          <w:p w:rsidR="00BF3D8C" w:rsidRDefault="00BF3D8C">
            <w:pPr>
              <w:pStyle w:val="a3"/>
            </w:pPr>
            <w:r>
              <w:t>Не вважається зміною облікової політики встановлення облікової політики для (п. 10 П(С)БО 6):</w:t>
            </w:r>
          </w:p>
          <w:p w:rsidR="00BF3D8C" w:rsidRDefault="00BF3D8C">
            <w:pPr>
              <w:pStyle w:val="a3"/>
            </w:pPr>
            <w:r>
              <w:t>– подій або операцій, які відрізняються за змістом від попередніх подій або операцій;</w:t>
            </w:r>
          </w:p>
          <w:p w:rsidR="00BF3D8C" w:rsidRDefault="00BF3D8C">
            <w:pPr>
              <w:pStyle w:val="a3"/>
            </w:pPr>
            <w:r>
              <w:t>– подій або операцій, які не відбувалися раніше</w:t>
            </w:r>
          </w:p>
        </w:tc>
      </w:tr>
      <w:tr w:rsidR="00BF3D8C" w:rsidTr="00BF3D8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BF3D8C" w:rsidRDefault="00BF3D8C">
            <w:pPr>
              <w:pStyle w:val="a3"/>
            </w:pPr>
            <w:r>
              <w:t>Наслідки зміни</w:t>
            </w:r>
          </w:p>
        </w:tc>
        <w:tc>
          <w:tcPr>
            <w:tcW w:w="3255" w:type="dxa"/>
            <w:vAlign w:val="center"/>
            <w:hideMark/>
          </w:tcPr>
          <w:p w:rsidR="00BF3D8C" w:rsidRDefault="00BF3D8C">
            <w:pPr>
              <w:pStyle w:val="a3"/>
            </w:pPr>
            <w:r>
              <w:t>Перспективно. Наслідки зміни облікових оцінок слід включати до Звіту про фінансові результати в тому періоді, кому відбулася зміна, а також і в наступних періодах, якщо зміна впливає на ці періоди (п. 8 НП(С)БО 6).</w:t>
            </w:r>
          </w:p>
          <w:p w:rsidR="00BF3D8C" w:rsidRDefault="00BF3D8C">
            <w:pPr>
              <w:pStyle w:val="a3"/>
            </w:pPr>
            <w:r>
              <w:t>Наслідки зміни в облікових оцінках слід включати до тієї самої статті Звіту про фінансові результати, яка раніше застосовувалась для відображення доходів або витрат, пов'язаних з об'єктом такої оцінки (п. 7 НП(С)БО 6)</w:t>
            </w:r>
          </w:p>
        </w:tc>
        <w:tc>
          <w:tcPr>
            <w:tcW w:w="3960" w:type="dxa"/>
            <w:vAlign w:val="center"/>
            <w:hideMark/>
          </w:tcPr>
          <w:p w:rsidR="00BF3D8C" w:rsidRDefault="00BF3D8C">
            <w:pPr>
              <w:pStyle w:val="a3"/>
            </w:pPr>
            <w:r>
              <w:t>Ретроспективно. Облікова політика застосовується щодо подій та операцій з моменту їх виникнення (п. 11 НП(С)БО 6).</w:t>
            </w:r>
          </w:p>
          <w:p w:rsidR="00BF3D8C" w:rsidRDefault="00BF3D8C">
            <w:pPr>
              <w:pStyle w:val="a3"/>
            </w:pPr>
            <w:r>
              <w:t>Вплив зміни облікової політики на події та операції минулих періодів відображається у звітності шляхом:</w:t>
            </w:r>
          </w:p>
          <w:p w:rsidR="00BF3D8C" w:rsidRDefault="00BF3D8C">
            <w:pPr>
              <w:pStyle w:val="a3"/>
            </w:pPr>
            <w:r>
              <w:t>– коригування сальдо нерозподіленого прибутку на початок звітного року;</w:t>
            </w:r>
          </w:p>
          <w:p w:rsidR="00BF3D8C" w:rsidRDefault="00BF3D8C">
            <w:pPr>
              <w:pStyle w:val="a3"/>
            </w:pPr>
            <w:r>
              <w:t>– повторного надання порівняльної інформації щодо попередніх звітних періодів.</w:t>
            </w:r>
          </w:p>
          <w:p w:rsidR="00BF3D8C" w:rsidRDefault="00BF3D8C">
            <w:pPr>
              <w:pStyle w:val="a3"/>
            </w:pPr>
            <w:r>
              <w:lastRenderedPageBreak/>
              <w:t>Виняток: облікова політика може відображатися перспективно ( тобто без перерахунку за попередні звітні періоди), лише якщо суму коригування нерозподіленого прибутку на початок звітного року неможливо визначити достовірно (п. 13 НП(С)БО 6)</w:t>
            </w:r>
          </w:p>
        </w:tc>
      </w:tr>
      <w:tr w:rsidR="00BF3D8C" w:rsidTr="00BF3D8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BF3D8C" w:rsidRDefault="00BF3D8C">
            <w:pPr>
              <w:pStyle w:val="a3"/>
            </w:pPr>
            <w:r>
              <w:lastRenderedPageBreak/>
              <w:t>Відображення в примітках*</w:t>
            </w:r>
          </w:p>
        </w:tc>
        <w:tc>
          <w:tcPr>
            <w:tcW w:w="3255" w:type="dxa"/>
            <w:vAlign w:val="center"/>
            <w:hideMark/>
          </w:tcPr>
          <w:p w:rsidR="00BF3D8C" w:rsidRDefault="00BF3D8C">
            <w:pPr>
              <w:pStyle w:val="a3"/>
            </w:pPr>
            <w:r>
              <w:t>Підприємству слід розкривати зміст і суму змін в облікових оцінках, які мають суттєвий вплив на поточний період або, як очікується, суттєво будуть впливати на майбутні періоди (п. 21 НП(С)БО 6)</w:t>
            </w:r>
          </w:p>
        </w:tc>
        <w:tc>
          <w:tcPr>
            <w:tcW w:w="3960" w:type="dxa"/>
            <w:vAlign w:val="center"/>
            <w:hideMark/>
          </w:tcPr>
          <w:p w:rsidR="00BF3D8C" w:rsidRDefault="00BF3D8C">
            <w:r>
              <w:t>У разі зміни в обліковій політиці підприємству слід розкривати (п. 22 НП(С)БО 6):– причини та суть зміни;– суму коригування нерозподіленого прибутку на початок звітного року або обґрунтування неможливості її достовірного визначення;– факт повторного подання порівнянної інформації у фінансових звітах або недоцільність її переобрахунку</w:t>
            </w:r>
          </w:p>
        </w:tc>
      </w:tr>
      <w:tr w:rsidR="00BF3D8C" w:rsidTr="00BF3D8C">
        <w:trPr>
          <w:tblCellSpacing w:w="15" w:type="dxa"/>
        </w:trPr>
        <w:tc>
          <w:tcPr>
            <w:tcW w:w="9345" w:type="dxa"/>
            <w:gridSpan w:val="3"/>
            <w:vAlign w:val="center"/>
            <w:hideMark/>
          </w:tcPr>
          <w:p w:rsidR="00BF3D8C" w:rsidRDefault="00BF3D8C">
            <w:pPr>
              <w:pStyle w:val="5"/>
            </w:pPr>
            <w:r>
              <w:t>* Актуально лише для тих підприємств, що звітують за «повним» комплектом. Мікро– та малі, які працюють за НП(С)БО 25, Примітки не складають (ф. № 5 складається підприємствами, які зобов’язані оприлюднювати фінзвітність, наказ Мінфіну від 29.11.2000 р. № 302).</w:t>
            </w:r>
          </w:p>
        </w:tc>
      </w:tr>
      <w:bookmarkEnd w:id="0"/>
    </w:tbl>
    <w:p w:rsidR="00200B02" w:rsidRPr="00BF3D8C" w:rsidRDefault="00200B02" w:rsidP="00BF3D8C"/>
    <w:sectPr w:rsidR="00200B02" w:rsidRPr="00BF3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D6" w:rsidRDefault="00710AD6" w:rsidP="00AB2CEE">
      <w:r>
        <w:separator/>
      </w:r>
    </w:p>
  </w:endnote>
  <w:endnote w:type="continuationSeparator" w:id="0">
    <w:p w:rsidR="00710AD6" w:rsidRDefault="00710AD6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D6" w:rsidRDefault="00710AD6" w:rsidP="00AB2CEE">
      <w:r>
        <w:separator/>
      </w:r>
    </w:p>
  </w:footnote>
  <w:footnote w:type="continuationSeparator" w:id="0">
    <w:p w:rsidR="00710AD6" w:rsidRDefault="00710AD6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84251"/>
    <w:rsid w:val="00091027"/>
    <w:rsid w:val="000A3691"/>
    <w:rsid w:val="000C2EEE"/>
    <w:rsid w:val="000F295D"/>
    <w:rsid w:val="001054A2"/>
    <w:rsid w:val="0012143E"/>
    <w:rsid w:val="0019306D"/>
    <w:rsid w:val="001D764D"/>
    <w:rsid w:val="001F4743"/>
    <w:rsid w:val="002003F1"/>
    <w:rsid w:val="00200B02"/>
    <w:rsid w:val="00210B70"/>
    <w:rsid w:val="00220300"/>
    <w:rsid w:val="002248ED"/>
    <w:rsid w:val="00234E0E"/>
    <w:rsid w:val="0027497D"/>
    <w:rsid w:val="002C1031"/>
    <w:rsid w:val="002D79BE"/>
    <w:rsid w:val="002E1458"/>
    <w:rsid w:val="0032050C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D42CC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0AD6"/>
    <w:rsid w:val="007167EA"/>
    <w:rsid w:val="007505FE"/>
    <w:rsid w:val="00752ECB"/>
    <w:rsid w:val="00754E36"/>
    <w:rsid w:val="0080267F"/>
    <w:rsid w:val="008A2BF2"/>
    <w:rsid w:val="008B32C5"/>
    <w:rsid w:val="008D1C13"/>
    <w:rsid w:val="008E3C0F"/>
    <w:rsid w:val="008F245D"/>
    <w:rsid w:val="00915131"/>
    <w:rsid w:val="009A4CED"/>
    <w:rsid w:val="00A736E6"/>
    <w:rsid w:val="00A73866"/>
    <w:rsid w:val="00AB2CEE"/>
    <w:rsid w:val="00AD25EC"/>
    <w:rsid w:val="00AF28AB"/>
    <w:rsid w:val="00AF2AFA"/>
    <w:rsid w:val="00AF6CE3"/>
    <w:rsid w:val="00B65EFB"/>
    <w:rsid w:val="00BC198D"/>
    <w:rsid w:val="00BF3D8C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83052"/>
    <w:rsid w:val="00DB1DE9"/>
    <w:rsid w:val="00DD1FF5"/>
    <w:rsid w:val="00DF3291"/>
    <w:rsid w:val="00E032E3"/>
    <w:rsid w:val="00E111D2"/>
    <w:rsid w:val="00E2596B"/>
    <w:rsid w:val="00E4086B"/>
    <w:rsid w:val="00E47652"/>
    <w:rsid w:val="00EA32E7"/>
    <w:rsid w:val="00ED63B5"/>
    <w:rsid w:val="00F00C88"/>
    <w:rsid w:val="00F02ADF"/>
    <w:rsid w:val="00F41ACC"/>
    <w:rsid w:val="00F52F2E"/>
    <w:rsid w:val="00F61CF3"/>
    <w:rsid w:val="00F67D02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295D"/>
    <w:rPr>
      <w:rFonts w:asciiTheme="majorHAnsi" w:eastAsiaTheme="majorEastAsia" w:hAnsiTheme="majorHAnsi" w:cstheme="majorBidi"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96AD-18E8-4539-97E7-D9F43994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2021-04-21T12:26:00Z</dcterms:created>
  <dcterms:modified xsi:type="dcterms:W3CDTF">2021-04-21T12:26:00Z</dcterms:modified>
</cp:coreProperties>
</file>