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3280"/>
        <w:gridCol w:w="3999"/>
      </w:tblGrid>
      <w:tr w:rsidR="000F295D" w:rsidTr="000F295D">
        <w:trPr>
          <w:tblCellSpacing w:w="15" w:type="dxa"/>
        </w:trPr>
        <w:tc>
          <w:tcPr>
            <w:tcW w:w="2115" w:type="dxa"/>
            <w:vAlign w:val="center"/>
            <w:hideMark/>
          </w:tcPr>
          <w:p w:rsidR="000F295D" w:rsidRDefault="000F295D">
            <w:pPr>
              <w:pStyle w:val="a3"/>
              <w:jc w:val="center"/>
            </w:pPr>
            <w:bookmarkStart w:id="0" w:name="_GoBack"/>
            <w:r>
              <w:rPr>
                <w:rStyle w:val="a4"/>
                <w:rFonts w:eastAsiaTheme="majorEastAsia"/>
              </w:rPr>
              <w:t>Отличительный признак</w:t>
            </w:r>
          </w:p>
        </w:tc>
        <w:tc>
          <w:tcPr>
            <w:tcW w:w="3255" w:type="dxa"/>
            <w:vAlign w:val="center"/>
            <w:hideMark/>
          </w:tcPr>
          <w:p w:rsidR="000F295D" w:rsidRDefault="000F295D">
            <w:pPr>
              <w:pStyle w:val="a3"/>
              <w:jc w:val="center"/>
            </w:pPr>
            <w:r>
              <w:rPr>
                <w:rStyle w:val="a4"/>
                <w:rFonts w:eastAsiaTheme="majorEastAsia"/>
              </w:rPr>
              <w:t>Учетная оценка</w:t>
            </w:r>
          </w:p>
        </w:tc>
        <w:tc>
          <w:tcPr>
            <w:tcW w:w="3960" w:type="dxa"/>
            <w:vAlign w:val="center"/>
            <w:hideMark/>
          </w:tcPr>
          <w:p w:rsidR="000F295D" w:rsidRDefault="000F295D">
            <w:pPr>
              <w:pStyle w:val="a3"/>
              <w:jc w:val="center"/>
            </w:pPr>
            <w:r>
              <w:rPr>
                <w:rStyle w:val="a4"/>
                <w:rFonts w:eastAsiaTheme="majorEastAsia"/>
              </w:rPr>
              <w:t>Учетная политика</w:t>
            </w:r>
          </w:p>
        </w:tc>
      </w:tr>
      <w:tr w:rsidR="000F295D" w:rsidTr="000F295D">
        <w:trPr>
          <w:tblCellSpacing w:w="15" w:type="dxa"/>
        </w:trPr>
        <w:tc>
          <w:tcPr>
            <w:tcW w:w="2115" w:type="dxa"/>
            <w:vAlign w:val="center"/>
            <w:hideMark/>
          </w:tcPr>
          <w:p w:rsidR="000F295D" w:rsidRDefault="000F295D">
            <w:pPr>
              <w:pStyle w:val="a3"/>
            </w:pPr>
            <w:r>
              <w:t>Определение термина</w:t>
            </w:r>
          </w:p>
        </w:tc>
        <w:tc>
          <w:tcPr>
            <w:tcW w:w="3255" w:type="dxa"/>
            <w:vAlign w:val="center"/>
            <w:hideMark/>
          </w:tcPr>
          <w:p w:rsidR="000F295D" w:rsidRDefault="000F295D">
            <w:pPr>
              <w:pStyle w:val="a3"/>
            </w:pPr>
            <w:r>
              <w:t>Предварительная оценка, используемая предприятием в целях распределения расходов и доходов между соответствующими отчетными периодами (п. 3 НП(С)БУ 6)</w:t>
            </w:r>
          </w:p>
        </w:tc>
        <w:tc>
          <w:tcPr>
            <w:tcW w:w="3960" w:type="dxa"/>
            <w:vAlign w:val="center"/>
            <w:hideMark/>
          </w:tcPr>
          <w:p w:rsidR="000F295D" w:rsidRDefault="000F295D">
            <w:pPr>
              <w:pStyle w:val="a3"/>
            </w:pPr>
            <w:r>
              <w:t>Совокупность принципов, методов и процедур, которые используются предприятием для ведения бухгалтерского учета, составления и представления финансовой отчетности (ст. 1 Закона от 16.07.99 г. № 996-XIV «О бухгалтерском учете и финансовой отчетности в Украине»)</w:t>
            </w:r>
          </w:p>
        </w:tc>
      </w:tr>
      <w:tr w:rsidR="000F295D" w:rsidTr="000F295D">
        <w:trPr>
          <w:tblCellSpacing w:w="15" w:type="dxa"/>
        </w:trPr>
        <w:tc>
          <w:tcPr>
            <w:tcW w:w="2115" w:type="dxa"/>
            <w:vAlign w:val="center"/>
            <w:hideMark/>
          </w:tcPr>
          <w:p w:rsidR="000F295D" w:rsidRDefault="000F295D">
            <w:pPr>
              <w:pStyle w:val="a3"/>
            </w:pPr>
            <w:r>
              <w:t>Когда изменяют</w:t>
            </w:r>
          </w:p>
        </w:tc>
        <w:tc>
          <w:tcPr>
            <w:tcW w:w="3255" w:type="dxa"/>
            <w:vAlign w:val="center"/>
            <w:hideMark/>
          </w:tcPr>
          <w:p w:rsidR="000F295D" w:rsidRDefault="000F295D">
            <w:pPr>
              <w:pStyle w:val="a3"/>
            </w:pPr>
            <w:r>
              <w:t>Учетная оценка может пересматриваться, если изменяются обстоятельства, на которых базировалась эта оценка, или получена дополнительная информация (п. 6 НП(С)БУ 6)</w:t>
            </w:r>
          </w:p>
        </w:tc>
        <w:tc>
          <w:tcPr>
            <w:tcW w:w="3960" w:type="dxa"/>
            <w:vAlign w:val="center"/>
            <w:hideMark/>
          </w:tcPr>
          <w:p w:rsidR="000F295D" w:rsidRDefault="000F295D">
            <w:pPr>
              <w:pStyle w:val="a3"/>
            </w:pPr>
            <w:r>
              <w:t>Учетная политика может изменяться, только если:</w:t>
            </w:r>
          </w:p>
          <w:p w:rsidR="000F295D" w:rsidRDefault="000F295D">
            <w:pPr>
              <w:pStyle w:val="a3"/>
            </w:pPr>
            <w:r>
              <w:t>– изменяются уставные требования;</w:t>
            </w:r>
          </w:p>
          <w:p w:rsidR="000F295D" w:rsidRDefault="000F295D">
            <w:pPr>
              <w:pStyle w:val="a3"/>
            </w:pPr>
            <w:r>
              <w:t>– изменяются требования органа, утверждающего НП(С)БУ</w:t>
            </w:r>
          </w:p>
          <w:p w:rsidR="000F295D" w:rsidRDefault="000F295D">
            <w:pPr>
              <w:pStyle w:val="a3"/>
            </w:pPr>
            <w:r>
              <w:t>или</w:t>
            </w:r>
          </w:p>
          <w:p w:rsidR="000F295D" w:rsidRDefault="000F295D">
            <w:pPr>
              <w:pStyle w:val="a3"/>
            </w:pPr>
            <w:r>
              <w:t>– если изменения обеспечат достоверное отражение событий или операций в финансовой отчетности предприятия (п. 9 НП(С)БУ 6).</w:t>
            </w:r>
          </w:p>
          <w:p w:rsidR="000F295D" w:rsidRDefault="000F295D">
            <w:pPr>
              <w:pStyle w:val="a3"/>
            </w:pPr>
            <w:r>
              <w:t>Не считается изменением учетной политики установление учетной политики для (п. 10 П(С)БУ 6):</w:t>
            </w:r>
          </w:p>
          <w:p w:rsidR="000F295D" w:rsidRDefault="000F295D">
            <w:pPr>
              <w:pStyle w:val="a3"/>
            </w:pPr>
            <w:r>
              <w:t>– событий или операций, отличающихся по содержанию от предыдущих событий или операций;</w:t>
            </w:r>
          </w:p>
          <w:p w:rsidR="000F295D" w:rsidRDefault="000F295D">
            <w:pPr>
              <w:pStyle w:val="a3"/>
            </w:pPr>
            <w:r>
              <w:t>– событий или операций, которые не происходили ранее</w:t>
            </w:r>
          </w:p>
        </w:tc>
      </w:tr>
      <w:tr w:rsidR="000F295D" w:rsidTr="000F295D">
        <w:trPr>
          <w:tblCellSpacing w:w="15" w:type="dxa"/>
        </w:trPr>
        <w:tc>
          <w:tcPr>
            <w:tcW w:w="2115" w:type="dxa"/>
            <w:vAlign w:val="center"/>
            <w:hideMark/>
          </w:tcPr>
          <w:p w:rsidR="000F295D" w:rsidRDefault="000F295D">
            <w:pPr>
              <w:pStyle w:val="a3"/>
            </w:pPr>
            <w:r>
              <w:t>Последствия изменения</w:t>
            </w:r>
          </w:p>
        </w:tc>
        <w:tc>
          <w:tcPr>
            <w:tcW w:w="3255" w:type="dxa"/>
            <w:vAlign w:val="center"/>
            <w:hideMark/>
          </w:tcPr>
          <w:p w:rsidR="000F295D" w:rsidRDefault="000F295D">
            <w:pPr>
              <w:pStyle w:val="a3"/>
            </w:pPr>
            <w:r>
              <w:t>Перспективно. Последствия изменения учетных оценок следует включать в Отчет о финансовых результатах в том периоде, в котором произошло изменение, а также и в следующих периодах, если изменение влияет на эти периоды (п. 8 НП(С)БУ 6).</w:t>
            </w:r>
          </w:p>
          <w:p w:rsidR="000F295D" w:rsidRDefault="000F295D">
            <w:pPr>
              <w:pStyle w:val="a3"/>
            </w:pPr>
            <w:r>
              <w:t xml:space="preserve">Последствия изменения в учетных оценках следует включать в ту же статью Отчета о финансовых результатах, которая ранее применялась для отражения доходов или расходов, связанных с </w:t>
            </w:r>
            <w:r>
              <w:lastRenderedPageBreak/>
              <w:t>объектом такой оценки (п. 7 НП(С)БУ 6)</w:t>
            </w:r>
          </w:p>
        </w:tc>
        <w:tc>
          <w:tcPr>
            <w:tcW w:w="3960" w:type="dxa"/>
            <w:vAlign w:val="center"/>
            <w:hideMark/>
          </w:tcPr>
          <w:p w:rsidR="000F295D" w:rsidRDefault="000F295D">
            <w:pPr>
              <w:pStyle w:val="a3"/>
            </w:pPr>
            <w:r>
              <w:lastRenderedPageBreak/>
              <w:t>Ретроспективно. Учетная политика применяется к событиям и операциям с момента их возникновения (п. 11 НП(С)БУ 6).</w:t>
            </w:r>
          </w:p>
          <w:p w:rsidR="000F295D" w:rsidRDefault="000F295D">
            <w:pPr>
              <w:pStyle w:val="a3"/>
            </w:pPr>
            <w:r>
              <w:t>Влияние изменения учетной политики на событии и операции прошлых периодов отражается в отчетности путем:</w:t>
            </w:r>
          </w:p>
          <w:p w:rsidR="000F295D" w:rsidRDefault="000F295D">
            <w:pPr>
              <w:pStyle w:val="a3"/>
            </w:pPr>
            <w:r>
              <w:t>– корректировки сальдо нераспределенной прибыли на начало отчетного года;</w:t>
            </w:r>
          </w:p>
          <w:p w:rsidR="000F295D" w:rsidRDefault="000F295D">
            <w:pPr>
              <w:pStyle w:val="a3"/>
            </w:pPr>
            <w:r>
              <w:lastRenderedPageBreak/>
              <w:t>– повторного предоставления сопоставимой информации за предыдущие отчетные периоды.</w:t>
            </w:r>
          </w:p>
          <w:p w:rsidR="000F295D" w:rsidRDefault="000F295D">
            <w:pPr>
              <w:pStyle w:val="a3"/>
            </w:pPr>
            <w:r>
              <w:t>Исключение: учетная политика может отражаться перспективно (то есть без пересчета показателей за предыдущие отчетные периоды) исключительно если сумму корректировки нераспределенной прибыли на начало отчетного года невозможно определить достоверно (п. 13 НП(С) БУ 6)</w:t>
            </w:r>
          </w:p>
        </w:tc>
      </w:tr>
      <w:tr w:rsidR="000F295D" w:rsidTr="000F295D">
        <w:trPr>
          <w:tblCellSpacing w:w="15" w:type="dxa"/>
        </w:trPr>
        <w:tc>
          <w:tcPr>
            <w:tcW w:w="2115" w:type="dxa"/>
            <w:vAlign w:val="center"/>
            <w:hideMark/>
          </w:tcPr>
          <w:p w:rsidR="000F295D" w:rsidRDefault="000F295D">
            <w:pPr>
              <w:pStyle w:val="a3"/>
            </w:pPr>
            <w:r>
              <w:lastRenderedPageBreak/>
              <w:t>Отражение в примечаниях*</w:t>
            </w:r>
          </w:p>
        </w:tc>
        <w:tc>
          <w:tcPr>
            <w:tcW w:w="3255" w:type="dxa"/>
            <w:vAlign w:val="center"/>
            <w:hideMark/>
          </w:tcPr>
          <w:p w:rsidR="000F295D" w:rsidRDefault="000F295D">
            <w:pPr>
              <w:pStyle w:val="a3"/>
            </w:pPr>
            <w:r>
              <w:t>Предприятию следует раскрывать содержание и сумму изменений в учетных оценках, которые имеют существенное влияние на текущий период или, как ожидается, существенно будут влиять на будущие периоды (п. 21 НП(С)БУ 6)</w:t>
            </w:r>
          </w:p>
        </w:tc>
        <w:tc>
          <w:tcPr>
            <w:tcW w:w="3960" w:type="dxa"/>
            <w:vAlign w:val="center"/>
            <w:hideMark/>
          </w:tcPr>
          <w:p w:rsidR="000F295D" w:rsidRDefault="000F295D">
            <w:pPr>
              <w:pStyle w:val="a3"/>
            </w:pPr>
            <w:r>
              <w:t>В случае изменений в учетной политике предприятию следует раскрывать (п. 22 НП(С)БУ 6):</w:t>
            </w:r>
          </w:p>
          <w:p w:rsidR="000F295D" w:rsidRDefault="000F295D">
            <w:pPr>
              <w:pStyle w:val="a3"/>
            </w:pPr>
            <w:r>
              <w:t>– причины и суть изменения;</w:t>
            </w:r>
          </w:p>
          <w:p w:rsidR="000F295D" w:rsidRDefault="000F295D">
            <w:pPr>
              <w:pStyle w:val="a3"/>
            </w:pPr>
            <w:r>
              <w:t>– сумму корректировки нераспределенной прибыли на начало отчетного года или обоснование невозможности ее достоверного определения;</w:t>
            </w:r>
          </w:p>
          <w:p w:rsidR="000F295D" w:rsidRDefault="000F295D">
            <w:pPr>
              <w:pStyle w:val="a3"/>
            </w:pPr>
            <w:r>
              <w:t>– факт повторного представления сопоставимой информации в финансовых отчетах или нецелесообразность ее пересчета</w:t>
            </w:r>
          </w:p>
        </w:tc>
      </w:tr>
      <w:tr w:rsidR="000F295D" w:rsidTr="000F295D">
        <w:trPr>
          <w:tblCellSpacing w:w="15" w:type="dxa"/>
        </w:trPr>
        <w:tc>
          <w:tcPr>
            <w:tcW w:w="9345" w:type="dxa"/>
            <w:gridSpan w:val="3"/>
            <w:vAlign w:val="center"/>
            <w:hideMark/>
          </w:tcPr>
          <w:p w:rsidR="000F295D" w:rsidRDefault="000F295D">
            <w:pPr>
              <w:pStyle w:val="5"/>
            </w:pPr>
            <w:r>
              <w:t>* Актуально только для тех предприятий, которые отчитываются по «полному» комплекту. Микро– и малые, применяющие НП(С)БУ 25, Примечания не составляют (ф. № 5 составляется предприятиями, которые обязаны обнародовать финотчетность, приказ Минфина от 29.11.2000 г. № 302).</w:t>
            </w:r>
          </w:p>
        </w:tc>
      </w:tr>
      <w:bookmarkEnd w:id="0"/>
    </w:tbl>
    <w:p w:rsidR="00200B02" w:rsidRPr="000F295D" w:rsidRDefault="00200B02" w:rsidP="000F295D"/>
    <w:sectPr w:rsidR="00200B02" w:rsidRPr="000F295D">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1B" w:rsidRDefault="00A5241B" w:rsidP="00AB2CEE">
      <w:r>
        <w:separator/>
      </w:r>
    </w:p>
  </w:endnote>
  <w:endnote w:type="continuationSeparator" w:id="0">
    <w:p w:rsidR="00A5241B" w:rsidRDefault="00A5241B" w:rsidP="00AB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rsidP="00AB2CEE">
    <w:pPr>
      <w:pStyle w:val="a7"/>
      <w:jc w:val="right"/>
    </w:pPr>
    <w:r w:rsidRPr="00F8539C">
      <w:rPr>
        <w:noProof/>
        <w:lang w:val="ru-RU" w:eastAsia="ru-RU"/>
      </w:rPr>
      <w:drawing>
        <wp:inline distT="0" distB="0" distL="0" distR="0" wp14:anchorId="6E7C8B28" wp14:editId="3AF35F77">
          <wp:extent cx="895350" cy="219075"/>
          <wp:effectExtent l="0" t="0" r="0" b="9525"/>
          <wp:docPr id="5" name="Рисунок 5"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1B" w:rsidRDefault="00A5241B" w:rsidP="00AB2CEE">
      <w:r>
        <w:separator/>
      </w:r>
    </w:p>
  </w:footnote>
  <w:footnote w:type="continuationSeparator" w:id="0">
    <w:p w:rsidR="00A5241B" w:rsidRDefault="00A5241B" w:rsidP="00AB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5CF"/>
    <w:multiLevelType w:val="hybridMultilevel"/>
    <w:tmpl w:val="E0663FC2"/>
    <w:lvl w:ilvl="0" w:tplc="94341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19"/>
    <w:rsid w:val="00081A19"/>
    <w:rsid w:val="00084251"/>
    <w:rsid w:val="00091027"/>
    <w:rsid w:val="000A3691"/>
    <w:rsid w:val="000C2EEE"/>
    <w:rsid w:val="000F295D"/>
    <w:rsid w:val="001054A2"/>
    <w:rsid w:val="0012143E"/>
    <w:rsid w:val="0019306D"/>
    <w:rsid w:val="001D764D"/>
    <w:rsid w:val="001F4743"/>
    <w:rsid w:val="002003F1"/>
    <w:rsid w:val="00200B02"/>
    <w:rsid w:val="00210B70"/>
    <w:rsid w:val="00220300"/>
    <w:rsid w:val="002248ED"/>
    <w:rsid w:val="00234E0E"/>
    <w:rsid w:val="0027497D"/>
    <w:rsid w:val="002C1031"/>
    <w:rsid w:val="002D79BE"/>
    <w:rsid w:val="002E1458"/>
    <w:rsid w:val="0032050C"/>
    <w:rsid w:val="00347684"/>
    <w:rsid w:val="00363219"/>
    <w:rsid w:val="0037309A"/>
    <w:rsid w:val="00377D7C"/>
    <w:rsid w:val="003916DC"/>
    <w:rsid w:val="003F4294"/>
    <w:rsid w:val="004168FC"/>
    <w:rsid w:val="004237BC"/>
    <w:rsid w:val="00435099"/>
    <w:rsid w:val="0049024B"/>
    <w:rsid w:val="004971F7"/>
    <w:rsid w:val="004A4692"/>
    <w:rsid w:val="004B70BA"/>
    <w:rsid w:val="004D08E5"/>
    <w:rsid w:val="004D42CC"/>
    <w:rsid w:val="004E5516"/>
    <w:rsid w:val="004F3E82"/>
    <w:rsid w:val="00511FD8"/>
    <w:rsid w:val="00524290"/>
    <w:rsid w:val="005823E0"/>
    <w:rsid w:val="005C1BC2"/>
    <w:rsid w:val="005C64CF"/>
    <w:rsid w:val="00633722"/>
    <w:rsid w:val="006532E7"/>
    <w:rsid w:val="006B0635"/>
    <w:rsid w:val="007167EA"/>
    <w:rsid w:val="007505FE"/>
    <w:rsid w:val="00752ECB"/>
    <w:rsid w:val="00754E36"/>
    <w:rsid w:val="0080267F"/>
    <w:rsid w:val="008A2BF2"/>
    <w:rsid w:val="008B32C5"/>
    <w:rsid w:val="008D1C13"/>
    <w:rsid w:val="008E3C0F"/>
    <w:rsid w:val="008F245D"/>
    <w:rsid w:val="00915131"/>
    <w:rsid w:val="009A4CED"/>
    <w:rsid w:val="00A5241B"/>
    <w:rsid w:val="00A736E6"/>
    <w:rsid w:val="00A73866"/>
    <w:rsid w:val="00AB2CEE"/>
    <w:rsid w:val="00AD25EC"/>
    <w:rsid w:val="00AF28AB"/>
    <w:rsid w:val="00AF2AFA"/>
    <w:rsid w:val="00AF6CE3"/>
    <w:rsid w:val="00B65EFB"/>
    <w:rsid w:val="00BC198D"/>
    <w:rsid w:val="00C52BE5"/>
    <w:rsid w:val="00C569E8"/>
    <w:rsid w:val="00C6269A"/>
    <w:rsid w:val="00C75BFA"/>
    <w:rsid w:val="00C77FB7"/>
    <w:rsid w:val="00CC17E8"/>
    <w:rsid w:val="00CD2208"/>
    <w:rsid w:val="00D15C67"/>
    <w:rsid w:val="00D25C61"/>
    <w:rsid w:val="00D62E3C"/>
    <w:rsid w:val="00D83052"/>
    <w:rsid w:val="00DB1DE9"/>
    <w:rsid w:val="00DD1FF5"/>
    <w:rsid w:val="00DF3291"/>
    <w:rsid w:val="00E032E3"/>
    <w:rsid w:val="00E111D2"/>
    <w:rsid w:val="00E2596B"/>
    <w:rsid w:val="00E4086B"/>
    <w:rsid w:val="00E47652"/>
    <w:rsid w:val="00EA32E7"/>
    <w:rsid w:val="00ED63B5"/>
    <w:rsid w:val="00F00C88"/>
    <w:rsid w:val="00F02ADF"/>
    <w:rsid w:val="00F41ACC"/>
    <w:rsid w:val="00F52F2E"/>
    <w:rsid w:val="00F61CF3"/>
    <w:rsid w:val="00F67D02"/>
    <w:rsid w:val="00F9172D"/>
    <w:rsid w:val="00FE6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5D2D-AA11-4138-B9C6-F75742D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67"/>
    <w:rPr>
      <w:rFonts w:ascii="Times New Roman" w:hAnsi="Times New Roman"/>
      <w:sz w:val="28"/>
    </w:rPr>
  </w:style>
  <w:style w:type="paragraph" w:styleId="1">
    <w:name w:val="heading 1"/>
    <w:basedOn w:val="a"/>
    <w:next w:val="a"/>
    <w:link w:val="10"/>
    <w:uiPriority w:val="9"/>
    <w:qFormat/>
    <w:rsid w:val="00D15C67"/>
    <w:pPr>
      <w:keepNext/>
      <w:keepLines/>
      <w:spacing w:before="240"/>
      <w:jc w:val="center"/>
      <w:outlineLvl w:val="0"/>
    </w:pPr>
    <w:rPr>
      <w:rFonts w:eastAsiaTheme="majorEastAsia" w:cstheme="majorBidi"/>
      <w:b/>
      <w:sz w:val="32"/>
      <w:szCs w:val="32"/>
    </w:rPr>
  </w:style>
  <w:style w:type="paragraph" w:styleId="3">
    <w:name w:val="heading 3"/>
    <w:basedOn w:val="a"/>
    <w:next w:val="a"/>
    <w:link w:val="30"/>
    <w:uiPriority w:val="9"/>
    <w:semiHidden/>
    <w:unhideWhenUsed/>
    <w:qFormat/>
    <w:rsid w:val="007167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F295D"/>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C67"/>
    <w:rPr>
      <w:rFonts w:ascii="Times New Roman" w:eastAsiaTheme="majorEastAsia" w:hAnsi="Times New Roman" w:cstheme="majorBidi"/>
      <w:b/>
      <w:sz w:val="32"/>
      <w:szCs w:val="32"/>
    </w:rPr>
  </w:style>
  <w:style w:type="character" w:customStyle="1" w:styleId="30">
    <w:name w:val="Заголовок 3 Знак"/>
    <w:basedOn w:val="a0"/>
    <w:link w:val="3"/>
    <w:uiPriority w:val="9"/>
    <w:semiHidden/>
    <w:rsid w:val="007167E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7167EA"/>
    <w:pPr>
      <w:spacing w:before="100" w:beforeAutospacing="1" w:after="100" w:afterAutospacing="1"/>
    </w:pPr>
    <w:rPr>
      <w:rFonts w:eastAsia="Times New Roman" w:cs="Times New Roman"/>
      <w:sz w:val="24"/>
      <w:szCs w:val="24"/>
      <w:lang w:val="ru-RU" w:eastAsia="ru-RU"/>
    </w:rPr>
  </w:style>
  <w:style w:type="character" w:styleId="a4">
    <w:name w:val="Strong"/>
    <w:basedOn w:val="a0"/>
    <w:uiPriority w:val="22"/>
    <w:qFormat/>
    <w:rsid w:val="007167EA"/>
    <w:rPr>
      <w:b/>
      <w:bCs/>
    </w:rPr>
  </w:style>
  <w:style w:type="paragraph" w:styleId="a5">
    <w:name w:val="header"/>
    <w:basedOn w:val="a"/>
    <w:link w:val="a6"/>
    <w:uiPriority w:val="99"/>
    <w:unhideWhenUsed/>
    <w:rsid w:val="00AB2CEE"/>
    <w:pPr>
      <w:tabs>
        <w:tab w:val="center" w:pos="4677"/>
        <w:tab w:val="right" w:pos="9355"/>
      </w:tabs>
    </w:pPr>
  </w:style>
  <w:style w:type="character" w:customStyle="1" w:styleId="a6">
    <w:name w:val="Верхний колонтитул Знак"/>
    <w:basedOn w:val="a0"/>
    <w:link w:val="a5"/>
    <w:uiPriority w:val="99"/>
    <w:rsid w:val="00AB2CEE"/>
    <w:rPr>
      <w:rFonts w:ascii="Times New Roman" w:hAnsi="Times New Roman"/>
      <w:sz w:val="28"/>
    </w:rPr>
  </w:style>
  <w:style w:type="paragraph" w:styleId="a7">
    <w:name w:val="footer"/>
    <w:basedOn w:val="a"/>
    <w:link w:val="a8"/>
    <w:uiPriority w:val="99"/>
    <w:unhideWhenUsed/>
    <w:rsid w:val="00AB2CEE"/>
    <w:pPr>
      <w:tabs>
        <w:tab w:val="center" w:pos="4677"/>
        <w:tab w:val="right" w:pos="9355"/>
      </w:tabs>
    </w:pPr>
  </w:style>
  <w:style w:type="character" w:customStyle="1" w:styleId="a8">
    <w:name w:val="Нижний колонтитул Знак"/>
    <w:basedOn w:val="a0"/>
    <w:link w:val="a7"/>
    <w:uiPriority w:val="99"/>
    <w:rsid w:val="00AB2CEE"/>
    <w:rPr>
      <w:rFonts w:ascii="Times New Roman" w:hAnsi="Times New Roman"/>
      <w:sz w:val="28"/>
    </w:rPr>
  </w:style>
  <w:style w:type="paragraph" w:styleId="a9">
    <w:name w:val="List Paragraph"/>
    <w:basedOn w:val="a"/>
    <w:uiPriority w:val="34"/>
    <w:qFormat/>
    <w:rsid w:val="00AD25EC"/>
    <w:pPr>
      <w:ind w:left="720"/>
      <w:contextualSpacing/>
    </w:pPr>
    <w:rPr>
      <w:rFonts w:eastAsia="Times New Roman" w:cs="Times New Roman"/>
      <w:sz w:val="24"/>
      <w:szCs w:val="24"/>
      <w:lang w:val="ru-RU" w:eastAsia="ru-RU"/>
    </w:rPr>
  </w:style>
  <w:style w:type="character" w:customStyle="1" w:styleId="50">
    <w:name w:val="Заголовок 5 Знак"/>
    <w:basedOn w:val="a0"/>
    <w:link w:val="5"/>
    <w:uiPriority w:val="9"/>
    <w:semiHidden/>
    <w:rsid w:val="000F295D"/>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9023">
      <w:bodyDiv w:val="1"/>
      <w:marLeft w:val="0"/>
      <w:marRight w:val="0"/>
      <w:marTop w:val="0"/>
      <w:marBottom w:val="0"/>
      <w:divBdr>
        <w:top w:val="none" w:sz="0" w:space="0" w:color="auto"/>
        <w:left w:val="none" w:sz="0" w:space="0" w:color="auto"/>
        <w:bottom w:val="none" w:sz="0" w:space="0" w:color="auto"/>
        <w:right w:val="none" w:sz="0" w:space="0" w:color="auto"/>
      </w:divBdr>
    </w:div>
    <w:div w:id="326595465">
      <w:bodyDiv w:val="1"/>
      <w:marLeft w:val="0"/>
      <w:marRight w:val="0"/>
      <w:marTop w:val="0"/>
      <w:marBottom w:val="0"/>
      <w:divBdr>
        <w:top w:val="none" w:sz="0" w:space="0" w:color="auto"/>
        <w:left w:val="none" w:sz="0" w:space="0" w:color="auto"/>
        <w:bottom w:val="none" w:sz="0" w:space="0" w:color="auto"/>
        <w:right w:val="none" w:sz="0" w:space="0" w:color="auto"/>
      </w:divBdr>
    </w:div>
    <w:div w:id="446896239">
      <w:bodyDiv w:val="1"/>
      <w:marLeft w:val="0"/>
      <w:marRight w:val="0"/>
      <w:marTop w:val="0"/>
      <w:marBottom w:val="0"/>
      <w:divBdr>
        <w:top w:val="none" w:sz="0" w:space="0" w:color="auto"/>
        <w:left w:val="none" w:sz="0" w:space="0" w:color="auto"/>
        <w:bottom w:val="none" w:sz="0" w:space="0" w:color="auto"/>
        <w:right w:val="none" w:sz="0" w:space="0" w:color="auto"/>
      </w:divBdr>
    </w:div>
    <w:div w:id="655687718">
      <w:bodyDiv w:val="1"/>
      <w:marLeft w:val="0"/>
      <w:marRight w:val="0"/>
      <w:marTop w:val="0"/>
      <w:marBottom w:val="0"/>
      <w:divBdr>
        <w:top w:val="none" w:sz="0" w:space="0" w:color="auto"/>
        <w:left w:val="none" w:sz="0" w:space="0" w:color="auto"/>
        <w:bottom w:val="none" w:sz="0" w:space="0" w:color="auto"/>
        <w:right w:val="none" w:sz="0" w:space="0" w:color="auto"/>
      </w:divBdr>
    </w:div>
    <w:div w:id="674457044">
      <w:bodyDiv w:val="1"/>
      <w:marLeft w:val="0"/>
      <w:marRight w:val="0"/>
      <w:marTop w:val="0"/>
      <w:marBottom w:val="0"/>
      <w:divBdr>
        <w:top w:val="none" w:sz="0" w:space="0" w:color="auto"/>
        <w:left w:val="none" w:sz="0" w:space="0" w:color="auto"/>
        <w:bottom w:val="none" w:sz="0" w:space="0" w:color="auto"/>
        <w:right w:val="none" w:sz="0" w:space="0" w:color="auto"/>
      </w:divBdr>
    </w:div>
    <w:div w:id="687097213">
      <w:bodyDiv w:val="1"/>
      <w:marLeft w:val="0"/>
      <w:marRight w:val="0"/>
      <w:marTop w:val="0"/>
      <w:marBottom w:val="0"/>
      <w:divBdr>
        <w:top w:val="none" w:sz="0" w:space="0" w:color="auto"/>
        <w:left w:val="none" w:sz="0" w:space="0" w:color="auto"/>
        <w:bottom w:val="none" w:sz="0" w:space="0" w:color="auto"/>
        <w:right w:val="none" w:sz="0" w:space="0" w:color="auto"/>
      </w:divBdr>
    </w:div>
    <w:div w:id="730269508">
      <w:bodyDiv w:val="1"/>
      <w:marLeft w:val="0"/>
      <w:marRight w:val="0"/>
      <w:marTop w:val="0"/>
      <w:marBottom w:val="0"/>
      <w:divBdr>
        <w:top w:val="none" w:sz="0" w:space="0" w:color="auto"/>
        <w:left w:val="none" w:sz="0" w:space="0" w:color="auto"/>
        <w:bottom w:val="none" w:sz="0" w:space="0" w:color="auto"/>
        <w:right w:val="none" w:sz="0" w:space="0" w:color="auto"/>
      </w:divBdr>
    </w:div>
    <w:div w:id="758333056">
      <w:bodyDiv w:val="1"/>
      <w:marLeft w:val="0"/>
      <w:marRight w:val="0"/>
      <w:marTop w:val="0"/>
      <w:marBottom w:val="0"/>
      <w:divBdr>
        <w:top w:val="none" w:sz="0" w:space="0" w:color="auto"/>
        <w:left w:val="none" w:sz="0" w:space="0" w:color="auto"/>
        <w:bottom w:val="none" w:sz="0" w:space="0" w:color="auto"/>
        <w:right w:val="none" w:sz="0" w:space="0" w:color="auto"/>
      </w:divBdr>
    </w:div>
    <w:div w:id="763762492">
      <w:bodyDiv w:val="1"/>
      <w:marLeft w:val="0"/>
      <w:marRight w:val="0"/>
      <w:marTop w:val="0"/>
      <w:marBottom w:val="0"/>
      <w:divBdr>
        <w:top w:val="none" w:sz="0" w:space="0" w:color="auto"/>
        <w:left w:val="none" w:sz="0" w:space="0" w:color="auto"/>
        <w:bottom w:val="none" w:sz="0" w:space="0" w:color="auto"/>
        <w:right w:val="none" w:sz="0" w:space="0" w:color="auto"/>
      </w:divBdr>
    </w:div>
    <w:div w:id="785932474">
      <w:bodyDiv w:val="1"/>
      <w:marLeft w:val="0"/>
      <w:marRight w:val="0"/>
      <w:marTop w:val="0"/>
      <w:marBottom w:val="0"/>
      <w:divBdr>
        <w:top w:val="none" w:sz="0" w:space="0" w:color="auto"/>
        <w:left w:val="none" w:sz="0" w:space="0" w:color="auto"/>
        <w:bottom w:val="none" w:sz="0" w:space="0" w:color="auto"/>
        <w:right w:val="none" w:sz="0" w:space="0" w:color="auto"/>
      </w:divBdr>
    </w:div>
    <w:div w:id="852110086">
      <w:bodyDiv w:val="1"/>
      <w:marLeft w:val="0"/>
      <w:marRight w:val="0"/>
      <w:marTop w:val="0"/>
      <w:marBottom w:val="0"/>
      <w:divBdr>
        <w:top w:val="none" w:sz="0" w:space="0" w:color="auto"/>
        <w:left w:val="none" w:sz="0" w:space="0" w:color="auto"/>
        <w:bottom w:val="none" w:sz="0" w:space="0" w:color="auto"/>
        <w:right w:val="none" w:sz="0" w:space="0" w:color="auto"/>
      </w:divBdr>
    </w:div>
    <w:div w:id="891385561">
      <w:bodyDiv w:val="1"/>
      <w:marLeft w:val="0"/>
      <w:marRight w:val="0"/>
      <w:marTop w:val="0"/>
      <w:marBottom w:val="0"/>
      <w:divBdr>
        <w:top w:val="none" w:sz="0" w:space="0" w:color="auto"/>
        <w:left w:val="none" w:sz="0" w:space="0" w:color="auto"/>
        <w:bottom w:val="none" w:sz="0" w:space="0" w:color="auto"/>
        <w:right w:val="none" w:sz="0" w:space="0" w:color="auto"/>
      </w:divBdr>
    </w:div>
    <w:div w:id="941038097">
      <w:bodyDiv w:val="1"/>
      <w:marLeft w:val="0"/>
      <w:marRight w:val="0"/>
      <w:marTop w:val="0"/>
      <w:marBottom w:val="0"/>
      <w:divBdr>
        <w:top w:val="none" w:sz="0" w:space="0" w:color="auto"/>
        <w:left w:val="none" w:sz="0" w:space="0" w:color="auto"/>
        <w:bottom w:val="none" w:sz="0" w:space="0" w:color="auto"/>
        <w:right w:val="none" w:sz="0" w:space="0" w:color="auto"/>
      </w:divBdr>
    </w:div>
    <w:div w:id="983319650">
      <w:bodyDiv w:val="1"/>
      <w:marLeft w:val="0"/>
      <w:marRight w:val="0"/>
      <w:marTop w:val="0"/>
      <w:marBottom w:val="0"/>
      <w:divBdr>
        <w:top w:val="none" w:sz="0" w:space="0" w:color="auto"/>
        <w:left w:val="none" w:sz="0" w:space="0" w:color="auto"/>
        <w:bottom w:val="none" w:sz="0" w:space="0" w:color="auto"/>
        <w:right w:val="none" w:sz="0" w:space="0" w:color="auto"/>
      </w:divBdr>
    </w:div>
    <w:div w:id="1131242818">
      <w:bodyDiv w:val="1"/>
      <w:marLeft w:val="0"/>
      <w:marRight w:val="0"/>
      <w:marTop w:val="0"/>
      <w:marBottom w:val="0"/>
      <w:divBdr>
        <w:top w:val="none" w:sz="0" w:space="0" w:color="auto"/>
        <w:left w:val="none" w:sz="0" w:space="0" w:color="auto"/>
        <w:bottom w:val="none" w:sz="0" w:space="0" w:color="auto"/>
        <w:right w:val="none" w:sz="0" w:space="0" w:color="auto"/>
      </w:divBdr>
    </w:div>
    <w:div w:id="1185552676">
      <w:bodyDiv w:val="1"/>
      <w:marLeft w:val="0"/>
      <w:marRight w:val="0"/>
      <w:marTop w:val="0"/>
      <w:marBottom w:val="0"/>
      <w:divBdr>
        <w:top w:val="none" w:sz="0" w:space="0" w:color="auto"/>
        <w:left w:val="none" w:sz="0" w:space="0" w:color="auto"/>
        <w:bottom w:val="none" w:sz="0" w:space="0" w:color="auto"/>
        <w:right w:val="none" w:sz="0" w:space="0" w:color="auto"/>
      </w:divBdr>
    </w:div>
    <w:div w:id="1217283062">
      <w:bodyDiv w:val="1"/>
      <w:marLeft w:val="0"/>
      <w:marRight w:val="0"/>
      <w:marTop w:val="0"/>
      <w:marBottom w:val="0"/>
      <w:divBdr>
        <w:top w:val="none" w:sz="0" w:space="0" w:color="auto"/>
        <w:left w:val="none" w:sz="0" w:space="0" w:color="auto"/>
        <w:bottom w:val="none" w:sz="0" w:space="0" w:color="auto"/>
        <w:right w:val="none" w:sz="0" w:space="0" w:color="auto"/>
      </w:divBdr>
    </w:div>
    <w:div w:id="1393239804">
      <w:bodyDiv w:val="1"/>
      <w:marLeft w:val="0"/>
      <w:marRight w:val="0"/>
      <w:marTop w:val="0"/>
      <w:marBottom w:val="0"/>
      <w:divBdr>
        <w:top w:val="none" w:sz="0" w:space="0" w:color="auto"/>
        <w:left w:val="none" w:sz="0" w:space="0" w:color="auto"/>
        <w:bottom w:val="none" w:sz="0" w:space="0" w:color="auto"/>
        <w:right w:val="none" w:sz="0" w:space="0" w:color="auto"/>
      </w:divBdr>
    </w:div>
    <w:div w:id="1443190660">
      <w:bodyDiv w:val="1"/>
      <w:marLeft w:val="0"/>
      <w:marRight w:val="0"/>
      <w:marTop w:val="0"/>
      <w:marBottom w:val="0"/>
      <w:divBdr>
        <w:top w:val="none" w:sz="0" w:space="0" w:color="auto"/>
        <w:left w:val="none" w:sz="0" w:space="0" w:color="auto"/>
        <w:bottom w:val="none" w:sz="0" w:space="0" w:color="auto"/>
        <w:right w:val="none" w:sz="0" w:space="0" w:color="auto"/>
      </w:divBdr>
    </w:div>
    <w:div w:id="1496997925">
      <w:bodyDiv w:val="1"/>
      <w:marLeft w:val="0"/>
      <w:marRight w:val="0"/>
      <w:marTop w:val="0"/>
      <w:marBottom w:val="0"/>
      <w:divBdr>
        <w:top w:val="none" w:sz="0" w:space="0" w:color="auto"/>
        <w:left w:val="none" w:sz="0" w:space="0" w:color="auto"/>
        <w:bottom w:val="none" w:sz="0" w:space="0" w:color="auto"/>
        <w:right w:val="none" w:sz="0" w:space="0" w:color="auto"/>
      </w:divBdr>
    </w:div>
    <w:div w:id="1554655293">
      <w:bodyDiv w:val="1"/>
      <w:marLeft w:val="0"/>
      <w:marRight w:val="0"/>
      <w:marTop w:val="0"/>
      <w:marBottom w:val="0"/>
      <w:divBdr>
        <w:top w:val="none" w:sz="0" w:space="0" w:color="auto"/>
        <w:left w:val="none" w:sz="0" w:space="0" w:color="auto"/>
        <w:bottom w:val="none" w:sz="0" w:space="0" w:color="auto"/>
        <w:right w:val="none" w:sz="0" w:space="0" w:color="auto"/>
      </w:divBdr>
    </w:div>
    <w:div w:id="1592658274">
      <w:bodyDiv w:val="1"/>
      <w:marLeft w:val="0"/>
      <w:marRight w:val="0"/>
      <w:marTop w:val="0"/>
      <w:marBottom w:val="0"/>
      <w:divBdr>
        <w:top w:val="none" w:sz="0" w:space="0" w:color="auto"/>
        <w:left w:val="none" w:sz="0" w:space="0" w:color="auto"/>
        <w:bottom w:val="none" w:sz="0" w:space="0" w:color="auto"/>
        <w:right w:val="none" w:sz="0" w:space="0" w:color="auto"/>
      </w:divBdr>
    </w:div>
    <w:div w:id="1667707528">
      <w:bodyDiv w:val="1"/>
      <w:marLeft w:val="0"/>
      <w:marRight w:val="0"/>
      <w:marTop w:val="0"/>
      <w:marBottom w:val="0"/>
      <w:divBdr>
        <w:top w:val="none" w:sz="0" w:space="0" w:color="auto"/>
        <w:left w:val="none" w:sz="0" w:space="0" w:color="auto"/>
        <w:bottom w:val="none" w:sz="0" w:space="0" w:color="auto"/>
        <w:right w:val="none" w:sz="0" w:space="0" w:color="auto"/>
      </w:divBdr>
    </w:div>
    <w:div w:id="1676809721">
      <w:bodyDiv w:val="1"/>
      <w:marLeft w:val="0"/>
      <w:marRight w:val="0"/>
      <w:marTop w:val="0"/>
      <w:marBottom w:val="0"/>
      <w:divBdr>
        <w:top w:val="none" w:sz="0" w:space="0" w:color="auto"/>
        <w:left w:val="none" w:sz="0" w:space="0" w:color="auto"/>
        <w:bottom w:val="none" w:sz="0" w:space="0" w:color="auto"/>
        <w:right w:val="none" w:sz="0" w:space="0" w:color="auto"/>
      </w:divBdr>
    </w:div>
    <w:div w:id="1741249534">
      <w:bodyDiv w:val="1"/>
      <w:marLeft w:val="0"/>
      <w:marRight w:val="0"/>
      <w:marTop w:val="0"/>
      <w:marBottom w:val="0"/>
      <w:divBdr>
        <w:top w:val="none" w:sz="0" w:space="0" w:color="auto"/>
        <w:left w:val="none" w:sz="0" w:space="0" w:color="auto"/>
        <w:bottom w:val="none" w:sz="0" w:space="0" w:color="auto"/>
        <w:right w:val="none" w:sz="0" w:space="0" w:color="auto"/>
      </w:divBdr>
    </w:div>
    <w:div w:id="1854958616">
      <w:bodyDiv w:val="1"/>
      <w:marLeft w:val="0"/>
      <w:marRight w:val="0"/>
      <w:marTop w:val="0"/>
      <w:marBottom w:val="0"/>
      <w:divBdr>
        <w:top w:val="none" w:sz="0" w:space="0" w:color="auto"/>
        <w:left w:val="none" w:sz="0" w:space="0" w:color="auto"/>
        <w:bottom w:val="none" w:sz="0" w:space="0" w:color="auto"/>
        <w:right w:val="none" w:sz="0" w:space="0" w:color="auto"/>
      </w:divBdr>
    </w:div>
    <w:div w:id="1999727959">
      <w:bodyDiv w:val="1"/>
      <w:marLeft w:val="0"/>
      <w:marRight w:val="0"/>
      <w:marTop w:val="0"/>
      <w:marBottom w:val="0"/>
      <w:divBdr>
        <w:top w:val="none" w:sz="0" w:space="0" w:color="auto"/>
        <w:left w:val="none" w:sz="0" w:space="0" w:color="auto"/>
        <w:bottom w:val="none" w:sz="0" w:space="0" w:color="auto"/>
        <w:right w:val="none" w:sz="0" w:space="0" w:color="auto"/>
      </w:divBdr>
    </w:div>
    <w:div w:id="2001351312">
      <w:bodyDiv w:val="1"/>
      <w:marLeft w:val="0"/>
      <w:marRight w:val="0"/>
      <w:marTop w:val="0"/>
      <w:marBottom w:val="0"/>
      <w:divBdr>
        <w:top w:val="none" w:sz="0" w:space="0" w:color="auto"/>
        <w:left w:val="none" w:sz="0" w:space="0" w:color="auto"/>
        <w:bottom w:val="none" w:sz="0" w:space="0" w:color="auto"/>
        <w:right w:val="none" w:sz="0" w:space="0" w:color="auto"/>
      </w:divBdr>
    </w:div>
    <w:div w:id="2006467672">
      <w:bodyDiv w:val="1"/>
      <w:marLeft w:val="0"/>
      <w:marRight w:val="0"/>
      <w:marTop w:val="0"/>
      <w:marBottom w:val="0"/>
      <w:divBdr>
        <w:top w:val="none" w:sz="0" w:space="0" w:color="auto"/>
        <w:left w:val="none" w:sz="0" w:space="0" w:color="auto"/>
        <w:bottom w:val="none" w:sz="0" w:space="0" w:color="auto"/>
        <w:right w:val="none" w:sz="0" w:space="0" w:color="auto"/>
      </w:divBdr>
    </w:div>
    <w:div w:id="2059669440">
      <w:bodyDiv w:val="1"/>
      <w:marLeft w:val="0"/>
      <w:marRight w:val="0"/>
      <w:marTop w:val="0"/>
      <w:marBottom w:val="0"/>
      <w:divBdr>
        <w:top w:val="none" w:sz="0" w:space="0" w:color="auto"/>
        <w:left w:val="none" w:sz="0" w:space="0" w:color="auto"/>
        <w:bottom w:val="none" w:sz="0" w:space="0" w:color="auto"/>
        <w:right w:val="none" w:sz="0" w:space="0" w:color="auto"/>
      </w:divBdr>
    </w:div>
    <w:div w:id="21471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700D-B2DC-44BA-A313-E2054531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Наталья Н. Шевчук</cp:lastModifiedBy>
  <cp:revision>2</cp:revision>
  <dcterms:created xsi:type="dcterms:W3CDTF">2021-04-21T12:22:00Z</dcterms:created>
  <dcterms:modified xsi:type="dcterms:W3CDTF">2021-04-21T12:22:00Z</dcterms:modified>
</cp:coreProperties>
</file>