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2E3" w:rsidRDefault="00E032E3" w:rsidP="00E032E3">
      <w:pPr>
        <w:pStyle w:val="3"/>
        <w:rPr>
          <w:sz w:val="27"/>
        </w:rPr>
      </w:pPr>
      <w:bookmarkStart w:id="0" w:name="_GoBack"/>
      <w:r>
        <w:t>Таблиця. Перелік видів діяльності, стосовно яких здійснюються обмежувальні протиепідемічні заходи, пов’язані з поширенням на території України гострої респіраторної хвороби COVID-19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8"/>
        <w:gridCol w:w="1071"/>
        <w:gridCol w:w="5673"/>
        <w:gridCol w:w="1514"/>
      </w:tblGrid>
      <w:tr w:rsidR="00E032E3" w:rsidTr="00E032E3">
        <w:trPr>
          <w:tblHeader/>
          <w:tblCellSpacing w:w="15" w:type="dxa"/>
        </w:trPr>
        <w:tc>
          <w:tcPr>
            <w:tcW w:w="1230" w:type="dxa"/>
            <w:vAlign w:val="center"/>
            <w:hideMark/>
          </w:tcPr>
          <w:bookmarkEnd w:id="0"/>
          <w:p w:rsidR="00E032E3" w:rsidRDefault="00E032E3">
            <w:pPr>
              <w:pStyle w:val="a3"/>
              <w:jc w:val="center"/>
            </w:pPr>
            <w:r>
              <w:rPr>
                <w:rStyle w:val="a4"/>
              </w:rPr>
              <w:t>Код</w:t>
            </w:r>
          </w:p>
        </w:tc>
        <w:tc>
          <w:tcPr>
            <w:tcW w:w="111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rPr>
                <w:rStyle w:val="a4"/>
              </w:rPr>
              <w:t>Розділ</w:t>
            </w:r>
          </w:p>
        </w:tc>
        <w:tc>
          <w:tcPr>
            <w:tcW w:w="657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rPr>
                <w:rStyle w:val="a4"/>
              </w:rPr>
              <w:t>Назва</w:t>
            </w:r>
          </w:p>
        </w:tc>
        <w:tc>
          <w:tcPr>
            <w:tcW w:w="156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rPr>
                <w:rStyle w:val="a4"/>
              </w:rPr>
              <w:t>Довідник</w:t>
            </w:r>
          </w:p>
        </w:tc>
      </w:tr>
      <w:tr w:rsidR="00E032E3" w:rsidTr="00E032E3">
        <w:trPr>
          <w:tblCellSpacing w:w="15" w:type="dxa"/>
        </w:trPr>
        <w:tc>
          <w:tcPr>
            <w:tcW w:w="123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45.32</w:t>
            </w:r>
          </w:p>
        </w:tc>
        <w:tc>
          <w:tcPr>
            <w:tcW w:w="111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45</w:t>
            </w:r>
          </w:p>
        </w:tc>
        <w:tc>
          <w:tcPr>
            <w:tcW w:w="6570" w:type="dxa"/>
            <w:vAlign w:val="center"/>
            <w:hideMark/>
          </w:tcPr>
          <w:p w:rsidR="00E032E3" w:rsidRDefault="00E032E3">
            <w:pPr>
              <w:pStyle w:val="a3"/>
            </w:pPr>
            <w:r>
              <w:t>Роздрібна торгівля деталями та приладдям для автотранспортних засобів</w:t>
            </w:r>
          </w:p>
        </w:tc>
        <w:tc>
          <w:tcPr>
            <w:tcW w:w="156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2010</w:t>
            </w:r>
          </w:p>
        </w:tc>
      </w:tr>
      <w:tr w:rsidR="00E032E3" w:rsidTr="00E032E3">
        <w:trPr>
          <w:tblCellSpacing w:w="15" w:type="dxa"/>
        </w:trPr>
        <w:tc>
          <w:tcPr>
            <w:tcW w:w="123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47.19</w:t>
            </w:r>
          </w:p>
        </w:tc>
        <w:tc>
          <w:tcPr>
            <w:tcW w:w="111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47</w:t>
            </w:r>
          </w:p>
        </w:tc>
        <w:tc>
          <w:tcPr>
            <w:tcW w:w="6570" w:type="dxa"/>
            <w:vAlign w:val="center"/>
            <w:hideMark/>
          </w:tcPr>
          <w:p w:rsidR="00E032E3" w:rsidRDefault="00E032E3">
            <w:pPr>
              <w:pStyle w:val="a3"/>
            </w:pPr>
            <w:r>
              <w:t>Інші види роздрібної торгівлі в неспеціалізованих магазинах</w:t>
            </w:r>
          </w:p>
        </w:tc>
        <w:tc>
          <w:tcPr>
            <w:tcW w:w="156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2010</w:t>
            </w:r>
          </w:p>
        </w:tc>
      </w:tr>
      <w:tr w:rsidR="00E032E3" w:rsidTr="00E032E3">
        <w:trPr>
          <w:tblCellSpacing w:w="15" w:type="dxa"/>
        </w:trPr>
        <w:tc>
          <w:tcPr>
            <w:tcW w:w="123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47.41</w:t>
            </w:r>
          </w:p>
        </w:tc>
        <w:tc>
          <w:tcPr>
            <w:tcW w:w="111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47</w:t>
            </w:r>
          </w:p>
        </w:tc>
        <w:tc>
          <w:tcPr>
            <w:tcW w:w="6570" w:type="dxa"/>
            <w:vAlign w:val="center"/>
            <w:hideMark/>
          </w:tcPr>
          <w:p w:rsidR="00E032E3" w:rsidRDefault="00E032E3">
            <w:pPr>
              <w:pStyle w:val="a3"/>
            </w:pPr>
            <w:r>
              <w:t>Роздрібна торгівля комп’ютерами, периферійним устаткуванням і програмним забезпеченням у спеціалізованих магазинах</w:t>
            </w:r>
          </w:p>
        </w:tc>
        <w:tc>
          <w:tcPr>
            <w:tcW w:w="156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2010</w:t>
            </w:r>
          </w:p>
        </w:tc>
      </w:tr>
      <w:tr w:rsidR="00E032E3" w:rsidTr="00E032E3">
        <w:trPr>
          <w:tblCellSpacing w:w="15" w:type="dxa"/>
        </w:trPr>
        <w:tc>
          <w:tcPr>
            <w:tcW w:w="123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47.43</w:t>
            </w:r>
          </w:p>
        </w:tc>
        <w:tc>
          <w:tcPr>
            <w:tcW w:w="111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47</w:t>
            </w:r>
          </w:p>
        </w:tc>
        <w:tc>
          <w:tcPr>
            <w:tcW w:w="6570" w:type="dxa"/>
            <w:vAlign w:val="center"/>
            <w:hideMark/>
          </w:tcPr>
          <w:p w:rsidR="00E032E3" w:rsidRDefault="00E032E3">
            <w:pPr>
              <w:pStyle w:val="a3"/>
            </w:pPr>
            <w:r>
              <w:t>Роздрібна торгівля в спеціалізованих магазинах електронною апаратурою побутового призначення для приймання, записування, відтворення звуку й зображення</w:t>
            </w:r>
          </w:p>
        </w:tc>
        <w:tc>
          <w:tcPr>
            <w:tcW w:w="156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2010</w:t>
            </w:r>
          </w:p>
        </w:tc>
      </w:tr>
      <w:tr w:rsidR="00E032E3" w:rsidTr="00E032E3">
        <w:trPr>
          <w:tblCellSpacing w:w="15" w:type="dxa"/>
        </w:trPr>
        <w:tc>
          <w:tcPr>
            <w:tcW w:w="123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47.51</w:t>
            </w:r>
          </w:p>
        </w:tc>
        <w:tc>
          <w:tcPr>
            <w:tcW w:w="111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47</w:t>
            </w:r>
          </w:p>
        </w:tc>
        <w:tc>
          <w:tcPr>
            <w:tcW w:w="6570" w:type="dxa"/>
            <w:vAlign w:val="center"/>
            <w:hideMark/>
          </w:tcPr>
          <w:p w:rsidR="00E032E3" w:rsidRDefault="00E032E3">
            <w:pPr>
              <w:pStyle w:val="a3"/>
            </w:pPr>
            <w:r>
              <w:t>Роздрібна торгівля текстильними товарами в спеціалізованих магазинах</w:t>
            </w:r>
          </w:p>
        </w:tc>
        <w:tc>
          <w:tcPr>
            <w:tcW w:w="156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2010</w:t>
            </w:r>
          </w:p>
        </w:tc>
      </w:tr>
      <w:tr w:rsidR="00E032E3" w:rsidTr="00E032E3">
        <w:trPr>
          <w:tblCellSpacing w:w="15" w:type="dxa"/>
        </w:trPr>
        <w:tc>
          <w:tcPr>
            <w:tcW w:w="123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47.52</w:t>
            </w:r>
          </w:p>
        </w:tc>
        <w:tc>
          <w:tcPr>
            <w:tcW w:w="111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47</w:t>
            </w:r>
          </w:p>
        </w:tc>
        <w:tc>
          <w:tcPr>
            <w:tcW w:w="6570" w:type="dxa"/>
            <w:vAlign w:val="center"/>
            <w:hideMark/>
          </w:tcPr>
          <w:p w:rsidR="00E032E3" w:rsidRDefault="00E032E3">
            <w:pPr>
              <w:pStyle w:val="a3"/>
            </w:pPr>
            <w:r>
              <w:t>Роздрібна торгівля залізними виробами, будівельними матеріалами та санітарно-технічними виробами в спеціалізованих магазинах</w:t>
            </w:r>
          </w:p>
        </w:tc>
        <w:tc>
          <w:tcPr>
            <w:tcW w:w="156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2010</w:t>
            </w:r>
          </w:p>
        </w:tc>
      </w:tr>
      <w:tr w:rsidR="00E032E3" w:rsidTr="00E032E3">
        <w:trPr>
          <w:tblCellSpacing w:w="15" w:type="dxa"/>
        </w:trPr>
        <w:tc>
          <w:tcPr>
            <w:tcW w:w="123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47.53</w:t>
            </w:r>
          </w:p>
        </w:tc>
        <w:tc>
          <w:tcPr>
            <w:tcW w:w="111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47</w:t>
            </w:r>
          </w:p>
        </w:tc>
        <w:tc>
          <w:tcPr>
            <w:tcW w:w="6570" w:type="dxa"/>
            <w:vAlign w:val="center"/>
            <w:hideMark/>
          </w:tcPr>
          <w:p w:rsidR="00E032E3" w:rsidRDefault="00E032E3">
            <w:pPr>
              <w:pStyle w:val="a3"/>
            </w:pPr>
            <w:r>
              <w:t>Роздрібна торгівля килимами, килимовими виробами, покриттям для стін і підлоги в спеціалізованих магазинах</w:t>
            </w:r>
          </w:p>
        </w:tc>
        <w:tc>
          <w:tcPr>
            <w:tcW w:w="156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2010</w:t>
            </w:r>
          </w:p>
        </w:tc>
      </w:tr>
      <w:tr w:rsidR="00E032E3" w:rsidTr="00E032E3">
        <w:trPr>
          <w:tblCellSpacing w:w="15" w:type="dxa"/>
        </w:trPr>
        <w:tc>
          <w:tcPr>
            <w:tcW w:w="123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47.54</w:t>
            </w:r>
          </w:p>
        </w:tc>
        <w:tc>
          <w:tcPr>
            <w:tcW w:w="111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47</w:t>
            </w:r>
          </w:p>
        </w:tc>
        <w:tc>
          <w:tcPr>
            <w:tcW w:w="6570" w:type="dxa"/>
            <w:vAlign w:val="center"/>
            <w:hideMark/>
          </w:tcPr>
          <w:p w:rsidR="00E032E3" w:rsidRDefault="00E032E3">
            <w:pPr>
              <w:pStyle w:val="a3"/>
            </w:pPr>
            <w:r>
              <w:t>Роздрібна торгівля побутовими електротоварами в спеціалізованих магазинах</w:t>
            </w:r>
          </w:p>
        </w:tc>
        <w:tc>
          <w:tcPr>
            <w:tcW w:w="156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2010</w:t>
            </w:r>
          </w:p>
        </w:tc>
      </w:tr>
      <w:tr w:rsidR="00E032E3" w:rsidTr="00E032E3">
        <w:trPr>
          <w:tblCellSpacing w:w="15" w:type="dxa"/>
        </w:trPr>
        <w:tc>
          <w:tcPr>
            <w:tcW w:w="123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47.59</w:t>
            </w:r>
          </w:p>
        </w:tc>
        <w:tc>
          <w:tcPr>
            <w:tcW w:w="111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47</w:t>
            </w:r>
          </w:p>
        </w:tc>
        <w:tc>
          <w:tcPr>
            <w:tcW w:w="6570" w:type="dxa"/>
            <w:vAlign w:val="center"/>
            <w:hideMark/>
          </w:tcPr>
          <w:p w:rsidR="00E032E3" w:rsidRDefault="00E032E3">
            <w:pPr>
              <w:pStyle w:val="a3"/>
            </w:pPr>
            <w:r>
              <w:t>Роздрібна торгівля меблями, освітлювальним приладдям та іншими товарами для дому в спеціалізованих магазинах</w:t>
            </w:r>
          </w:p>
        </w:tc>
        <w:tc>
          <w:tcPr>
            <w:tcW w:w="156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2010</w:t>
            </w:r>
          </w:p>
        </w:tc>
      </w:tr>
      <w:tr w:rsidR="00E032E3" w:rsidTr="00E032E3">
        <w:trPr>
          <w:tblCellSpacing w:w="15" w:type="dxa"/>
        </w:trPr>
        <w:tc>
          <w:tcPr>
            <w:tcW w:w="123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47.61</w:t>
            </w:r>
          </w:p>
        </w:tc>
        <w:tc>
          <w:tcPr>
            <w:tcW w:w="111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47</w:t>
            </w:r>
          </w:p>
        </w:tc>
        <w:tc>
          <w:tcPr>
            <w:tcW w:w="6570" w:type="dxa"/>
            <w:vAlign w:val="center"/>
            <w:hideMark/>
          </w:tcPr>
          <w:p w:rsidR="00E032E3" w:rsidRDefault="00E032E3">
            <w:pPr>
              <w:pStyle w:val="a3"/>
            </w:pPr>
            <w:r>
              <w:t>Роздрібна торгівля книгами в спеціалізованих магазинах</w:t>
            </w:r>
          </w:p>
        </w:tc>
        <w:tc>
          <w:tcPr>
            <w:tcW w:w="156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2010</w:t>
            </w:r>
          </w:p>
        </w:tc>
      </w:tr>
      <w:tr w:rsidR="00E032E3" w:rsidTr="00E032E3">
        <w:trPr>
          <w:tblCellSpacing w:w="15" w:type="dxa"/>
        </w:trPr>
        <w:tc>
          <w:tcPr>
            <w:tcW w:w="123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47.63</w:t>
            </w:r>
          </w:p>
        </w:tc>
        <w:tc>
          <w:tcPr>
            <w:tcW w:w="111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47</w:t>
            </w:r>
          </w:p>
        </w:tc>
        <w:tc>
          <w:tcPr>
            <w:tcW w:w="6570" w:type="dxa"/>
            <w:vAlign w:val="center"/>
            <w:hideMark/>
          </w:tcPr>
          <w:p w:rsidR="00E032E3" w:rsidRDefault="00E032E3">
            <w:pPr>
              <w:pStyle w:val="a3"/>
            </w:pPr>
            <w:r>
              <w:t>Роздрібна торгівля аудіо– та відеозаписами в спеціалізованих магазинах</w:t>
            </w:r>
          </w:p>
        </w:tc>
        <w:tc>
          <w:tcPr>
            <w:tcW w:w="156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2010</w:t>
            </w:r>
          </w:p>
        </w:tc>
      </w:tr>
      <w:tr w:rsidR="00E032E3" w:rsidTr="00E032E3">
        <w:trPr>
          <w:tblCellSpacing w:w="15" w:type="dxa"/>
        </w:trPr>
        <w:tc>
          <w:tcPr>
            <w:tcW w:w="123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47.64</w:t>
            </w:r>
          </w:p>
        </w:tc>
        <w:tc>
          <w:tcPr>
            <w:tcW w:w="111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47</w:t>
            </w:r>
          </w:p>
        </w:tc>
        <w:tc>
          <w:tcPr>
            <w:tcW w:w="6570" w:type="dxa"/>
            <w:vAlign w:val="center"/>
            <w:hideMark/>
          </w:tcPr>
          <w:p w:rsidR="00E032E3" w:rsidRDefault="00E032E3">
            <w:pPr>
              <w:pStyle w:val="a3"/>
            </w:pPr>
            <w:r>
              <w:t>Роздрібна торгівля спортивним інвентарем у спеціалізованих магазинах</w:t>
            </w:r>
          </w:p>
        </w:tc>
        <w:tc>
          <w:tcPr>
            <w:tcW w:w="156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2010</w:t>
            </w:r>
          </w:p>
        </w:tc>
      </w:tr>
      <w:tr w:rsidR="00E032E3" w:rsidTr="00E032E3">
        <w:trPr>
          <w:tblCellSpacing w:w="15" w:type="dxa"/>
        </w:trPr>
        <w:tc>
          <w:tcPr>
            <w:tcW w:w="123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47.65</w:t>
            </w:r>
          </w:p>
        </w:tc>
        <w:tc>
          <w:tcPr>
            <w:tcW w:w="111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47</w:t>
            </w:r>
          </w:p>
        </w:tc>
        <w:tc>
          <w:tcPr>
            <w:tcW w:w="6570" w:type="dxa"/>
            <w:vAlign w:val="center"/>
            <w:hideMark/>
          </w:tcPr>
          <w:p w:rsidR="00E032E3" w:rsidRDefault="00E032E3">
            <w:pPr>
              <w:pStyle w:val="a3"/>
            </w:pPr>
            <w:r>
              <w:t>Роздрібна торгівля іграми та іграшками в спеціалізованих магазинах</w:t>
            </w:r>
          </w:p>
        </w:tc>
        <w:tc>
          <w:tcPr>
            <w:tcW w:w="156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2010</w:t>
            </w:r>
          </w:p>
        </w:tc>
      </w:tr>
      <w:tr w:rsidR="00E032E3" w:rsidTr="00E032E3">
        <w:trPr>
          <w:tblCellSpacing w:w="15" w:type="dxa"/>
        </w:trPr>
        <w:tc>
          <w:tcPr>
            <w:tcW w:w="123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47.71</w:t>
            </w:r>
          </w:p>
        </w:tc>
        <w:tc>
          <w:tcPr>
            <w:tcW w:w="111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47</w:t>
            </w:r>
          </w:p>
        </w:tc>
        <w:tc>
          <w:tcPr>
            <w:tcW w:w="6570" w:type="dxa"/>
            <w:vAlign w:val="center"/>
            <w:hideMark/>
          </w:tcPr>
          <w:p w:rsidR="00E032E3" w:rsidRDefault="00E032E3">
            <w:pPr>
              <w:pStyle w:val="a3"/>
            </w:pPr>
            <w:r>
              <w:t>Роздрібна торгівля одягом у спеціалізованих магазинах</w:t>
            </w:r>
          </w:p>
        </w:tc>
        <w:tc>
          <w:tcPr>
            <w:tcW w:w="156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2010</w:t>
            </w:r>
          </w:p>
        </w:tc>
      </w:tr>
      <w:tr w:rsidR="00E032E3" w:rsidTr="00E032E3">
        <w:trPr>
          <w:tblCellSpacing w:w="15" w:type="dxa"/>
        </w:trPr>
        <w:tc>
          <w:tcPr>
            <w:tcW w:w="123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47.72</w:t>
            </w:r>
          </w:p>
        </w:tc>
        <w:tc>
          <w:tcPr>
            <w:tcW w:w="111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47</w:t>
            </w:r>
          </w:p>
        </w:tc>
        <w:tc>
          <w:tcPr>
            <w:tcW w:w="6570" w:type="dxa"/>
            <w:vAlign w:val="center"/>
            <w:hideMark/>
          </w:tcPr>
          <w:p w:rsidR="00E032E3" w:rsidRDefault="00E032E3">
            <w:pPr>
              <w:pStyle w:val="a3"/>
            </w:pPr>
            <w:r>
              <w:t>Роздрібна торгівля взуттям і шкіряними виробами в спеціалізованих магазинах</w:t>
            </w:r>
          </w:p>
        </w:tc>
        <w:tc>
          <w:tcPr>
            <w:tcW w:w="156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2010</w:t>
            </w:r>
          </w:p>
        </w:tc>
      </w:tr>
      <w:tr w:rsidR="00E032E3" w:rsidTr="00E032E3">
        <w:trPr>
          <w:tblCellSpacing w:w="15" w:type="dxa"/>
        </w:trPr>
        <w:tc>
          <w:tcPr>
            <w:tcW w:w="123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47.76</w:t>
            </w:r>
          </w:p>
        </w:tc>
        <w:tc>
          <w:tcPr>
            <w:tcW w:w="111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47</w:t>
            </w:r>
          </w:p>
        </w:tc>
        <w:tc>
          <w:tcPr>
            <w:tcW w:w="6570" w:type="dxa"/>
            <w:vAlign w:val="center"/>
            <w:hideMark/>
          </w:tcPr>
          <w:p w:rsidR="00E032E3" w:rsidRDefault="00E032E3">
            <w:pPr>
              <w:pStyle w:val="a3"/>
            </w:pPr>
            <w:r>
              <w:t>Роздрібна торгівля квітами, рослинами, насінням, добривами, домашніми тваринами та кормами для них у спеціалізованих магазинах</w:t>
            </w:r>
          </w:p>
        </w:tc>
        <w:tc>
          <w:tcPr>
            <w:tcW w:w="156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2010</w:t>
            </w:r>
          </w:p>
        </w:tc>
      </w:tr>
      <w:tr w:rsidR="00E032E3" w:rsidTr="00E032E3">
        <w:trPr>
          <w:tblCellSpacing w:w="15" w:type="dxa"/>
        </w:trPr>
        <w:tc>
          <w:tcPr>
            <w:tcW w:w="123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47.77</w:t>
            </w:r>
          </w:p>
        </w:tc>
        <w:tc>
          <w:tcPr>
            <w:tcW w:w="111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47</w:t>
            </w:r>
          </w:p>
        </w:tc>
        <w:tc>
          <w:tcPr>
            <w:tcW w:w="6570" w:type="dxa"/>
            <w:vAlign w:val="center"/>
            <w:hideMark/>
          </w:tcPr>
          <w:p w:rsidR="00E032E3" w:rsidRDefault="00E032E3">
            <w:pPr>
              <w:pStyle w:val="a3"/>
            </w:pPr>
            <w:r>
              <w:t>Роздрібна торгівля годинниками та ювелірними виробами в спеціалізованих магазинах</w:t>
            </w:r>
          </w:p>
        </w:tc>
        <w:tc>
          <w:tcPr>
            <w:tcW w:w="156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2010</w:t>
            </w:r>
          </w:p>
        </w:tc>
      </w:tr>
      <w:tr w:rsidR="00E032E3" w:rsidTr="00E032E3">
        <w:trPr>
          <w:tblCellSpacing w:w="15" w:type="dxa"/>
        </w:trPr>
        <w:tc>
          <w:tcPr>
            <w:tcW w:w="123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47.78</w:t>
            </w:r>
          </w:p>
        </w:tc>
        <w:tc>
          <w:tcPr>
            <w:tcW w:w="111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47</w:t>
            </w:r>
          </w:p>
        </w:tc>
        <w:tc>
          <w:tcPr>
            <w:tcW w:w="6570" w:type="dxa"/>
            <w:vAlign w:val="center"/>
            <w:hideMark/>
          </w:tcPr>
          <w:p w:rsidR="00E032E3" w:rsidRDefault="00E032E3">
            <w:pPr>
              <w:pStyle w:val="a3"/>
            </w:pPr>
            <w:r>
              <w:t>Роздрібна торгівля іншими невживаними товарами в спеціалізованих магазинах</w:t>
            </w:r>
          </w:p>
        </w:tc>
        <w:tc>
          <w:tcPr>
            <w:tcW w:w="156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2010</w:t>
            </w:r>
          </w:p>
        </w:tc>
      </w:tr>
      <w:tr w:rsidR="00E032E3" w:rsidTr="00E032E3">
        <w:trPr>
          <w:tblCellSpacing w:w="15" w:type="dxa"/>
        </w:trPr>
        <w:tc>
          <w:tcPr>
            <w:tcW w:w="123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47.79</w:t>
            </w:r>
          </w:p>
        </w:tc>
        <w:tc>
          <w:tcPr>
            <w:tcW w:w="111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47</w:t>
            </w:r>
          </w:p>
        </w:tc>
        <w:tc>
          <w:tcPr>
            <w:tcW w:w="6570" w:type="dxa"/>
            <w:vAlign w:val="center"/>
            <w:hideMark/>
          </w:tcPr>
          <w:p w:rsidR="00E032E3" w:rsidRDefault="00E032E3">
            <w:pPr>
              <w:pStyle w:val="a3"/>
            </w:pPr>
            <w:r>
              <w:t>Роздрібна торгівля уживаними товарами в магазинах</w:t>
            </w:r>
          </w:p>
        </w:tc>
        <w:tc>
          <w:tcPr>
            <w:tcW w:w="156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2010</w:t>
            </w:r>
          </w:p>
        </w:tc>
      </w:tr>
      <w:tr w:rsidR="00E032E3" w:rsidTr="00E032E3">
        <w:trPr>
          <w:tblCellSpacing w:w="15" w:type="dxa"/>
        </w:trPr>
        <w:tc>
          <w:tcPr>
            <w:tcW w:w="123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lastRenderedPageBreak/>
              <w:t>47.82</w:t>
            </w:r>
          </w:p>
        </w:tc>
        <w:tc>
          <w:tcPr>
            <w:tcW w:w="111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47</w:t>
            </w:r>
          </w:p>
        </w:tc>
        <w:tc>
          <w:tcPr>
            <w:tcW w:w="6570" w:type="dxa"/>
            <w:vAlign w:val="center"/>
            <w:hideMark/>
          </w:tcPr>
          <w:p w:rsidR="00E032E3" w:rsidRDefault="00E032E3">
            <w:pPr>
              <w:pStyle w:val="a3"/>
            </w:pPr>
            <w:r>
              <w:t>Роздрібна торгівля з лотків і на ринках текстильними виробами, одягом і взуттям</w:t>
            </w:r>
          </w:p>
        </w:tc>
        <w:tc>
          <w:tcPr>
            <w:tcW w:w="156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2010</w:t>
            </w:r>
          </w:p>
        </w:tc>
      </w:tr>
      <w:tr w:rsidR="00E032E3" w:rsidTr="00E032E3">
        <w:trPr>
          <w:tblCellSpacing w:w="15" w:type="dxa"/>
        </w:trPr>
        <w:tc>
          <w:tcPr>
            <w:tcW w:w="123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47.89</w:t>
            </w:r>
          </w:p>
        </w:tc>
        <w:tc>
          <w:tcPr>
            <w:tcW w:w="111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47</w:t>
            </w:r>
          </w:p>
        </w:tc>
        <w:tc>
          <w:tcPr>
            <w:tcW w:w="6570" w:type="dxa"/>
            <w:vAlign w:val="center"/>
            <w:hideMark/>
          </w:tcPr>
          <w:p w:rsidR="00E032E3" w:rsidRDefault="00E032E3">
            <w:pPr>
              <w:pStyle w:val="a3"/>
            </w:pPr>
            <w:r>
              <w:t>Роздрібна торгівля з лотків і на ринках іншими товарами</w:t>
            </w:r>
          </w:p>
        </w:tc>
        <w:tc>
          <w:tcPr>
            <w:tcW w:w="156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2010</w:t>
            </w:r>
          </w:p>
        </w:tc>
      </w:tr>
      <w:tr w:rsidR="00E032E3" w:rsidTr="00E032E3">
        <w:trPr>
          <w:tblCellSpacing w:w="15" w:type="dxa"/>
        </w:trPr>
        <w:tc>
          <w:tcPr>
            <w:tcW w:w="123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47.99</w:t>
            </w:r>
          </w:p>
        </w:tc>
        <w:tc>
          <w:tcPr>
            <w:tcW w:w="111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47</w:t>
            </w:r>
          </w:p>
        </w:tc>
        <w:tc>
          <w:tcPr>
            <w:tcW w:w="6570" w:type="dxa"/>
            <w:vAlign w:val="center"/>
            <w:hideMark/>
          </w:tcPr>
          <w:p w:rsidR="00E032E3" w:rsidRDefault="00E032E3">
            <w:pPr>
              <w:pStyle w:val="a3"/>
            </w:pPr>
            <w:r>
              <w:t>Інші види роздрібної торгівлі поза магазинами</w:t>
            </w:r>
          </w:p>
        </w:tc>
        <w:tc>
          <w:tcPr>
            <w:tcW w:w="156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2010</w:t>
            </w:r>
          </w:p>
        </w:tc>
      </w:tr>
      <w:tr w:rsidR="00E032E3" w:rsidTr="00E032E3">
        <w:trPr>
          <w:tblCellSpacing w:w="15" w:type="dxa"/>
        </w:trPr>
        <w:tc>
          <w:tcPr>
            <w:tcW w:w="123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56.10</w:t>
            </w:r>
          </w:p>
        </w:tc>
        <w:tc>
          <w:tcPr>
            <w:tcW w:w="111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56</w:t>
            </w:r>
          </w:p>
        </w:tc>
        <w:tc>
          <w:tcPr>
            <w:tcW w:w="6570" w:type="dxa"/>
            <w:vAlign w:val="center"/>
            <w:hideMark/>
          </w:tcPr>
          <w:p w:rsidR="00E032E3" w:rsidRDefault="00E032E3">
            <w:pPr>
              <w:pStyle w:val="a3"/>
            </w:pPr>
            <w:r>
              <w:t>Діяльність ресторанів, надання послуг мобільного харчування</w:t>
            </w:r>
          </w:p>
        </w:tc>
        <w:tc>
          <w:tcPr>
            <w:tcW w:w="156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2010</w:t>
            </w:r>
          </w:p>
        </w:tc>
      </w:tr>
      <w:tr w:rsidR="00E032E3" w:rsidTr="00E032E3">
        <w:trPr>
          <w:tblCellSpacing w:w="15" w:type="dxa"/>
        </w:trPr>
        <w:tc>
          <w:tcPr>
            <w:tcW w:w="123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56.21</w:t>
            </w:r>
          </w:p>
        </w:tc>
        <w:tc>
          <w:tcPr>
            <w:tcW w:w="111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56</w:t>
            </w:r>
          </w:p>
        </w:tc>
        <w:tc>
          <w:tcPr>
            <w:tcW w:w="6570" w:type="dxa"/>
            <w:vAlign w:val="center"/>
            <w:hideMark/>
          </w:tcPr>
          <w:p w:rsidR="00E032E3" w:rsidRDefault="00E032E3">
            <w:pPr>
              <w:pStyle w:val="a3"/>
            </w:pPr>
            <w:r>
              <w:t>Постачання готових страв для подій</w:t>
            </w:r>
          </w:p>
        </w:tc>
        <w:tc>
          <w:tcPr>
            <w:tcW w:w="156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2010</w:t>
            </w:r>
          </w:p>
        </w:tc>
      </w:tr>
      <w:tr w:rsidR="00E032E3" w:rsidTr="00E032E3">
        <w:trPr>
          <w:tblCellSpacing w:w="15" w:type="dxa"/>
        </w:trPr>
        <w:tc>
          <w:tcPr>
            <w:tcW w:w="123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56.30</w:t>
            </w:r>
          </w:p>
        </w:tc>
        <w:tc>
          <w:tcPr>
            <w:tcW w:w="111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56</w:t>
            </w:r>
          </w:p>
        </w:tc>
        <w:tc>
          <w:tcPr>
            <w:tcW w:w="6570" w:type="dxa"/>
            <w:vAlign w:val="center"/>
            <w:hideMark/>
          </w:tcPr>
          <w:p w:rsidR="00E032E3" w:rsidRDefault="00E032E3">
            <w:pPr>
              <w:pStyle w:val="a3"/>
            </w:pPr>
            <w:r>
              <w:t>Обслуговування напоями</w:t>
            </w:r>
          </w:p>
        </w:tc>
        <w:tc>
          <w:tcPr>
            <w:tcW w:w="156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2010</w:t>
            </w:r>
          </w:p>
        </w:tc>
      </w:tr>
      <w:tr w:rsidR="00E032E3" w:rsidTr="00E032E3">
        <w:trPr>
          <w:tblCellSpacing w:w="15" w:type="dxa"/>
        </w:trPr>
        <w:tc>
          <w:tcPr>
            <w:tcW w:w="123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59.14</w:t>
            </w:r>
          </w:p>
        </w:tc>
        <w:tc>
          <w:tcPr>
            <w:tcW w:w="111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59</w:t>
            </w:r>
          </w:p>
        </w:tc>
        <w:tc>
          <w:tcPr>
            <w:tcW w:w="6570" w:type="dxa"/>
            <w:vAlign w:val="center"/>
            <w:hideMark/>
          </w:tcPr>
          <w:p w:rsidR="00E032E3" w:rsidRDefault="00E032E3">
            <w:pPr>
              <w:pStyle w:val="a3"/>
            </w:pPr>
            <w:r>
              <w:t>Демонстрація кінофільмів</w:t>
            </w:r>
          </w:p>
        </w:tc>
        <w:tc>
          <w:tcPr>
            <w:tcW w:w="156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2010</w:t>
            </w:r>
          </w:p>
        </w:tc>
      </w:tr>
      <w:tr w:rsidR="00E032E3" w:rsidTr="00E032E3">
        <w:trPr>
          <w:tblCellSpacing w:w="15" w:type="dxa"/>
        </w:trPr>
        <w:tc>
          <w:tcPr>
            <w:tcW w:w="123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82.30</w:t>
            </w:r>
          </w:p>
        </w:tc>
        <w:tc>
          <w:tcPr>
            <w:tcW w:w="111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82</w:t>
            </w:r>
          </w:p>
        </w:tc>
        <w:tc>
          <w:tcPr>
            <w:tcW w:w="6570" w:type="dxa"/>
            <w:vAlign w:val="center"/>
            <w:hideMark/>
          </w:tcPr>
          <w:p w:rsidR="00E032E3" w:rsidRDefault="00E032E3">
            <w:pPr>
              <w:pStyle w:val="a3"/>
            </w:pPr>
            <w:r>
              <w:t>Організування конгресів і торговельних виставок</w:t>
            </w:r>
          </w:p>
        </w:tc>
        <w:tc>
          <w:tcPr>
            <w:tcW w:w="156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2010</w:t>
            </w:r>
          </w:p>
        </w:tc>
      </w:tr>
      <w:tr w:rsidR="00E032E3" w:rsidTr="00E032E3">
        <w:trPr>
          <w:tblCellSpacing w:w="15" w:type="dxa"/>
        </w:trPr>
        <w:tc>
          <w:tcPr>
            <w:tcW w:w="123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90.01</w:t>
            </w:r>
          </w:p>
        </w:tc>
        <w:tc>
          <w:tcPr>
            <w:tcW w:w="111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90</w:t>
            </w:r>
          </w:p>
        </w:tc>
        <w:tc>
          <w:tcPr>
            <w:tcW w:w="6570" w:type="dxa"/>
            <w:vAlign w:val="center"/>
            <w:hideMark/>
          </w:tcPr>
          <w:p w:rsidR="00E032E3" w:rsidRDefault="00E032E3">
            <w:pPr>
              <w:pStyle w:val="a3"/>
            </w:pPr>
            <w:r>
              <w:t>Театральна та концертна діяльність</w:t>
            </w:r>
          </w:p>
        </w:tc>
        <w:tc>
          <w:tcPr>
            <w:tcW w:w="156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2010</w:t>
            </w:r>
          </w:p>
        </w:tc>
      </w:tr>
      <w:tr w:rsidR="00E032E3" w:rsidTr="00E032E3">
        <w:trPr>
          <w:tblCellSpacing w:w="15" w:type="dxa"/>
        </w:trPr>
        <w:tc>
          <w:tcPr>
            <w:tcW w:w="123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90.02</w:t>
            </w:r>
          </w:p>
        </w:tc>
        <w:tc>
          <w:tcPr>
            <w:tcW w:w="111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90</w:t>
            </w:r>
          </w:p>
        </w:tc>
        <w:tc>
          <w:tcPr>
            <w:tcW w:w="6570" w:type="dxa"/>
            <w:vAlign w:val="center"/>
            <w:hideMark/>
          </w:tcPr>
          <w:p w:rsidR="00E032E3" w:rsidRDefault="00E032E3">
            <w:pPr>
              <w:pStyle w:val="a3"/>
            </w:pPr>
            <w:r>
              <w:t>Діяльність щодо підтримання театральних і концертних заходів</w:t>
            </w:r>
          </w:p>
        </w:tc>
        <w:tc>
          <w:tcPr>
            <w:tcW w:w="156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2010</w:t>
            </w:r>
          </w:p>
        </w:tc>
      </w:tr>
      <w:tr w:rsidR="00E032E3" w:rsidTr="00E032E3">
        <w:trPr>
          <w:tblCellSpacing w:w="15" w:type="dxa"/>
        </w:trPr>
        <w:tc>
          <w:tcPr>
            <w:tcW w:w="123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90.04</w:t>
            </w:r>
          </w:p>
        </w:tc>
        <w:tc>
          <w:tcPr>
            <w:tcW w:w="111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90</w:t>
            </w:r>
          </w:p>
        </w:tc>
        <w:tc>
          <w:tcPr>
            <w:tcW w:w="6570" w:type="dxa"/>
            <w:vAlign w:val="center"/>
            <w:hideMark/>
          </w:tcPr>
          <w:p w:rsidR="00E032E3" w:rsidRDefault="00E032E3">
            <w:pPr>
              <w:pStyle w:val="a3"/>
            </w:pPr>
            <w:r>
              <w:t>Функціювання театральних і концертних залів</w:t>
            </w:r>
          </w:p>
        </w:tc>
        <w:tc>
          <w:tcPr>
            <w:tcW w:w="156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2010</w:t>
            </w:r>
          </w:p>
        </w:tc>
      </w:tr>
      <w:tr w:rsidR="00E032E3" w:rsidTr="00E032E3">
        <w:trPr>
          <w:tblCellSpacing w:w="15" w:type="dxa"/>
        </w:trPr>
        <w:tc>
          <w:tcPr>
            <w:tcW w:w="123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91.01</w:t>
            </w:r>
          </w:p>
        </w:tc>
        <w:tc>
          <w:tcPr>
            <w:tcW w:w="111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91</w:t>
            </w:r>
          </w:p>
        </w:tc>
        <w:tc>
          <w:tcPr>
            <w:tcW w:w="6570" w:type="dxa"/>
            <w:vAlign w:val="center"/>
            <w:hideMark/>
          </w:tcPr>
          <w:p w:rsidR="00E032E3" w:rsidRDefault="00E032E3">
            <w:pPr>
              <w:pStyle w:val="a3"/>
            </w:pPr>
            <w:r>
              <w:t>Функціювання бібліотек і архівів</w:t>
            </w:r>
          </w:p>
        </w:tc>
        <w:tc>
          <w:tcPr>
            <w:tcW w:w="156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2010</w:t>
            </w:r>
          </w:p>
        </w:tc>
      </w:tr>
      <w:tr w:rsidR="00E032E3" w:rsidTr="00E032E3">
        <w:trPr>
          <w:tblCellSpacing w:w="15" w:type="dxa"/>
        </w:trPr>
        <w:tc>
          <w:tcPr>
            <w:tcW w:w="123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91.02</w:t>
            </w:r>
          </w:p>
        </w:tc>
        <w:tc>
          <w:tcPr>
            <w:tcW w:w="111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91</w:t>
            </w:r>
          </w:p>
        </w:tc>
        <w:tc>
          <w:tcPr>
            <w:tcW w:w="6570" w:type="dxa"/>
            <w:vAlign w:val="center"/>
            <w:hideMark/>
          </w:tcPr>
          <w:p w:rsidR="00E032E3" w:rsidRDefault="00E032E3">
            <w:pPr>
              <w:pStyle w:val="a3"/>
            </w:pPr>
            <w:r>
              <w:t>Функціювання музеїв</w:t>
            </w:r>
          </w:p>
        </w:tc>
        <w:tc>
          <w:tcPr>
            <w:tcW w:w="156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2010</w:t>
            </w:r>
          </w:p>
        </w:tc>
      </w:tr>
      <w:tr w:rsidR="00E032E3" w:rsidTr="00E032E3">
        <w:trPr>
          <w:tblCellSpacing w:w="15" w:type="dxa"/>
        </w:trPr>
        <w:tc>
          <w:tcPr>
            <w:tcW w:w="123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93.11</w:t>
            </w:r>
          </w:p>
        </w:tc>
        <w:tc>
          <w:tcPr>
            <w:tcW w:w="111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93</w:t>
            </w:r>
          </w:p>
        </w:tc>
        <w:tc>
          <w:tcPr>
            <w:tcW w:w="6570" w:type="dxa"/>
            <w:vAlign w:val="center"/>
            <w:hideMark/>
          </w:tcPr>
          <w:p w:rsidR="00E032E3" w:rsidRDefault="00E032E3">
            <w:pPr>
              <w:pStyle w:val="a3"/>
            </w:pPr>
            <w:r>
              <w:t>Функціювання спортивних споруд</w:t>
            </w:r>
          </w:p>
        </w:tc>
        <w:tc>
          <w:tcPr>
            <w:tcW w:w="156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2010</w:t>
            </w:r>
          </w:p>
        </w:tc>
      </w:tr>
      <w:tr w:rsidR="00E032E3" w:rsidTr="00E032E3">
        <w:trPr>
          <w:tblCellSpacing w:w="15" w:type="dxa"/>
        </w:trPr>
        <w:tc>
          <w:tcPr>
            <w:tcW w:w="123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93.12</w:t>
            </w:r>
          </w:p>
        </w:tc>
        <w:tc>
          <w:tcPr>
            <w:tcW w:w="111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93</w:t>
            </w:r>
          </w:p>
        </w:tc>
        <w:tc>
          <w:tcPr>
            <w:tcW w:w="6570" w:type="dxa"/>
            <w:vAlign w:val="center"/>
            <w:hideMark/>
          </w:tcPr>
          <w:p w:rsidR="00E032E3" w:rsidRDefault="00E032E3">
            <w:pPr>
              <w:pStyle w:val="a3"/>
            </w:pPr>
            <w:r>
              <w:t>Діяльність спортивних клубів</w:t>
            </w:r>
          </w:p>
        </w:tc>
        <w:tc>
          <w:tcPr>
            <w:tcW w:w="156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2010</w:t>
            </w:r>
          </w:p>
        </w:tc>
      </w:tr>
      <w:tr w:rsidR="00E032E3" w:rsidTr="00E032E3">
        <w:trPr>
          <w:tblCellSpacing w:w="15" w:type="dxa"/>
        </w:trPr>
        <w:tc>
          <w:tcPr>
            <w:tcW w:w="123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93.13</w:t>
            </w:r>
          </w:p>
        </w:tc>
        <w:tc>
          <w:tcPr>
            <w:tcW w:w="111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93</w:t>
            </w:r>
          </w:p>
        </w:tc>
        <w:tc>
          <w:tcPr>
            <w:tcW w:w="6570" w:type="dxa"/>
            <w:vAlign w:val="center"/>
            <w:hideMark/>
          </w:tcPr>
          <w:p w:rsidR="00E032E3" w:rsidRDefault="00E032E3">
            <w:pPr>
              <w:pStyle w:val="a3"/>
            </w:pPr>
            <w:r>
              <w:t>Діяльність фітнес-центрів</w:t>
            </w:r>
          </w:p>
        </w:tc>
        <w:tc>
          <w:tcPr>
            <w:tcW w:w="156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2010</w:t>
            </w:r>
          </w:p>
        </w:tc>
      </w:tr>
      <w:tr w:rsidR="00E032E3" w:rsidTr="00E032E3">
        <w:trPr>
          <w:tblCellSpacing w:w="15" w:type="dxa"/>
        </w:trPr>
        <w:tc>
          <w:tcPr>
            <w:tcW w:w="123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93.21</w:t>
            </w:r>
          </w:p>
        </w:tc>
        <w:tc>
          <w:tcPr>
            <w:tcW w:w="111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93</w:t>
            </w:r>
          </w:p>
        </w:tc>
        <w:tc>
          <w:tcPr>
            <w:tcW w:w="6570" w:type="dxa"/>
            <w:vAlign w:val="center"/>
            <w:hideMark/>
          </w:tcPr>
          <w:p w:rsidR="00E032E3" w:rsidRDefault="00E032E3">
            <w:pPr>
              <w:pStyle w:val="a3"/>
            </w:pPr>
            <w:r>
              <w:t>Функціювання атракціонів і тематичних парків</w:t>
            </w:r>
          </w:p>
        </w:tc>
        <w:tc>
          <w:tcPr>
            <w:tcW w:w="156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2010</w:t>
            </w:r>
          </w:p>
        </w:tc>
      </w:tr>
      <w:tr w:rsidR="00E032E3" w:rsidTr="00E032E3">
        <w:trPr>
          <w:tblCellSpacing w:w="15" w:type="dxa"/>
        </w:trPr>
        <w:tc>
          <w:tcPr>
            <w:tcW w:w="123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93.29</w:t>
            </w:r>
          </w:p>
        </w:tc>
        <w:tc>
          <w:tcPr>
            <w:tcW w:w="111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93</w:t>
            </w:r>
          </w:p>
        </w:tc>
        <w:tc>
          <w:tcPr>
            <w:tcW w:w="6570" w:type="dxa"/>
            <w:vAlign w:val="center"/>
            <w:hideMark/>
          </w:tcPr>
          <w:p w:rsidR="00E032E3" w:rsidRDefault="00E032E3">
            <w:pPr>
              <w:pStyle w:val="a3"/>
            </w:pPr>
            <w:r>
              <w:t>Організування інших видів відпочинку та розваг</w:t>
            </w:r>
          </w:p>
        </w:tc>
        <w:tc>
          <w:tcPr>
            <w:tcW w:w="156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2010</w:t>
            </w:r>
          </w:p>
        </w:tc>
      </w:tr>
      <w:tr w:rsidR="00E032E3" w:rsidTr="00E032E3">
        <w:trPr>
          <w:tblCellSpacing w:w="15" w:type="dxa"/>
        </w:trPr>
        <w:tc>
          <w:tcPr>
            <w:tcW w:w="123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96.01*</w:t>
            </w:r>
          </w:p>
        </w:tc>
        <w:tc>
          <w:tcPr>
            <w:tcW w:w="111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96</w:t>
            </w:r>
          </w:p>
        </w:tc>
        <w:tc>
          <w:tcPr>
            <w:tcW w:w="6570" w:type="dxa"/>
            <w:vAlign w:val="center"/>
            <w:hideMark/>
          </w:tcPr>
          <w:p w:rsidR="00E032E3" w:rsidRDefault="00E032E3">
            <w:pPr>
              <w:pStyle w:val="a3"/>
            </w:pPr>
            <w:r>
              <w:t>Прання та хімічне чищення текстильних і хутряних виробів</w:t>
            </w:r>
          </w:p>
        </w:tc>
        <w:tc>
          <w:tcPr>
            <w:tcW w:w="156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2010</w:t>
            </w:r>
          </w:p>
        </w:tc>
      </w:tr>
      <w:tr w:rsidR="00E032E3" w:rsidTr="00E032E3">
        <w:trPr>
          <w:tblCellSpacing w:w="15" w:type="dxa"/>
        </w:trPr>
        <w:tc>
          <w:tcPr>
            <w:tcW w:w="123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96.04</w:t>
            </w:r>
          </w:p>
        </w:tc>
        <w:tc>
          <w:tcPr>
            <w:tcW w:w="111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96</w:t>
            </w:r>
          </w:p>
        </w:tc>
        <w:tc>
          <w:tcPr>
            <w:tcW w:w="6570" w:type="dxa"/>
            <w:vAlign w:val="center"/>
            <w:hideMark/>
          </w:tcPr>
          <w:p w:rsidR="00E032E3" w:rsidRDefault="00E032E3">
            <w:pPr>
              <w:pStyle w:val="a3"/>
            </w:pPr>
            <w:r>
              <w:t>Діяльність із забезпечення фізичного комфорту</w:t>
            </w:r>
          </w:p>
        </w:tc>
        <w:tc>
          <w:tcPr>
            <w:tcW w:w="1560" w:type="dxa"/>
            <w:vAlign w:val="center"/>
            <w:hideMark/>
          </w:tcPr>
          <w:p w:rsidR="00E032E3" w:rsidRDefault="00E032E3">
            <w:pPr>
              <w:pStyle w:val="a3"/>
              <w:jc w:val="center"/>
            </w:pPr>
            <w:r>
              <w:t>2010</w:t>
            </w:r>
          </w:p>
        </w:tc>
      </w:tr>
    </w:tbl>
    <w:p w:rsidR="00200B02" w:rsidRPr="00E032E3" w:rsidRDefault="00200B02" w:rsidP="00E032E3"/>
    <w:sectPr w:rsidR="00200B02" w:rsidRPr="00E032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2CC" w:rsidRDefault="004D42CC" w:rsidP="00AB2CEE">
      <w:r>
        <w:separator/>
      </w:r>
    </w:p>
  </w:endnote>
  <w:endnote w:type="continuationSeparator" w:id="0">
    <w:p w:rsidR="004D42CC" w:rsidRDefault="004D42CC" w:rsidP="00AB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 w:rsidP="00AB2CEE">
    <w:pPr>
      <w:pStyle w:val="a7"/>
      <w:jc w:val="right"/>
    </w:pPr>
    <w:r w:rsidRPr="00F8539C">
      <w:rPr>
        <w:noProof/>
        <w:lang w:val="ru-RU" w:eastAsia="ru-RU"/>
      </w:rPr>
      <w:drawing>
        <wp:inline distT="0" distB="0" distL="0" distR="0" wp14:anchorId="6E7C8B28" wp14:editId="3AF35F77">
          <wp:extent cx="895350" cy="219075"/>
          <wp:effectExtent l="0" t="0" r="0" b="9525"/>
          <wp:docPr id="5" name="Рисунок 5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2CC" w:rsidRDefault="004D42CC" w:rsidP="00AB2CEE">
      <w:r>
        <w:separator/>
      </w:r>
    </w:p>
  </w:footnote>
  <w:footnote w:type="continuationSeparator" w:id="0">
    <w:p w:rsidR="004D42CC" w:rsidRDefault="004D42CC" w:rsidP="00AB2C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A55CF"/>
    <w:multiLevelType w:val="hybridMultilevel"/>
    <w:tmpl w:val="E0663FC2"/>
    <w:lvl w:ilvl="0" w:tplc="943411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A19"/>
    <w:rsid w:val="00081A19"/>
    <w:rsid w:val="00084251"/>
    <w:rsid w:val="00091027"/>
    <w:rsid w:val="000A3691"/>
    <w:rsid w:val="000C2EEE"/>
    <w:rsid w:val="001054A2"/>
    <w:rsid w:val="0012143E"/>
    <w:rsid w:val="0019306D"/>
    <w:rsid w:val="001D764D"/>
    <w:rsid w:val="001F4743"/>
    <w:rsid w:val="002003F1"/>
    <w:rsid w:val="00200B02"/>
    <w:rsid w:val="00210B70"/>
    <w:rsid w:val="00220300"/>
    <w:rsid w:val="002248ED"/>
    <w:rsid w:val="00234E0E"/>
    <w:rsid w:val="0027497D"/>
    <w:rsid w:val="002C1031"/>
    <w:rsid w:val="002D79BE"/>
    <w:rsid w:val="002E1458"/>
    <w:rsid w:val="0032050C"/>
    <w:rsid w:val="00347684"/>
    <w:rsid w:val="00363219"/>
    <w:rsid w:val="0037309A"/>
    <w:rsid w:val="00377D7C"/>
    <w:rsid w:val="003916DC"/>
    <w:rsid w:val="003F4294"/>
    <w:rsid w:val="004168FC"/>
    <w:rsid w:val="004237BC"/>
    <w:rsid w:val="00435099"/>
    <w:rsid w:val="0049024B"/>
    <w:rsid w:val="004971F7"/>
    <w:rsid w:val="004A4692"/>
    <w:rsid w:val="004B70BA"/>
    <w:rsid w:val="004D08E5"/>
    <w:rsid w:val="004D42CC"/>
    <w:rsid w:val="004E5516"/>
    <w:rsid w:val="004F3E82"/>
    <w:rsid w:val="00511FD8"/>
    <w:rsid w:val="00524290"/>
    <w:rsid w:val="005823E0"/>
    <w:rsid w:val="005C1BC2"/>
    <w:rsid w:val="005C64CF"/>
    <w:rsid w:val="00633722"/>
    <w:rsid w:val="006532E7"/>
    <w:rsid w:val="006B0635"/>
    <w:rsid w:val="007167EA"/>
    <w:rsid w:val="007505FE"/>
    <w:rsid w:val="00752ECB"/>
    <w:rsid w:val="00754E36"/>
    <w:rsid w:val="0080267F"/>
    <w:rsid w:val="008A2BF2"/>
    <w:rsid w:val="008B32C5"/>
    <w:rsid w:val="008D1C13"/>
    <w:rsid w:val="008E3C0F"/>
    <w:rsid w:val="008F245D"/>
    <w:rsid w:val="00915131"/>
    <w:rsid w:val="009A4CED"/>
    <w:rsid w:val="00A736E6"/>
    <w:rsid w:val="00A73866"/>
    <w:rsid w:val="00AB2CEE"/>
    <w:rsid w:val="00AD25EC"/>
    <w:rsid w:val="00AF28AB"/>
    <w:rsid w:val="00AF2AFA"/>
    <w:rsid w:val="00AF6CE3"/>
    <w:rsid w:val="00B65EFB"/>
    <w:rsid w:val="00BC198D"/>
    <w:rsid w:val="00C52BE5"/>
    <w:rsid w:val="00C569E8"/>
    <w:rsid w:val="00C6269A"/>
    <w:rsid w:val="00C75BFA"/>
    <w:rsid w:val="00C77FB7"/>
    <w:rsid w:val="00CC17E8"/>
    <w:rsid w:val="00CD2208"/>
    <w:rsid w:val="00D15C67"/>
    <w:rsid w:val="00D25C61"/>
    <w:rsid w:val="00D62E3C"/>
    <w:rsid w:val="00D83052"/>
    <w:rsid w:val="00DB1DE9"/>
    <w:rsid w:val="00DD1FF5"/>
    <w:rsid w:val="00DF3291"/>
    <w:rsid w:val="00E032E3"/>
    <w:rsid w:val="00E111D2"/>
    <w:rsid w:val="00E2596B"/>
    <w:rsid w:val="00E4086B"/>
    <w:rsid w:val="00E47652"/>
    <w:rsid w:val="00EA32E7"/>
    <w:rsid w:val="00ED63B5"/>
    <w:rsid w:val="00F00C88"/>
    <w:rsid w:val="00F02ADF"/>
    <w:rsid w:val="00F41ACC"/>
    <w:rsid w:val="00F52F2E"/>
    <w:rsid w:val="00F61CF3"/>
    <w:rsid w:val="00F67D02"/>
    <w:rsid w:val="00F9172D"/>
    <w:rsid w:val="00FE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45D2D-AA11-4138-B9C6-F75742D8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C6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5C67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C6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7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7167E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167EA"/>
    <w:rPr>
      <w:b/>
      <w:bCs/>
    </w:rPr>
  </w:style>
  <w:style w:type="paragraph" w:styleId="a5">
    <w:name w:val="header"/>
    <w:basedOn w:val="a"/>
    <w:link w:val="a6"/>
    <w:uiPriority w:val="99"/>
    <w:unhideWhenUsed/>
    <w:rsid w:val="00AB2C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2CEE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AB2C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2CEE"/>
    <w:rPr>
      <w:rFonts w:ascii="Times New Roman" w:hAnsi="Times New Roman"/>
      <w:sz w:val="28"/>
    </w:rPr>
  </w:style>
  <w:style w:type="paragraph" w:styleId="a9">
    <w:name w:val="List Paragraph"/>
    <w:basedOn w:val="a"/>
    <w:uiPriority w:val="34"/>
    <w:qFormat/>
    <w:rsid w:val="00AD25EC"/>
    <w:pPr>
      <w:ind w:left="720"/>
      <w:contextualSpacing/>
    </w:pPr>
    <w:rPr>
      <w:rFonts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5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FF211-F285-4D5C-8650-F9FBE104D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Наталья Н. Шевчук</cp:lastModifiedBy>
  <cp:revision>2</cp:revision>
  <dcterms:created xsi:type="dcterms:W3CDTF">2021-04-16T07:59:00Z</dcterms:created>
  <dcterms:modified xsi:type="dcterms:W3CDTF">2021-04-16T07:59:00Z</dcterms:modified>
</cp:coreProperties>
</file>