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6D" w:rsidRDefault="0019306D" w:rsidP="0019306D">
      <w:pPr>
        <w:pStyle w:val="3"/>
        <w:rPr>
          <w:sz w:val="27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713"/>
      </w:tblGrid>
      <w:tr w:rsidR="0019306D" w:rsidTr="0019306D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43 підрозд. 4 розд. ХХ ПК</w:t>
            </w:r>
          </w:p>
        </w:tc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43</w:t>
            </w:r>
            <w:r>
              <w:rPr>
                <w:rStyle w:val="a4"/>
                <w:rFonts w:eastAsiaTheme="majorEastAsia"/>
                <w:vertAlign w:val="superscript"/>
              </w:rPr>
              <w:t>1</w:t>
            </w:r>
            <w:r>
              <w:rPr>
                <w:rStyle w:val="a4"/>
                <w:rFonts w:eastAsiaTheme="majorEastAsia"/>
              </w:rPr>
              <w:t xml:space="preserve"> підрозд. 4 розд. ХХ ПК</w:t>
            </w:r>
          </w:p>
        </w:tc>
      </w:tr>
      <w:tr w:rsidR="0019306D" w:rsidTr="0019306D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19306D" w:rsidRDefault="0019306D" w:rsidP="005C64CF">
            <w:pPr>
              <w:pStyle w:val="a3"/>
            </w:pPr>
            <w:r>
              <w:t xml:space="preserve">Стосується ОЗ </w:t>
            </w:r>
            <w:r>
              <w:rPr>
                <w:rStyle w:val="a4"/>
                <w:rFonts w:eastAsiaTheme="majorEastAsia"/>
              </w:rPr>
              <w:t>групи4</w:t>
            </w:r>
            <w:r>
              <w:t xml:space="preserve"> (машини та обладнання), </w:t>
            </w:r>
            <w:r>
              <w:rPr>
                <w:rStyle w:val="a4"/>
                <w:rFonts w:eastAsiaTheme="majorEastAsia"/>
              </w:rPr>
              <w:t xml:space="preserve">які введено в експлуатацію в межах одного з періодів з 01.01.17 р. до 31.12.19 р. </w:t>
            </w:r>
            <w:r>
              <w:t>– дозволено використовувати строк 2 роки замість мінімально допустимого – 5. Для підгрупи «електронно-обчислювальні машини» з групи 4 і без того мінімально допустимий строк – 2 роки (пп. 138.3.3 ПК), а ось для решти – лише</w:t>
            </w:r>
            <w:r w:rsidR="005C64CF">
              <w:t xml:space="preserve"> за дотримання умов, наведених ни</w:t>
            </w:r>
            <w:r>
              <w:t>жче</w:t>
            </w:r>
          </w:p>
        </w:tc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</w:pPr>
            <w:r>
              <w:t>Стосується ОЗ груп:</w:t>
            </w:r>
          </w:p>
          <w:p w:rsidR="0019306D" w:rsidRDefault="0019306D">
            <w:pPr>
              <w:pStyle w:val="a3"/>
            </w:pPr>
            <w:r>
              <w:t>– 4 «машини та обладнання» (замість мінімально допустимих 5 років – 2 роки);</w:t>
            </w:r>
          </w:p>
          <w:p w:rsidR="0019306D" w:rsidRDefault="0019306D">
            <w:pPr>
              <w:pStyle w:val="a3"/>
            </w:pPr>
            <w:r>
              <w:t>– 5 «транспортні засоби» (замість мінімально допустимих 5 років – 2 роки);</w:t>
            </w:r>
          </w:p>
          <w:p w:rsidR="0019306D" w:rsidRDefault="0019306D">
            <w:pPr>
              <w:pStyle w:val="a3"/>
            </w:pPr>
            <w:r>
              <w:t>– 3 – лише «передавальні пристрої» (замість мінімально допустимих 10 років – 5 років);</w:t>
            </w:r>
          </w:p>
          <w:p w:rsidR="0019306D" w:rsidRDefault="0019306D">
            <w:pPr>
              <w:pStyle w:val="a3"/>
            </w:pPr>
            <w:r>
              <w:t>– 9 «інші основні засоби» (замість мінімально допустимих 12 років – 5 років),</w:t>
            </w:r>
          </w:p>
          <w:p w:rsidR="0019306D" w:rsidRDefault="0019306D">
            <w:pPr>
              <w:pStyle w:val="a3"/>
            </w:pPr>
            <w:r>
              <w:rPr>
                <w:rStyle w:val="a4"/>
                <w:rFonts w:eastAsiaTheme="majorEastAsia"/>
              </w:rPr>
              <w:t xml:space="preserve">які введено в експлуатацію в межах одного з періодів з 01.01.20 р. до 31.12.30 р. </w:t>
            </w:r>
          </w:p>
        </w:tc>
      </w:tr>
      <w:tr w:rsidR="0019306D" w:rsidTr="0019306D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</w:pPr>
            <w:r>
              <w:t>Умови:</w:t>
            </w:r>
          </w:p>
          <w:p w:rsidR="0019306D" w:rsidRDefault="0019306D">
            <w:pPr>
              <w:pStyle w:val="a3"/>
            </w:pPr>
            <w:r>
              <w:t>1) розрахунок амортизації прямолінійним методом;</w:t>
            </w:r>
          </w:p>
          <w:p w:rsidR="0019306D" w:rsidRDefault="0019306D">
            <w:pPr>
              <w:pStyle w:val="a3"/>
            </w:pPr>
            <w:r>
              <w:t xml:space="preserve">2) </w:t>
            </w:r>
            <w:r>
              <w:rPr>
                <w:rStyle w:val="a4"/>
                <w:rFonts w:eastAsiaTheme="majorEastAsia"/>
              </w:rPr>
              <w:t>витрати</w:t>
            </w:r>
            <w:r>
              <w:t xml:space="preserve"> на придбання таких ОЗ понесено</w:t>
            </w:r>
            <w:r w:rsidR="005C64CF">
              <w:rPr>
                <w:lang w:val="uk-UA"/>
              </w:rPr>
              <w:t>ї</w:t>
            </w:r>
            <w:bookmarkStart w:id="0" w:name="_GoBack"/>
            <w:bookmarkEnd w:id="0"/>
            <w:r>
              <w:t xml:space="preserve"> (нараховано) після 01.01.17 р.;</w:t>
            </w:r>
          </w:p>
          <w:p w:rsidR="0019306D" w:rsidRDefault="0019306D">
            <w:pPr>
              <w:pStyle w:val="a3"/>
            </w:pPr>
            <w:r>
              <w:t xml:space="preserve">3) ОЗ </w:t>
            </w:r>
            <w:r>
              <w:rPr>
                <w:rStyle w:val="a4"/>
                <w:rFonts w:eastAsiaTheme="majorEastAsia"/>
              </w:rPr>
              <w:t>не були введені в експлуатацію та не використовувалися на території України</w:t>
            </w:r>
            <w:r>
              <w:t>;</w:t>
            </w:r>
          </w:p>
          <w:p w:rsidR="0019306D" w:rsidRDefault="0019306D">
            <w:pPr>
              <w:pStyle w:val="a3"/>
            </w:pPr>
            <w:r>
              <w:t>4) ОЗ використовуються у власній господарській діяльності та не продаються або не надаються в оренду іншим особам (за винятком платників податків, основним видом діяльності яких є послуги з надання в оренду майна)</w:t>
            </w:r>
          </w:p>
        </w:tc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</w:pPr>
            <w:r>
              <w:t>Умови:</w:t>
            </w:r>
          </w:p>
          <w:p w:rsidR="0019306D" w:rsidRDefault="0019306D">
            <w:pPr>
              <w:pStyle w:val="a3"/>
            </w:pPr>
            <w:r>
              <w:t xml:space="preserve">1) </w:t>
            </w:r>
            <w:r>
              <w:rPr>
                <w:rStyle w:val="a4"/>
                <w:rFonts w:eastAsiaTheme="majorEastAsia"/>
              </w:rPr>
              <w:t>не були у використанні</w:t>
            </w:r>
            <w:r>
              <w:t>;</w:t>
            </w:r>
          </w:p>
          <w:p w:rsidR="0019306D" w:rsidRDefault="0019306D">
            <w:pPr>
              <w:pStyle w:val="a3"/>
            </w:pPr>
            <w:r>
              <w:t>2) такі ОЗ повинні використовуватися у власній господарській діяльності та не можуть продаватися або надаватися в оренду іншим особам (крім платників податків, основним видом діяльності яких є послуги з надання в оренду майна).</w:t>
            </w:r>
          </w:p>
          <w:p w:rsidR="0019306D" w:rsidRDefault="0019306D">
            <w:pPr>
              <w:pStyle w:val="a3"/>
            </w:pPr>
            <w:r>
              <w:t>Зверніть увагу: метод амортизації ніякого значення не має. Тобто можна використовувати будь-який, а не лише прямолінійний (у порівнянні з п. 43 підрозд. 4 розд. ХХ ПК).</w:t>
            </w:r>
          </w:p>
          <w:p w:rsidR="0019306D" w:rsidRDefault="0019306D">
            <w:pPr>
              <w:pStyle w:val="a3"/>
            </w:pPr>
            <w:r>
              <w:t>До того ж, ідеться про витрати (якщо порівнювати умови з пунктом 43). Тож тут норма стосується як придбаних, так і подарованих, унесених в статутний капітал ОЗ.</w:t>
            </w:r>
          </w:p>
        </w:tc>
      </w:tr>
      <w:tr w:rsidR="0019306D" w:rsidTr="0019306D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</w:pPr>
            <w:r>
              <w:t>Фактично, ці норми з п. 43 підрозд. 4 розд. ХХ ПК стосуються тих, хто прийняв рішення ще 2017-2019 р. і зараз доамортизовує такі об’єкти</w:t>
            </w:r>
          </w:p>
        </w:tc>
        <w:tc>
          <w:tcPr>
            <w:tcW w:w="4815" w:type="dxa"/>
            <w:vAlign w:val="center"/>
            <w:hideMark/>
          </w:tcPr>
          <w:p w:rsidR="0019306D" w:rsidRDefault="0019306D">
            <w:pPr>
              <w:pStyle w:val="a3"/>
            </w:pPr>
            <w:r>
              <w:t>Запрацювало це правило завдяки Закону від 16.01. 20 р. № 466-ІХ. І саме про цю «прискорену» амортизацію йтиметься далі</w:t>
            </w:r>
          </w:p>
        </w:tc>
      </w:tr>
    </w:tbl>
    <w:p w:rsidR="00200B02" w:rsidRPr="0019306D" w:rsidRDefault="00200B02" w:rsidP="0019306D"/>
    <w:sectPr w:rsidR="00200B02" w:rsidRPr="00193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E5" w:rsidRDefault="00C52BE5" w:rsidP="00AB2CEE">
      <w:r>
        <w:separator/>
      </w:r>
    </w:p>
  </w:endnote>
  <w:endnote w:type="continuationSeparator" w:id="0">
    <w:p w:rsidR="00C52BE5" w:rsidRDefault="00C52BE5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E5" w:rsidRDefault="00C52BE5" w:rsidP="00AB2CEE">
      <w:r>
        <w:separator/>
      </w:r>
    </w:p>
  </w:footnote>
  <w:footnote w:type="continuationSeparator" w:id="0">
    <w:p w:rsidR="00C52BE5" w:rsidRDefault="00C52BE5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11FD8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E3C0F"/>
    <w:rsid w:val="008F245D"/>
    <w:rsid w:val="00915131"/>
    <w:rsid w:val="009A4CED"/>
    <w:rsid w:val="00A736E6"/>
    <w:rsid w:val="00AB2CEE"/>
    <w:rsid w:val="00AD25EC"/>
    <w:rsid w:val="00AF2AFA"/>
    <w:rsid w:val="00AF6CE3"/>
    <w:rsid w:val="00C52BE5"/>
    <w:rsid w:val="00C569E8"/>
    <w:rsid w:val="00C6269A"/>
    <w:rsid w:val="00C75BFA"/>
    <w:rsid w:val="00C77FB7"/>
    <w:rsid w:val="00CD2208"/>
    <w:rsid w:val="00D15C67"/>
    <w:rsid w:val="00D25C61"/>
    <w:rsid w:val="00D62E3C"/>
    <w:rsid w:val="00DB1DE9"/>
    <w:rsid w:val="00E4086B"/>
    <w:rsid w:val="00E47652"/>
    <w:rsid w:val="00ED63B5"/>
    <w:rsid w:val="00F00C88"/>
    <w:rsid w:val="00F02ADF"/>
    <w:rsid w:val="00F41ACC"/>
    <w:rsid w:val="00F52F2E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2021-03-22T11:14:00Z</dcterms:created>
  <dcterms:modified xsi:type="dcterms:W3CDTF">2021-03-22T11:54:00Z</dcterms:modified>
</cp:coreProperties>
</file>