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F4" w:rsidRDefault="009D56F4" w:rsidP="009D56F4">
      <w:pPr>
        <w:pStyle w:val="3"/>
        <w:rPr>
          <w:sz w:val="27"/>
        </w:rPr>
      </w:pPr>
      <w:bookmarkStart w:id="0" w:name="_GoBack"/>
      <w:r>
        <w:t>Таблиця 3. Ризикові операції неприбуткової організації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5543"/>
        <w:gridCol w:w="3162"/>
      </w:tblGrid>
      <w:tr w:rsidR="009D56F4" w:rsidTr="009D56F4">
        <w:trPr>
          <w:tblCellSpacing w:w="15" w:type="dxa"/>
        </w:trPr>
        <w:tc>
          <w:tcPr>
            <w:tcW w:w="705" w:type="dxa"/>
            <w:vAlign w:val="center"/>
            <w:hideMark/>
          </w:tcPr>
          <w:bookmarkEnd w:id="0"/>
          <w:p w:rsidR="009D56F4" w:rsidRDefault="009D56F4">
            <w:pPr>
              <w:pStyle w:val="a3"/>
              <w:jc w:val="center"/>
            </w:pPr>
            <w:r>
              <w:rPr>
                <w:rStyle w:val="a4"/>
              </w:rPr>
              <w:t>№ з/п</w:t>
            </w:r>
          </w:p>
        </w:tc>
        <w:tc>
          <w:tcPr>
            <w:tcW w:w="5715" w:type="dxa"/>
            <w:vAlign w:val="center"/>
            <w:hideMark/>
          </w:tcPr>
          <w:p w:rsidR="009D56F4" w:rsidRDefault="009D56F4">
            <w:pPr>
              <w:pStyle w:val="a3"/>
              <w:jc w:val="center"/>
            </w:pPr>
            <w:r>
              <w:rPr>
                <w:rStyle w:val="a4"/>
              </w:rPr>
              <w:t>Ризикова операція щодо виключення з Реєстру та нецільових витрат</w:t>
            </w:r>
          </w:p>
        </w:tc>
        <w:tc>
          <w:tcPr>
            <w:tcW w:w="3210" w:type="dxa"/>
            <w:vAlign w:val="center"/>
            <w:hideMark/>
          </w:tcPr>
          <w:p w:rsidR="009D56F4" w:rsidRDefault="009D56F4">
            <w:pPr>
              <w:pStyle w:val="a3"/>
              <w:jc w:val="center"/>
            </w:pPr>
            <w:r>
              <w:rPr>
                <w:rStyle w:val="a4"/>
              </w:rPr>
              <w:t>Роз’яснення податківців</w:t>
            </w:r>
          </w:p>
        </w:tc>
      </w:tr>
      <w:tr w:rsidR="009D56F4" w:rsidTr="009D56F4">
        <w:trPr>
          <w:tblCellSpacing w:w="15" w:type="dxa"/>
        </w:trPr>
        <w:tc>
          <w:tcPr>
            <w:tcW w:w="705" w:type="dxa"/>
            <w:vAlign w:val="center"/>
            <w:hideMark/>
          </w:tcPr>
          <w:p w:rsidR="009D56F4" w:rsidRDefault="009D56F4">
            <w:pPr>
              <w:pStyle w:val="a3"/>
              <w:jc w:val="center"/>
            </w:pPr>
            <w:r>
              <w:t>1</w:t>
            </w:r>
          </w:p>
        </w:tc>
        <w:tc>
          <w:tcPr>
            <w:tcW w:w="5715" w:type="dxa"/>
            <w:vAlign w:val="center"/>
            <w:hideMark/>
          </w:tcPr>
          <w:p w:rsidR="009D56F4" w:rsidRDefault="009D56F4">
            <w:pPr>
              <w:pStyle w:val="a3"/>
            </w:pPr>
            <w:r>
              <w:t xml:space="preserve">Виплата неоподатковуваної матдопомоги засновникам, учасникам неприбуткової організації (матдопомога разового характеру, що надається окремим працівникам за сімейними обставинами, на оплату лікування тощо), яка </w:t>
            </w:r>
            <w:r>
              <w:rPr>
                <w:rStyle w:val="a4"/>
              </w:rPr>
              <w:t>не входить до фонду оплати праці.</w:t>
            </w:r>
          </w:p>
          <w:p w:rsidR="009D56F4" w:rsidRDefault="009D56F4">
            <w:pPr>
              <w:pStyle w:val="a3"/>
            </w:pPr>
            <w:r>
              <w:t>Якщо матдопомога входить до фонду оплати праці – операція не є ризиковою</w:t>
            </w:r>
          </w:p>
        </w:tc>
        <w:tc>
          <w:tcPr>
            <w:tcW w:w="3210" w:type="dxa"/>
            <w:vAlign w:val="center"/>
            <w:hideMark/>
          </w:tcPr>
          <w:p w:rsidR="009D56F4" w:rsidRDefault="009D56F4">
            <w:pPr>
              <w:pStyle w:val="a3"/>
            </w:pPr>
            <w:r>
              <w:t>ІПК ДФСУ від 15.12.17 р. № 3018/6/99-99-15-02-02-15/ІПК, ІПК ДФСУ від 19.06.18 р. № 2727/6/99-99-15-02-02-15/ІПК</w:t>
            </w:r>
          </w:p>
        </w:tc>
      </w:tr>
      <w:tr w:rsidR="009D56F4" w:rsidTr="009D56F4">
        <w:trPr>
          <w:tblCellSpacing w:w="15" w:type="dxa"/>
        </w:trPr>
        <w:tc>
          <w:tcPr>
            <w:tcW w:w="705" w:type="dxa"/>
            <w:vAlign w:val="center"/>
            <w:hideMark/>
          </w:tcPr>
          <w:p w:rsidR="009D56F4" w:rsidRDefault="009D56F4">
            <w:pPr>
              <w:pStyle w:val="a3"/>
              <w:jc w:val="center"/>
            </w:pPr>
            <w:r>
              <w:t>2</w:t>
            </w:r>
          </w:p>
        </w:tc>
        <w:tc>
          <w:tcPr>
            <w:tcW w:w="5715" w:type="dxa"/>
            <w:vAlign w:val="center"/>
            <w:hideMark/>
          </w:tcPr>
          <w:p w:rsidR="009D56F4" w:rsidRDefault="009D56F4">
            <w:pPr>
              <w:pStyle w:val="a3"/>
            </w:pPr>
            <w:r>
              <w:t xml:space="preserve">Спрямування </w:t>
            </w:r>
            <w:r>
              <w:rPr>
                <w:rStyle w:val="a4"/>
              </w:rPr>
              <w:t>КНП</w:t>
            </w:r>
            <w:r>
              <w:t xml:space="preserve"> частини орендної плати до місцевого бюджету.</w:t>
            </w:r>
          </w:p>
          <w:p w:rsidR="009D56F4" w:rsidRDefault="009D56F4">
            <w:pPr>
              <w:pStyle w:val="a3"/>
            </w:pPr>
            <w:r>
              <w:t>Якщо за договором орендар напряму перераховує в місцевий бюджет частину орендної плати, то операція не є ризиковою (Узагальнююча консультація від 19.01.21 р. № 23)</w:t>
            </w:r>
          </w:p>
        </w:tc>
        <w:tc>
          <w:tcPr>
            <w:tcW w:w="3210" w:type="dxa"/>
            <w:vAlign w:val="center"/>
            <w:hideMark/>
          </w:tcPr>
          <w:p w:rsidR="009D56F4" w:rsidRDefault="009D56F4">
            <w:pPr>
              <w:pStyle w:val="a3"/>
            </w:pPr>
            <w:r>
              <w:t>Лист Мінфіну від 20.07.20 р. № 11210-09-10/21871</w:t>
            </w:r>
          </w:p>
        </w:tc>
      </w:tr>
      <w:tr w:rsidR="009D56F4" w:rsidTr="009D56F4">
        <w:trPr>
          <w:tblCellSpacing w:w="15" w:type="dxa"/>
        </w:trPr>
        <w:tc>
          <w:tcPr>
            <w:tcW w:w="705" w:type="dxa"/>
            <w:vAlign w:val="center"/>
            <w:hideMark/>
          </w:tcPr>
          <w:p w:rsidR="009D56F4" w:rsidRDefault="009D56F4">
            <w:pPr>
              <w:pStyle w:val="a3"/>
              <w:jc w:val="center"/>
            </w:pPr>
            <w:r>
              <w:t>3</w:t>
            </w:r>
          </w:p>
        </w:tc>
        <w:tc>
          <w:tcPr>
            <w:tcW w:w="5715" w:type="dxa"/>
            <w:vAlign w:val="center"/>
            <w:hideMark/>
          </w:tcPr>
          <w:p w:rsidR="009D56F4" w:rsidRDefault="009D56F4">
            <w:pPr>
              <w:pStyle w:val="a3"/>
            </w:pPr>
            <w:r>
              <w:t xml:space="preserve">Адмінвитрати </w:t>
            </w:r>
            <w:r>
              <w:rPr>
                <w:rStyle w:val="a4"/>
              </w:rPr>
              <w:t>благодійної організації</w:t>
            </w:r>
            <w:r>
              <w:t xml:space="preserve"> перевищують 20 % доходу за звітний поточний рік</w:t>
            </w:r>
          </w:p>
        </w:tc>
        <w:tc>
          <w:tcPr>
            <w:tcW w:w="3210" w:type="dxa"/>
            <w:vAlign w:val="center"/>
            <w:hideMark/>
          </w:tcPr>
          <w:p w:rsidR="009D56F4" w:rsidRDefault="009D56F4">
            <w:pPr>
              <w:pStyle w:val="a3"/>
            </w:pPr>
            <w:r>
              <w:t>ІПК від 19.03.19 р. № 1113/6/99-99-13-02-03-15/ІПК, лист ГУ ДФС в м. Києві від 29.03.16 р. № 2627/Ж/26-15-12-05-11, лист ГУ ДФС в м. Києві від 18.12.15 р. № 19235/10/26-15-15-03-11</w:t>
            </w:r>
          </w:p>
        </w:tc>
      </w:tr>
      <w:tr w:rsidR="009D56F4" w:rsidTr="009D56F4">
        <w:trPr>
          <w:tblCellSpacing w:w="15" w:type="dxa"/>
        </w:trPr>
        <w:tc>
          <w:tcPr>
            <w:tcW w:w="705" w:type="dxa"/>
            <w:vAlign w:val="center"/>
            <w:hideMark/>
          </w:tcPr>
          <w:p w:rsidR="009D56F4" w:rsidRDefault="009D56F4">
            <w:pPr>
              <w:pStyle w:val="a3"/>
              <w:jc w:val="center"/>
            </w:pPr>
            <w:r>
              <w:t>4</w:t>
            </w:r>
          </w:p>
        </w:tc>
        <w:tc>
          <w:tcPr>
            <w:tcW w:w="5715" w:type="dxa"/>
            <w:vAlign w:val="center"/>
            <w:hideMark/>
          </w:tcPr>
          <w:p w:rsidR="009D56F4" w:rsidRDefault="009D56F4">
            <w:pPr>
              <w:pStyle w:val="a3"/>
            </w:pPr>
            <w:r>
              <w:t>ОСББ обслуговує територію, що прилягає до іншого будинку, який не входить в ОСББ</w:t>
            </w:r>
          </w:p>
        </w:tc>
        <w:tc>
          <w:tcPr>
            <w:tcW w:w="3210" w:type="dxa"/>
            <w:vAlign w:val="center"/>
            <w:hideMark/>
          </w:tcPr>
          <w:p w:rsidR="009D56F4" w:rsidRDefault="009D56F4">
            <w:pPr>
              <w:pStyle w:val="a3"/>
            </w:pPr>
            <w:r>
              <w:t>ІПК ДФСУ від 07.12.18 № 5141/6/99-99-15-02-02-15/ІПК</w:t>
            </w:r>
          </w:p>
        </w:tc>
      </w:tr>
      <w:tr w:rsidR="009D56F4" w:rsidTr="009D56F4">
        <w:trPr>
          <w:tblCellSpacing w:w="15" w:type="dxa"/>
        </w:trPr>
        <w:tc>
          <w:tcPr>
            <w:tcW w:w="705" w:type="dxa"/>
            <w:vAlign w:val="center"/>
            <w:hideMark/>
          </w:tcPr>
          <w:p w:rsidR="009D56F4" w:rsidRDefault="009D56F4">
            <w:pPr>
              <w:pStyle w:val="a3"/>
              <w:jc w:val="center"/>
            </w:pPr>
            <w:r>
              <w:t>5</w:t>
            </w:r>
          </w:p>
        </w:tc>
        <w:tc>
          <w:tcPr>
            <w:tcW w:w="5715" w:type="dxa"/>
            <w:vAlign w:val="center"/>
            <w:hideMark/>
          </w:tcPr>
          <w:p w:rsidR="009D56F4" w:rsidRDefault="009D56F4">
            <w:pPr>
              <w:pStyle w:val="a3"/>
            </w:pPr>
            <w:r>
              <w:t>Некошторисні трати (витрати, які не передбачені кошторисом) (рішення Господарського суду м. Києва від 22.09.17 р. у справі №910/11079/17).</w:t>
            </w:r>
          </w:p>
          <w:p w:rsidR="009D56F4" w:rsidRDefault="009D56F4">
            <w:pPr>
              <w:pStyle w:val="a3"/>
            </w:pPr>
            <w:r>
              <w:t>Вихід: постфактум затвердити зміни до кошторису або затвердити на загальних зборах витрати, які понесено уже, як такі, що пов’язані з метою і ціллю створення неприбуткової організації</w:t>
            </w:r>
          </w:p>
        </w:tc>
        <w:tc>
          <w:tcPr>
            <w:tcW w:w="3210" w:type="dxa"/>
            <w:vAlign w:val="center"/>
            <w:hideMark/>
          </w:tcPr>
          <w:p w:rsidR="009D56F4" w:rsidRDefault="009D56F4">
            <w:pPr>
              <w:pStyle w:val="a3"/>
            </w:pPr>
            <w:r>
              <w:t>Податківці полюбляють говорити, що витрати, не прописані в кошторисі, не є статутними. Бо типово в статуті зазначається, що витрати здійснюються на основі кошторису</w:t>
            </w:r>
          </w:p>
        </w:tc>
      </w:tr>
      <w:tr w:rsidR="009D56F4" w:rsidTr="009D56F4">
        <w:trPr>
          <w:tblCellSpacing w:w="15" w:type="dxa"/>
        </w:trPr>
        <w:tc>
          <w:tcPr>
            <w:tcW w:w="705" w:type="dxa"/>
            <w:vAlign w:val="center"/>
            <w:hideMark/>
          </w:tcPr>
          <w:p w:rsidR="009D56F4" w:rsidRDefault="009D56F4">
            <w:pPr>
              <w:pStyle w:val="a3"/>
              <w:jc w:val="center"/>
            </w:pPr>
            <w:r>
              <w:t>6</w:t>
            </w:r>
          </w:p>
        </w:tc>
        <w:tc>
          <w:tcPr>
            <w:tcW w:w="5715" w:type="dxa"/>
            <w:vAlign w:val="center"/>
            <w:hideMark/>
          </w:tcPr>
          <w:p w:rsidR="009D56F4" w:rsidRDefault="009D56F4">
            <w:pPr>
              <w:pStyle w:val="a3"/>
            </w:pPr>
            <w:r>
              <w:t>Роялті</w:t>
            </w:r>
          </w:p>
        </w:tc>
        <w:tc>
          <w:tcPr>
            <w:tcW w:w="3210" w:type="dxa"/>
            <w:vAlign w:val="center"/>
            <w:hideMark/>
          </w:tcPr>
          <w:p w:rsidR="009D56F4" w:rsidRDefault="009D56F4">
            <w:pPr>
              <w:pStyle w:val="a3"/>
            </w:pPr>
            <w:r>
              <w:t>ІПК ДФС від 24.07.17 р. № 1321/6/99-99-15-02-02-15/ІПК</w:t>
            </w:r>
          </w:p>
        </w:tc>
      </w:tr>
    </w:tbl>
    <w:p w:rsidR="00200B02" w:rsidRPr="009D56F4" w:rsidRDefault="00200B02" w:rsidP="009D56F4"/>
    <w:sectPr w:rsidR="00200B02" w:rsidRPr="009D56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BC4" w:rsidRDefault="00C23BC4" w:rsidP="00D7041E">
      <w:r>
        <w:separator/>
      </w:r>
    </w:p>
  </w:endnote>
  <w:endnote w:type="continuationSeparator" w:id="0">
    <w:p w:rsidR="00C23BC4" w:rsidRDefault="00C23BC4" w:rsidP="00D7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Pr="00D7041E" w:rsidRDefault="00D7041E" w:rsidP="00D7041E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BC4" w:rsidRDefault="00C23BC4" w:rsidP="00D7041E">
      <w:r>
        <w:separator/>
      </w:r>
    </w:p>
  </w:footnote>
  <w:footnote w:type="continuationSeparator" w:id="0">
    <w:p w:rsidR="00C23BC4" w:rsidRDefault="00C23BC4" w:rsidP="00D7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74626"/>
    <w:multiLevelType w:val="multilevel"/>
    <w:tmpl w:val="CD44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D764D"/>
    <w:rsid w:val="002003F1"/>
    <w:rsid w:val="00200B02"/>
    <w:rsid w:val="00220300"/>
    <w:rsid w:val="00247215"/>
    <w:rsid w:val="002C1031"/>
    <w:rsid w:val="00363219"/>
    <w:rsid w:val="00377D7C"/>
    <w:rsid w:val="003F4294"/>
    <w:rsid w:val="004168FC"/>
    <w:rsid w:val="004237BC"/>
    <w:rsid w:val="00435099"/>
    <w:rsid w:val="004A4692"/>
    <w:rsid w:val="004B70BA"/>
    <w:rsid w:val="004E5516"/>
    <w:rsid w:val="004F16F5"/>
    <w:rsid w:val="004F3E82"/>
    <w:rsid w:val="00603328"/>
    <w:rsid w:val="00633722"/>
    <w:rsid w:val="006B0635"/>
    <w:rsid w:val="00703691"/>
    <w:rsid w:val="007167EA"/>
    <w:rsid w:val="007505FE"/>
    <w:rsid w:val="00752ECB"/>
    <w:rsid w:val="0075331D"/>
    <w:rsid w:val="0080267F"/>
    <w:rsid w:val="008E3C0F"/>
    <w:rsid w:val="00915131"/>
    <w:rsid w:val="009936CC"/>
    <w:rsid w:val="009D56F4"/>
    <w:rsid w:val="00A60B87"/>
    <w:rsid w:val="00A736E6"/>
    <w:rsid w:val="00AF2AFA"/>
    <w:rsid w:val="00AF6CE3"/>
    <w:rsid w:val="00C23BC4"/>
    <w:rsid w:val="00C77FB7"/>
    <w:rsid w:val="00CE1390"/>
    <w:rsid w:val="00D15C67"/>
    <w:rsid w:val="00D62E3C"/>
    <w:rsid w:val="00D7041E"/>
    <w:rsid w:val="00DB1DE9"/>
    <w:rsid w:val="00ED63B5"/>
    <w:rsid w:val="00F00C88"/>
    <w:rsid w:val="00F41ACC"/>
    <w:rsid w:val="00F61CF3"/>
    <w:rsid w:val="00F9172D"/>
    <w:rsid w:val="00FA1033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D704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41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704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4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2021-01-28T10:32:00Z</dcterms:created>
  <dcterms:modified xsi:type="dcterms:W3CDTF">2021-01-28T10:32:00Z</dcterms:modified>
</cp:coreProperties>
</file>