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71" w:rsidRDefault="00A60471" w:rsidP="00A60471">
      <w:pPr>
        <w:pStyle w:val="a5"/>
        <w:jc w:val="right"/>
      </w:pPr>
      <w:r>
        <w:rPr>
          <w:rStyle w:val="a6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254"/>
        <w:gridCol w:w="2254"/>
        <w:gridCol w:w="979"/>
        <w:gridCol w:w="1080"/>
        <w:gridCol w:w="1067"/>
      </w:tblGrid>
      <w:tr w:rsidR="00A60471" w:rsidTr="00A60471">
        <w:trPr>
          <w:tblCellSpacing w:w="15" w:type="dxa"/>
        </w:trPr>
        <w:tc>
          <w:tcPr>
            <w:tcW w:w="495" w:type="dxa"/>
            <w:vMerge w:val="restart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п/п</w:t>
            </w:r>
          </w:p>
        </w:tc>
        <w:tc>
          <w:tcPr>
            <w:tcW w:w="3570" w:type="dxa"/>
            <w:vMerge w:val="restart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Содержание операции</w:t>
            </w:r>
          </w:p>
        </w:tc>
        <w:tc>
          <w:tcPr>
            <w:tcW w:w="2355" w:type="dxa"/>
            <w:vMerge w:val="restart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Первичные документы</w:t>
            </w:r>
          </w:p>
        </w:tc>
        <w:tc>
          <w:tcPr>
            <w:tcW w:w="3060" w:type="dxa"/>
            <w:gridSpan w:val="3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Бухгалтерский учет</w:t>
            </w:r>
          </w:p>
        </w:tc>
      </w:tr>
      <w:tr w:rsidR="00A60471" w:rsidTr="00A6047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0471" w:rsidRDefault="00A60471"/>
        </w:tc>
        <w:tc>
          <w:tcPr>
            <w:tcW w:w="0" w:type="auto"/>
            <w:vMerge/>
            <w:vAlign w:val="center"/>
            <w:hideMark/>
          </w:tcPr>
          <w:p w:rsidR="00A60471" w:rsidRDefault="00A60471"/>
        </w:tc>
        <w:tc>
          <w:tcPr>
            <w:tcW w:w="0" w:type="auto"/>
            <w:vMerge/>
            <w:vAlign w:val="center"/>
            <w:hideMark/>
          </w:tcPr>
          <w:p w:rsidR="00A60471" w:rsidRDefault="00A60471"/>
        </w:tc>
        <w:tc>
          <w:tcPr>
            <w:tcW w:w="100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990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106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Сумма</w:t>
            </w:r>
          </w:p>
        </w:tc>
      </w:tr>
      <w:tr w:rsidR="00A60471" w:rsidTr="00A60471">
        <w:trPr>
          <w:tblCellSpacing w:w="15" w:type="dxa"/>
        </w:trPr>
        <w:tc>
          <w:tcPr>
            <w:tcW w:w="49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3570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35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100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990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06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A60471" w:rsidTr="00A60471">
        <w:trPr>
          <w:tblCellSpacing w:w="15" w:type="dxa"/>
        </w:trPr>
        <w:tc>
          <w:tcPr>
            <w:tcW w:w="49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1</w:t>
            </w:r>
          </w:p>
        </w:tc>
        <w:tc>
          <w:tcPr>
            <w:tcW w:w="3570" w:type="dxa"/>
            <w:vAlign w:val="center"/>
            <w:hideMark/>
          </w:tcPr>
          <w:p w:rsidR="00A60471" w:rsidRDefault="00A60471">
            <w:pPr>
              <w:pStyle w:val="a5"/>
            </w:pPr>
            <w:r>
              <w:rPr>
                <w:rStyle w:val="a6"/>
              </w:rPr>
              <w:t>01.04.20 г.</w:t>
            </w:r>
            <w:r>
              <w:t xml:space="preserve"> Размещены денежные средства на депозит*</w:t>
            </w:r>
          </w:p>
        </w:tc>
        <w:tc>
          <w:tcPr>
            <w:tcW w:w="235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Договор банковского вклада, выписка банка</w:t>
            </w:r>
          </w:p>
        </w:tc>
        <w:tc>
          <w:tcPr>
            <w:tcW w:w="100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184** (142, 143)</w:t>
            </w:r>
          </w:p>
        </w:tc>
        <w:tc>
          <w:tcPr>
            <w:tcW w:w="990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311</w:t>
            </w:r>
          </w:p>
        </w:tc>
        <w:tc>
          <w:tcPr>
            <w:tcW w:w="106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50 000,00</w:t>
            </w:r>
          </w:p>
        </w:tc>
      </w:tr>
      <w:tr w:rsidR="00A60471" w:rsidTr="00A60471">
        <w:trPr>
          <w:tblCellSpacing w:w="15" w:type="dxa"/>
        </w:trPr>
        <w:tc>
          <w:tcPr>
            <w:tcW w:w="49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2</w:t>
            </w:r>
          </w:p>
        </w:tc>
        <w:tc>
          <w:tcPr>
            <w:tcW w:w="3570" w:type="dxa"/>
            <w:vAlign w:val="center"/>
            <w:hideMark/>
          </w:tcPr>
          <w:p w:rsidR="00A60471" w:rsidRDefault="00A60471">
            <w:pPr>
              <w:pStyle w:val="a5"/>
            </w:pPr>
            <w:r>
              <w:rPr>
                <w:rStyle w:val="a6"/>
              </w:rPr>
              <w:t>30.06.20 г.</w:t>
            </w:r>
            <w:r>
              <w:t xml:space="preserve"> Начислены проценты на сумму вклада за 3 месяца***</w:t>
            </w:r>
          </w:p>
          <w:p w:rsidR="00A60471" w:rsidRDefault="00A60471">
            <w:pPr>
              <w:pStyle w:val="a5"/>
            </w:pPr>
            <w:r>
              <w:t>(50 000 х 10 % : 366 к. д. х 91 к. д.)</w:t>
            </w:r>
          </w:p>
        </w:tc>
        <w:tc>
          <w:tcPr>
            <w:tcW w:w="235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Бухгалтерская справка</w:t>
            </w:r>
          </w:p>
        </w:tc>
        <w:tc>
          <w:tcPr>
            <w:tcW w:w="100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373</w:t>
            </w:r>
          </w:p>
        </w:tc>
        <w:tc>
          <w:tcPr>
            <w:tcW w:w="990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719 (733)****</w:t>
            </w:r>
          </w:p>
        </w:tc>
        <w:tc>
          <w:tcPr>
            <w:tcW w:w="106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1 243,17</w:t>
            </w:r>
          </w:p>
        </w:tc>
      </w:tr>
      <w:tr w:rsidR="00A60471" w:rsidTr="00A60471">
        <w:trPr>
          <w:tblCellSpacing w:w="15" w:type="dxa"/>
        </w:trPr>
        <w:tc>
          <w:tcPr>
            <w:tcW w:w="49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3</w:t>
            </w:r>
          </w:p>
        </w:tc>
        <w:tc>
          <w:tcPr>
            <w:tcW w:w="3570" w:type="dxa"/>
            <w:vAlign w:val="center"/>
            <w:hideMark/>
          </w:tcPr>
          <w:p w:rsidR="00A60471" w:rsidRDefault="00A60471">
            <w:pPr>
              <w:pStyle w:val="a5"/>
            </w:pPr>
            <w:r>
              <w:rPr>
                <w:rStyle w:val="a6"/>
              </w:rPr>
              <w:t>03.07.20 г.</w:t>
            </w:r>
            <w:r>
              <w:t xml:space="preserve"> Зачислены проценты на текущий счет***</w:t>
            </w:r>
          </w:p>
        </w:tc>
        <w:tc>
          <w:tcPr>
            <w:tcW w:w="235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Выписка банка</w:t>
            </w:r>
          </w:p>
        </w:tc>
        <w:tc>
          <w:tcPr>
            <w:tcW w:w="100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373</w:t>
            </w:r>
          </w:p>
        </w:tc>
        <w:tc>
          <w:tcPr>
            <w:tcW w:w="106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1 243,17</w:t>
            </w:r>
          </w:p>
        </w:tc>
      </w:tr>
      <w:tr w:rsidR="00A60471" w:rsidTr="00A60471">
        <w:trPr>
          <w:tblCellSpacing w:w="15" w:type="dxa"/>
        </w:trPr>
        <w:tc>
          <w:tcPr>
            <w:tcW w:w="49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4</w:t>
            </w:r>
          </w:p>
        </w:tc>
        <w:tc>
          <w:tcPr>
            <w:tcW w:w="3570" w:type="dxa"/>
            <w:vAlign w:val="center"/>
            <w:hideMark/>
          </w:tcPr>
          <w:p w:rsidR="00A60471" w:rsidRDefault="00A60471">
            <w:pPr>
              <w:pStyle w:val="a5"/>
            </w:pPr>
            <w:r>
              <w:t>Списан доход на финансовый результат</w:t>
            </w:r>
          </w:p>
        </w:tc>
        <w:tc>
          <w:tcPr>
            <w:tcW w:w="235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Не оформляются</w:t>
            </w:r>
          </w:p>
        </w:tc>
        <w:tc>
          <w:tcPr>
            <w:tcW w:w="100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732</w:t>
            </w:r>
          </w:p>
        </w:tc>
        <w:tc>
          <w:tcPr>
            <w:tcW w:w="990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792</w:t>
            </w:r>
          </w:p>
        </w:tc>
        <w:tc>
          <w:tcPr>
            <w:tcW w:w="1065" w:type="dxa"/>
            <w:vAlign w:val="center"/>
            <w:hideMark/>
          </w:tcPr>
          <w:p w:rsidR="00A60471" w:rsidRDefault="00A60471">
            <w:pPr>
              <w:pStyle w:val="a5"/>
              <w:jc w:val="center"/>
            </w:pPr>
            <w:r>
              <w:t>1 243,17</w:t>
            </w:r>
          </w:p>
        </w:tc>
      </w:tr>
      <w:tr w:rsidR="00A60471" w:rsidTr="00A60471">
        <w:trPr>
          <w:tblCellSpacing w:w="15" w:type="dxa"/>
        </w:trPr>
        <w:tc>
          <w:tcPr>
            <w:tcW w:w="9480" w:type="dxa"/>
            <w:gridSpan w:val="6"/>
            <w:vAlign w:val="center"/>
            <w:hideMark/>
          </w:tcPr>
          <w:p w:rsidR="00A60471" w:rsidRDefault="00A60471">
            <w:pPr>
              <w:pStyle w:val="5"/>
            </w:pPr>
            <w:r>
              <w:t>* Долгосрочные депозиты в учете оценивают по настоящей стоимости (п. 12 НП(С)БУ 10). Если по такому вкладу начисляется рыночный процент, равный эффективной ставке процента, то дисконтировать сумму задолженности не нужно. В противном случае необходимо проводить дисконтирование.</w:t>
            </w:r>
          </w:p>
          <w:p w:rsidR="00A60471" w:rsidRDefault="00A60471">
            <w:pPr>
              <w:pStyle w:val="5"/>
            </w:pPr>
            <w:r>
              <w:t xml:space="preserve">** Денежные средства, размещенные на депозит на срок более 12 месяцев с даты баланса, отражаются на субсчете </w:t>
            </w:r>
            <w:r>
              <w:rPr>
                <w:rStyle w:val="a6"/>
                <w:b/>
                <w:bCs/>
              </w:rPr>
              <w:t>184</w:t>
            </w:r>
            <w:r>
              <w:t xml:space="preserve"> «Прочие необоротные активы» (Инструкция № 291). Если депозит оформлен депозитным (сберегательным) сертификатом, то он отражается на субсчете </w:t>
            </w:r>
            <w:r>
              <w:rPr>
                <w:rStyle w:val="a6"/>
                <w:b/>
                <w:bCs/>
              </w:rPr>
              <w:t>143</w:t>
            </w:r>
            <w:r>
              <w:t xml:space="preserve"> «Инвестиции несвязанным сторонам» (если банк – не связанное с заемщиком лицо) либо на субсчете </w:t>
            </w:r>
            <w:r>
              <w:rPr>
                <w:rStyle w:val="a6"/>
                <w:b/>
                <w:bCs/>
              </w:rPr>
              <w:t>142</w:t>
            </w:r>
            <w:r>
              <w:t xml:space="preserve"> «Прочие инвестиции связанным сторонам» (если банк – связанное с заемщиком лицо). Когда до окончания срока действия договора с банком остается меньше года, вклад переводят на субсчет </w:t>
            </w:r>
            <w:r>
              <w:rPr>
                <w:rStyle w:val="a6"/>
                <w:b/>
                <w:bCs/>
              </w:rPr>
              <w:t>351</w:t>
            </w:r>
            <w:r>
              <w:t xml:space="preserve"> проводкой Дт </w:t>
            </w:r>
            <w:r>
              <w:rPr>
                <w:rStyle w:val="a6"/>
                <w:b/>
                <w:bCs/>
              </w:rPr>
              <w:t>351</w:t>
            </w:r>
            <w:r>
              <w:t xml:space="preserve"> – Кт </w:t>
            </w:r>
            <w:r>
              <w:rPr>
                <w:rStyle w:val="a6"/>
                <w:b/>
                <w:bCs/>
              </w:rPr>
              <w:t>184(142, 143).</w:t>
            </w:r>
          </w:p>
          <w:p w:rsidR="00A60471" w:rsidRDefault="00A60471">
            <w:pPr>
              <w:pStyle w:val="5"/>
            </w:pPr>
            <w:r>
              <w:t>*** Далее однотипные операции по ежеквартальному начислению процентов и зачислению их на текущий счет не показываем.</w:t>
            </w:r>
          </w:p>
          <w:p w:rsidR="00A60471" w:rsidRDefault="00A60471">
            <w:pPr>
              <w:pStyle w:val="5"/>
            </w:pPr>
            <w:r>
              <w:t xml:space="preserve">**** Начисление процентов отражается записью Дт </w:t>
            </w:r>
            <w:r>
              <w:rPr>
                <w:rStyle w:val="a6"/>
                <w:b/>
                <w:bCs/>
              </w:rPr>
              <w:t>373</w:t>
            </w:r>
            <w:r>
              <w:t xml:space="preserve"> «Расчеты по начисленным доходам» – Кт </w:t>
            </w:r>
            <w:r>
              <w:rPr>
                <w:rStyle w:val="a6"/>
                <w:b/>
                <w:bCs/>
              </w:rPr>
              <w:t>733,</w:t>
            </w:r>
            <w:r>
              <w:t xml:space="preserve"> если помещение средств на долгосрочный депозит рассматривать как финансовую деятельность предприятия.</w:t>
            </w:r>
          </w:p>
        </w:tc>
      </w:tr>
      <w:bookmarkEnd w:id="0"/>
    </w:tbl>
    <w:p w:rsidR="00550593" w:rsidRPr="00A60471" w:rsidRDefault="00550593" w:rsidP="00A60471"/>
    <w:sectPr w:rsidR="00550593" w:rsidRPr="00A60471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C71" w:rsidRDefault="00AF0C71">
      <w:r>
        <w:separator/>
      </w:r>
    </w:p>
  </w:endnote>
  <w:endnote w:type="continuationSeparator" w:id="0">
    <w:p w:rsidR="00AF0C71" w:rsidRDefault="00A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C71" w:rsidRDefault="00AF0C71">
      <w:r>
        <w:separator/>
      </w:r>
    </w:p>
  </w:footnote>
  <w:footnote w:type="continuationSeparator" w:id="0">
    <w:p w:rsidR="00AF0C71" w:rsidRDefault="00AF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8"/>
  </w:num>
  <w:num w:numId="3">
    <w:abstractNumId w:val="33"/>
  </w:num>
  <w:num w:numId="4">
    <w:abstractNumId w:val="4"/>
  </w:num>
  <w:num w:numId="5">
    <w:abstractNumId w:val="41"/>
  </w:num>
  <w:num w:numId="6">
    <w:abstractNumId w:val="26"/>
  </w:num>
  <w:num w:numId="7">
    <w:abstractNumId w:val="16"/>
  </w:num>
  <w:num w:numId="8">
    <w:abstractNumId w:val="28"/>
  </w:num>
  <w:num w:numId="9">
    <w:abstractNumId w:val="3"/>
  </w:num>
  <w:num w:numId="10">
    <w:abstractNumId w:val="13"/>
  </w:num>
  <w:num w:numId="11">
    <w:abstractNumId w:val="9"/>
  </w:num>
  <w:num w:numId="12">
    <w:abstractNumId w:val="27"/>
  </w:num>
  <w:num w:numId="13">
    <w:abstractNumId w:val="36"/>
  </w:num>
  <w:num w:numId="14">
    <w:abstractNumId w:val="21"/>
  </w:num>
  <w:num w:numId="15">
    <w:abstractNumId w:val="14"/>
  </w:num>
  <w:num w:numId="16">
    <w:abstractNumId w:val="42"/>
  </w:num>
  <w:num w:numId="17">
    <w:abstractNumId w:val="10"/>
  </w:num>
  <w:num w:numId="18">
    <w:abstractNumId w:val="35"/>
  </w:num>
  <w:num w:numId="19">
    <w:abstractNumId w:val="15"/>
  </w:num>
  <w:num w:numId="20">
    <w:abstractNumId w:val="5"/>
  </w:num>
  <w:num w:numId="21">
    <w:abstractNumId w:val="7"/>
  </w:num>
  <w:num w:numId="22">
    <w:abstractNumId w:val="40"/>
  </w:num>
  <w:num w:numId="23">
    <w:abstractNumId w:val="24"/>
  </w:num>
  <w:num w:numId="24">
    <w:abstractNumId w:val="22"/>
  </w:num>
  <w:num w:numId="25">
    <w:abstractNumId w:val="23"/>
  </w:num>
  <w:num w:numId="26">
    <w:abstractNumId w:val="34"/>
  </w:num>
  <w:num w:numId="27">
    <w:abstractNumId w:val="20"/>
  </w:num>
  <w:num w:numId="28">
    <w:abstractNumId w:val="17"/>
  </w:num>
  <w:num w:numId="29">
    <w:abstractNumId w:val="37"/>
  </w:num>
  <w:num w:numId="30">
    <w:abstractNumId w:val="39"/>
  </w:num>
  <w:num w:numId="31">
    <w:abstractNumId w:val="32"/>
  </w:num>
  <w:num w:numId="32">
    <w:abstractNumId w:val="2"/>
  </w:num>
  <w:num w:numId="33">
    <w:abstractNumId w:val="6"/>
  </w:num>
  <w:num w:numId="34">
    <w:abstractNumId w:val="43"/>
  </w:num>
  <w:num w:numId="35">
    <w:abstractNumId w:val="38"/>
  </w:num>
  <w:num w:numId="36">
    <w:abstractNumId w:val="0"/>
  </w:num>
  <w:num w:numId="37">
    <w:abstractNumId w:val="29"/>
  </w:num>
  <w:num w:numId="38">
    <w:abstractNumId w:val="19"/>
  </w:num>
  <w:num w:numId="39">
    <w:abstractNumId w:val="1"/>
  </w:num>
  <w:num w:numId="40">
    <w:abstractNumId w:val="31"/>
  </w:num>
  <w:num w:numId="41">
    <w:abstractNumId w:val="11"/>
  </w:num>
  <w:num w:numId="42">
    <w:abstractNumId w:val="25"/>
  </w:num>
  <w:num w:numId="43">
    <w:abstractNumId w:val="44"/>
  </w:num>
  <w:num w:numId="44">
    <w:abstractNumId w:val="1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10641"/>
    <w:rsid w:val="00014546"/>
    <w:rsid w:val="00035554"/>
    <w:rsid w:val="0004635D"/>
    <w:rsid w:val="000532A1"/>
    <w:rsid w:val="000551BC"/>
    <w:rsid w:val="00067438"/>
    <w:rsid w:val="000834A3"/>
    <w:rsid w:val="000848DE"/>
    <w:rsid w:val="00087679"/>
    <w:rsid w:val="00087CD6"/>
    <w:rsid w:val="00090843"/>
    <w:rsid w:val="000A2EAA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6893"/>
    <w:rsid w:val="000D6CB6"/>
    <w:rsid w:val="000E0C8F"/>
    <w:rsid w:val="000E6C98"/>
    <w:rsid w:val="000F69A1"/>
    <w:rsid w:val="00101145"/>
    <w:rsid w:val="00102A46"/>
    <w:rsid w:val="0014093F"/>
    <w:rsid w:val="00147FCD"/>
    <w:rsid w:val="00152194"/>
    <w:rsid w:val="00152B3C"/>
    <w:rsid w:val="00152B79"/>
    <w:rsid w:val="001534A5"/>
    <w:rsid w:val="0015422E"/>
    <w:rsid w:val="001566CE"/>
    <w:rsid w:val="00157176"/>
    <w:rsid w:val="00157E8B"/>
    <w:rsid w:val="00160637"/>
    <w:rsid w:val="00160E95"/>
    <w:rsid w:val="00161CE2"/>
    <w:rsid w:val="00167E8E"/>
    <w:rsid w:val="00173C69"/>
    <w:rsid w:val="00173FBB"/>
    <w:rsid w:val="00174F87"/>
    <w:rsid w:val="00181870"/>
    <w:rsid w:val="001A056C"/>
    <w:rsid w:val="001A7870"/>
    <w:rsid w:val="001B457E"/>
    <w:rsid w:val="001C14E3"/>
    <w:rsid w:val="001C22AE"/>
    <w:rsid w:val="001D117D"/>
    <w:rsid w:val="001D3874"/>
    <w:rsid w:val="001D5A2F"/>
    <w:rsid w:val="001E32A2"/>
    <w:rsid w:val="001E7FDD"/>
    <w:rsid w:val="001F7EE8"/>
    <w:rsid w:val="0021521C"/>
    <w:rsid w:val="00220210"/>
    <w:rsid w:val="00237183"/>
    <w:rsid w:val="002372FB"/>
    <w:rsid w:val="002403FD"/>
    <w:rsid w:val="0024525D"/>
    <w:rsid w:val="002569D8"/>
    <w:rsid w:val="00261023"/>
    <w:rsid w:val="002656C2"/>
    <w:rsid w:val="00271A46"/>
    <w:rsid w:val="00277DC2"/>
    <w:rsid w:val="00291E8B"/>
    <w:rsid w:val="002A2E62"/>
    <w:rsid w:val="002A35F5"/>
    <w:rsid w:val="002B2945"/>
    <w:rsid w:val="002C0633"/>
    <w:rsid w:val="002C0BC9"/>
    <w:rsid w:val="002D29ED"/>
    <w:rsid w:val="002D75DA"/>
    <w:rsid w:val="002E4ECA"/>
    <w:rsid w:val="002E700B"/>
    <w:rsid w:val="002E7522"/>
    <w:rsid w:val="002F1A70"/>
    <w:rsid w:val="002F2155"/>
    <w:rsid w:val="002F23BA"/>
    <w:rsid w:val="002F24F2"/>
    <w:rsid w:val="002F5823"/>
    <w:rsid w:val="0030020C"/>
    <w:rsid w:val="003002B6"/>
    <w:rsid w:val="00304F1C"/>
    <w:rsid w:val="00311F48"/>
    <w:rsid w:val="003147BC"/>
    <w:rsid w:val="00315CBD"/>
    <w:rsid w:val="00323E2B"/>
    <w:rsid w:val="00327D60"/>
    <w:rsid w:val="00331548"/>
    <w:rsid w:val="00341DEE"/>
    <w:rsid w:val="00350574"/>
    <w:rsid w:val="00357DEA"/>
    <w:rsid w:val="00360C7C"/>
    <w:rsid w:val="00373009"/>
    <w:rsid w:val="00373216"/>
    <w:rsid w:val="00381508"/>
    <w:rsid w:val="00382D9F"/>
    <w:rsid w:val="00387926"/>
    <w:rsid w:val="003A1494"/>
    <w:rsid w:val="003A19A0"/>
    <w:rsid w:val="003A545D"/>
    <w:rsid w:val="003B1C9B"/>
    <w:rsid w:val="003B53B9"/>
    <w:rsid w:val="003B6163"/>
    <w:rsid w:val="003C059F"/>
    <w:rsid w:val="003C0F26"/>
    <w:rsid w:val="003D5F0E"/>
    <w:rsid w:val="003D6367"/>
    <w:rsid w:val="003E0394"/>
    <w:rsid w:val="003E0E75"/>
    <w:rsid w:val="003F1FB7"/>
    <w:rsid w:val="003F256B"/>
    <w:rsid w:val="003F3165"/>
    <w:rsid w:val="00406844"/>
    <w:rsid w:val="00416A36"/>
    <w:rsid w:val="00417A3B"/>
    <w:rsid w:val="00424485"/>
    <w:rsid w:val="00443859"/>
    <w:rsid w:val="0044752D"/>
    <w:rsid w:val="004511B6"/>
    <w:rsid w:val="0045287E"/>
    <w:rsid w:val="00454024"/>
    <w:rsid w:val="00465FA0"/>
    <w:rsid w:val="00473465"/>
    <w:rsid w:val="004759AD"/>
    <w:rsid w:val="00475B37"/>
    <w:rsid w:val="004819DD"/>
    <w:rsid w:val="00487B42"/>
    <w:rsid w:val="00491380"/>
    <w:rsid w:val="004978B2"/>
    <w:rsid w:val="004B05A7"/>
    <w:rsid w:val="004B1291"/>
    <w:rsid w:val="004B1576"/>
    <w:rsid w:val="004B3AED"/>
    <w:rsid w:val="004B6A0D"/>
    <w:rsid w:val="004B7638"/>
    <w:rsid w:val="004C4D2B"/>
    <w:rsid w:val="004D0A53"/>
    <w:rsid w:val="004D4126"/>
    <w:rsid w:val="004D5ED6"/>
    <w:rsid w:val="005015A3"/>
    <w:rsid w:val="00501BA3"/>
    <w:rsid w:val="005053AB"/>
    <w:rsid w:val="005059DC"/>
    <w:rsid w:val="0050665E"/>
    <w:rsid w:val="00511F7D"/>
    <w:rsid w:val="00512D7E"/>
    <w:rsid w:val="005150DF"/>
    <w:rsid w:val="00517C50"/>
    <w:rsid w:val="005209B9"/>
    <w:rsid w:val="005353C8"/>
    <w:rsid w:val="00547C39"/>
    <w:rsid w:val="00550593"/>
    <w:rsid w:val="00552B43"/>
    <w:rsid w:val="005549F3"/>
    <w:rsid w:val="00554D18"/>
    <w:rsid w:val="0057089D"/>
    <w:rsid w:val="00572570"/>
    <w:rsid w:val="005750BC"/>
    <w:rsid w:val="005758A9"/>
    <w:rsid w:val="0058076B"/>
    <w:rsid w:val="00583817"/>
    <w:rsid w:val="005907D1"/>
    <w:rsid w:val="0059318D"/>
    <w:rsid w:val="00593D49"/>
    <w:rsid w:val="00594460"/>
    <w:rsid w:val="0059771C"/>
    <w:rsid w:val="005B3A29"/>
    <w:rsid w:val="005C36BE"/>
    <w:rsid w:val="005C6E7C"/>
    <w:rsid w:val="005D54C7"/>
    <w:rsid w:val="005E3C15"/>
    <w:rsid w:val="005E4DD3"/>
    <w:rsid w:val="005E61AE"/>
    <w:rsid w:val="005F2157"/>
    <w:rsid w:val="006032A5"/>
    <w:rsid w:val="006161F9"/>
    <w:rsid w:val="0061721F"/>
    <w:rsid w:val="00627828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248E"/>
    <w:rsid w:val="006736DE"/>
    <w:rsid w:val="006759C2"/>
    <w:rsid w:val="00681A54"/>
    <w:rsid w:val="0068451A"/>
    <w:rsid w:val="00687299"/>
    <w:rsid w:val="00696FE8"/>
    <w:rsid w:val="006B14AB"/>
    <w:rsid w:val="006C4FB5"/>
    <w:rsid w:val="006C51F5"/>
    <w:rsid w:val="006D0C4A"/>
    <w:rsid w:val="006D23D5"/>
    <w:rsid w:val="006E0F97"/>
    <w:rsid w:val="006E3168"/>
    <w:rsid w:val="006E450D"/>
    <w:rsid w:val="006F0198"/>
    <w:rsid w:val="006F06B4"/>
    <w:rsid w:val="006F0733"/>
    <w:rsid w:val="006F5A28"/>
    <w:rsid w:val="006F7565"/>
    <w:rsid w:val="00710985"/>
    <w:rsid w:val="007115E0"/>
    <w:rsid w:val="00713C72"/>
    <w:rsid w:val="007206ED"/>
    <w:rsid w:val="00723570"/>
    <w:rsid w:val="00723B05"/>
    <w:rsid w:val="00725FE3"/>
    <w:rsid w:val="007279FA"/>
    <w:rsid w:val="007341D9"/>
    <w:rsid w:val="00741292"/>
    <w:rsid w:val="00753856"/>
    <w:rsid w:val="00755D7D"/>
    <w:rsid w:val="00756853"/>
    <w:rsid w:val="00757E41"/>
    <w:rsid w:val="007609DC"/>
    <w:rsid w:val="00760F04"/>
    <w:rsid w:val="00767301"/>
    <w:rsid w:val="00770F1E"/>
    <w:rsid w:val="00775F11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7940"/>
    <w:rsid w:val="007C025D"/>
    <w:rsid w:val="007C0FCB"/>
    <w:rsid w:val="007C65F7"/>
    <w:rsid w:val="007C6B4A"/>
    <w:rsid w:val="007D47A3"/>
    <w:rsid w:val="007E2D8A"/>
    <w:rsid w:val="007E4487"/>
    <w:rsid w:val="007E7FAC"/>
    <w:rsid w:val="007F6525"/>
    <w:rsid w:val="0080082E"/>
    <w:rsid w:val="00837C10"/>
    <w:rsid w:val="00852F58"/>
    <w:rsid w:val="0085725D"/>
    <w:rsid w:val="00894678"/>
    <w:rsid w:val="008A093D"/>
    <w:rsid w:val="008A117F"/>
    <w:rsid w:val="008A321E"/>
    <w:rsid w:val="008A5C1C"/>
    <w:rsid w:val="008B1D90"/>
    <w:rsid w:val="008C0C7F"/>
    <w:rsid w:val="008C131B"/>
    <w:rsid w:val="008C1986"/>
    <w:rsid w:val="008C51CE"/>
    <w:rsid w:val="008C7933"/>
    <w:rsid w:val="008D193F"/>
    <w:rsid w:val="008D4F58"/>
    <w:rsid w:val="008D5248"/>
    <w:rsid w:val="008D7427"/>
    <w:rsid w:val="008E057D"/>
    <w:rsid w:val="008E36F2"/>
    <w:rsid w:val="008F3DF0"/>
    <w:rsid w:val="008F6B4D"/>
    <w:rsid w:val="0090371E"/>
    <w:rsid w:val="009121FB"/>
    <w:rsid w:val="00912D99"/>
    <w:rsid w:val="00914E5D"/>
    <w:rsid w:val="0093732A"/>
    <w:rsid w:val="009412D5"/>
    <w:rsid w:val="00942046"/>
    <w:rsid w:val="00950425"/>
    <w:rsid w:val="00962840"/>
    <w:rsid w:val="00963ED4"/>
    <w:rsid w:val="009665C7"/>
    <w:rsid w:val="00975533"/>
    <w:rsid w:val="009762F7"/>
    <w:rsid w:val="009764F4"/>
    <w:rsid w:val="00983939"/>
    <w:rsid w:val="0099311B"/>
    <w:rsid w:val="00997B1D"/>
    <w:rsid w:val="009A01A9"/>
    <w:rsid w:val="009A0D97"/>
    <w:rsid w:val="009A4E44"/>
    <w:rsid w:val="009A5BE5"/>
    <w:rsid w:val="009A7FFC"/>
    <w:rsid w:val="009B1A52"/>
    <w:rsid w:val="009B7F06"/>
    <w:rsid w:val="009C2F8A"/>
    <w:rsid w:val="009C7DB8"/>
    <w:rsid w:val="009D10FE"/>
    <w:rsid w:val="009D1CA9"/>
    <w:rsid w:val="009E0F19"/>
    <w:rsid w:val="009E1A0C"/>
    <w:rsid w:val="009E2D8E"/>
    <w:rsid w:val="009E2DE3"/>
    <w:rsid w:val="009E7DE7"/>
    <w:rsid w:val="009F6858"/>
    <w:rsid w:val="00A04AF4"/>
    <w:rsid w:val="00A04C0E"/>
    <w:rsid w:val="00A16BE7"/>
    <w:rsid w:val="00A171CB"/>
    <w:rsid w:val="00A24FB8"/>
    <w:rsid w:val="00A300DC"/>
    <w:rsid w:val="00A33DE8"/>
    <w:rsid w:val="00A34A22"/>
    <w:rsid w:val="00A36E83"/>
    <w:rsid w:val="00A40DBE"/>
    <w:rsid w:val="00A462D8"/>
    <w:rsid w:val="00A46DF7"/>
    <w:rsid w:val="00A5310F"/>
    <w:rsid w:val="00A5398F"/>
    <w:rsid w:val="00A56268"/>
    <w:rsid w:val="00A60471"/>
    <w:rsid w:val="00A60EDB"/>
    <w:rsid w:val="00A61FFE"/>
    <w:rsid w:val="00A679D6"/>
    <w:rsid w:val="00A7338D"/>
    <w:rsid w:val="00A748D0"/>
    <w:rsid w:val="00A856FB"/>
    <w:rsid w:val="00A859F1"/>
    <w:rsid w:val="00A91CC9"/>
    <w:rsid w:val="00AA3407"/>
    <w:rsid w:val="00AA38D1"/>
    <w:rsid w:val="00AA4C4D"/>
    <w:rsid w:val="00AA6CAB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57F"/>
    <w:rsid w:val="00AE062F"/>
    <w:rsid w:val="00AE41FE"/>
    <w:rsid w:val="00AE45EF"/>
    <w:rsid w:val="00AE60C0"/>
    <w:rsid w:val="00AF0C71"/>
    <w:rsid w:val="00AF63DB"/>
    <w:rsid w:val="00B025CA"/>
    <w:rsid w:val="00B03C94"/>
    <w:rsid w:val="00B042D0"/>
    <w:rsid w:val="00B169A2"/>
    <w:rsid w:val="00B21984"/>
    <w:rsid w:val="00B2404D"/>
    <w:rsid w:val="00B270CB"/>
    <w:rsid w:val="00B32747"/>
    <w:rsid w:val="00B33684"/>
    <w:rsid w:val="00B36649"/>
    <w:rsid w:val="00B3782A"/>
    <w:rsid w:val="00B40441"/>
    <w:rsid w:val="00B44AE7"/>
    <w:rsid w:val="00B46B4E"/>
    <w:rsid w:val="00B52DB7"/>
    <w:rsid w:val="00B55078"/>
    <w:rsid w:val="00B57B32"/>
    <w:rsid w:val="00B605A5"/>
    <w:rsid w:val="00B65D30"/>
    <w:rsid w:val="00B66237"/>
    <w:rsid w:val="00B66CDA"/>
    <w:rsid w:val="00B727C3"/>
    <w:rsid w:val="00B76EEE"/>
    <w:rsid w:val="00B852A6"/>
    <w:rsid w:val="00B9695E"/>
    <w:rsid w:val="00BA14B9"/>
    <w:rsid w:val="00BA5FEA"/>
    <w:rsid w:val="00BA65C0"/>
    <w:rsid w:val="00BB7EA5"/>
    <w:rsid w:val="00BC2338"/>
    <w:rsid w:val="00BC240C"/>
    <w:rsid w:val="00BC7CD7"/>
    <w:rsid w:val="00BD1713"/>
    <w:rsid w:val="00BD3F42"/>
    <w:rsid w:val="00BD6AD8"/>
    <w:rsid w:val="00BE5FDA"/>
    <w:rsid w:val="00BF1FEE"/>
    <w:rsid w:val="00C01453"/>
    <w:rsid w:val="00C025A0"/>
    <w:rsid w:val="00C05709"/>
    <w:rsid w:val="00C15B2A"/>
    <w:rsid w:val="00C17012"/>
    <w:rsid w:val="00C2489D"/>
    <w:rsid w:val="00C253B3"/>
    <w:rsid w:val="00C2715A"/>
    <w:rsid w:val="00C3092E"/>
    <w:rsid w:val="00C42360"/>
    <w:rsid w:val="00C42ABD"/>
    <w:rsid w:val="00C42C4D"/>
    <w:rsid w:val="00C44819"/>
    <w:rsid w:val="00C57ADA"/>
    <w:rsid w:val="00C62216"/>
    <w:rsid w:val="00C62A1F"/>
    <w:rsid w:val="00C6374E"/>
    <w:rsid w:val="00C63C3D"/>
    <w:rsid w:val="00C640CA"/>
    <w:rsid w:val="00C66DA3"/>
    <w:rsid w:val="00C719F6"/>
    <w:rsid w:val="00C94F34"/>
    <w:rsid w:val="00CB271A"/>
    <w:rsid w:val="00CB348F"/>
    <w:rsid w:val="00CB49AA"/>
    <w:rsid w:val="00CB50D9"/>
    <w:rsid w:val="00CB58A7"/>
    <w:rsid w:val="00CB5DA5"/>
    <w:rsid w:val="00CC4B9D"/>
    <w:rsid w:val="00CD07AC"/>
    <w:rsid w:val="00CD1477"/>
    <w:rsid w:val="00CE02F7"/>
    <w:rsid w:val="00CE0714"/>
    <w:rsid w:val="00CF63DA"/>
    <w:rsid w:val="00CF6BD9"/>
    <w:rsid w:val="00D139A0"/>
    <w:rsid w:val="00D2016B"/>
    <w:rsid w:val="00D257C5"/>
    <w:rsid w:val="00D26EF8"/>
    <w:rsid w:val="00D33FA5"/>
    <w:rsid w:val="00D36091"/>
    <w:rsid w:val="00D37DED"/>
    <w:rsid w:val="00D41509"/>
    <w:rsid w:val="00D47D87"/>
    <w:rsid w:val="00D52A55"/>
    <w:rsid w:val="00D55822"/>
    <w:rsid w:val="00D63032"/>
    <w:rsid w:val="00D706E1"/>
    <w:rsid w:val="00D81AF9"/>
    <w:rsid w:val="00D86316"/>
    <w:rsid w:val="00D86A3C"/>
    <w:rsid w:val="00D96FFA"/>
    <w:rsid w:val="00DA2157"/>
    <w:rsid w:val="00DA63A1"/>
    <w:rsid w:val="00DB2FDA"/>
    <w:rsid w:val="00DB30C0"/>
    <w:rsid w:val="00DB5B53"/>
    <w:rsid w:val="00DB6B26"/>
    <w:rsid w:val="00DD0B1E"/>
    <w:rsid w:val="00DD0C32"/>
    <w:rsid w:val="00DD354B"/>
    <w:rsid w:val="00DD4279"/>
    <w:rsid w:val="00DD5701"/>
    <w:rsid w:val="00DD5884"/>
    <w:rsid w:val="00DE1267"/>
    <w:rsid w:val="00DF194E"/>
    <w:rsid w:val="00E00B94"/>
    <w:rsid w:val="00E10F08"/>
    <w:rsid w:val="00E129DA"/>
    <w:rsid w:val="00E13F96"/>
    <w:rsid w:val="00E25FB3"/>
    <w:rsid w:val="00E342B3"/>
    <w:rsid w:val="00E35CBD"/>
    <w:rsid w:val="00E6498D"/>
    <w:rsid w:val="00E710A2"/>
    <w:rsid w:val="00E741D5"/>
    <w:rsid w:val="00E83816"/>
    <w:rsid w:val="00E85978"/>
    <w:rsid w:val="00E93115"/>
    <w:rsid w:val="00E96F4B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E2664"/>
    <w:rsid w:val="00EE2A4A"/>
    <w:rsid w:val="00EE67B0"/>
    <w:rsid w:val="00EF0880"/>
    <w:rsid w:val="00EF16AC"/>
    <w:rsid w:val="00EF372A"/>
    <w:rsid w:val="00EF7F8B"/>
    <w:rsid w:val="00F00661"/>
    <w:rsid w:val="00F0553C"/>
    <w:rsid w:val="00F11B12"/>
    <w:rsid w:val="00F17D68"/>
    <w:rsid w:val="00F37427"/>
    <w:rsid w:val="00F42585"/>
    <w:rsid w:val="00F44465"/>
    <w:rsid w:val="00F45457"/>
    <w:rsid w:val="00F5719E"/>
    <w:rsid w:val="00F6704D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A1A49"/>
    <w:rsid w:val="00FA2459"/>
    <w:rsid w:val="00FA5B5A"/>
    <w:rsid w:val="00FA6705"/>
    <w:rsid w:val="00FA75BD"/>
    <w:rsid w:val="00FC1A4D"/>
    <w:rsid w:val="00FC29B1"/>
    <w:rsid w:val="00FD5775"/>
    <w:rsid w:val="00FE03BF"/>
    <w:rsid w:val="00FE4637"/>
    <w:rsid w:val="00FE472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2021-01-13T15:21:00Z</dcterms:created>
  <dcterms:modified xsi:type="dcterms:W3CDTF">2021-01-13T15:21:00Z</dcterms:modified>
</cp:coreProperties>
</file>