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2E" w:rsidRDefault="0080082E" w:rsidP="0080082E">
      <w:pPr>
        <w:pStyle w:val="3"/>
      </w:pPr>
      <w:r>
        <w:t>Таблиця 2.</w:t>
      </w:r>
      <w:r>
        <w:rPr>
          <w:rStyle w:val="a6"/>
          <w:b/>
          <w:bCs/>
        </w:rPr>
        <w:t xml:space="preserve"> Нові рядки в додатку РІ</w:t>
      </w:r>
    </w:p>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3"/>
        <w:gridCol w:w="4633"/>
        <w:gridCol w:w="60"/>
        <w:gridCol w:w="3002"/>
      </w:tblGrid>
      <w:tr w:rsidR="0080082E" w:rsidTr="0080082E">
        <w:trPr>
          <w:tblCellSpacing w:w="15" w:type="dxa"/>
        </w:trPr>
        <w:tc>
          <w:tcPr>
            <w:tcW w:w="1395" w:type="dxa"/>
            <w:vAlign w:val="center"/>
            <w:hideMark/>
          </w:tcPr>
          <w:p w:rsidR="0080082E" w:rsidRDefault="0080082E">
            <w:pPr>
              <w:pStyle w:val="a5"/>
              <w:jc w:val="center"/>
            </w:pPr>
            <w:r>
              <w:rPr>
                <w:rStyle w:val="a6"/>
              </w:rPr>
              <w:t>Рядок</w:t>
            </w:r>
          </w:p>
        </w:tc>
        <w:tc>
          <w:tcPr>
            <w:tcW w:w="4530" w:type="dxa"/>
            <w:vAlign w:val="center"/>
            <w:hideMark/>
          </w:tcPr>
          <w:p w:rsidR="0080082E" w:rsidRDefault="0080082E">
            <w:pPr>
              <w:pStyle w:val="a5"/>
              <w:jc w:val="center"/>
            </w:pPr>
            <w:r>
              <w:rPr>
                <w:rStyle w:val="a6"/>
              </w:rPr>
              <w:t>Назва</w:t>
            </w:r>
          </w:p>
        </w:tc>
        <w:tc>
          <w:tcPr>
            <w:tcW w:w="2970" w:type="dxa"/>
            <w:gridSpan w:val="2"/>
            <w:vAlign w:val="center"/>
            <w:hideMark/>
          </w:tcPr>
          <w:p w:rsidR="0080082E" w:rsidRDefault="0080082E">
            <w:pPr>
              <w:pStyle w:val="a5"/>
              <w:jc w:val="center"/>
            </w:pPr>
            <w:r>
              <w:rPr>
                <w:rStyle w:val="a6"/>
              </w:rPr>
              <w:t>Примітки-пояснення</w:t>
            </w:r>
          </w:p>
        </w:tc>
      </w:tr>
      <w:tr w:rsidR="0080082E" w:rsidTr="0080082E">
        <w:trPr>
          <w:tblCellSpacing w:w="15" w:type="dxa"/>
        </w:trPr>
        <w:tc>
          <w:tcPr>
            <w:tcW w:w="8910" w:type="dxa"/>
            <w:gridSpan w:val="4"/>
            <w:vAlign w:val="center"/>
            <w:hideMark/>
          </w:tcPr>
          <w:p w:rsidR="0080082E" w:rsidRDefault="0080082E">
            <w:pPr>
              <w:pStyle w:val="a5"/>
              <w:jc w:val="center"/>
            </w:pPr>
            <w:r>
              <w:rPr>
                <w:rStyle w:val="a6"/>
              </w:rPr>
              <w:t>Зменшує фінрезультат до оподаткування</w:t>
            </w:r>
          </w:p>
        </w:tc>
      </w:tr>
      <w:tr w:rsidR="0080082E" w:rsidTr="0080082E">
        <w:trPr>
          <w:tblCellSpacing w:w="15" w:type="dxa"/>
        </w:trPr>
        <w:tc>
          <w:tcPr>
            <w:tcW w:w="1395" w:type="dxa"/>
            <w:vAlign w:val="center"/>
            <w:hideMark/>
          </w:tcPr>
          <w:p w:rsidR="0080082E" w:rsidRDefault="0080082E">
            <w:pPr>
              <w:pStyle w:val="a5"/>
              <w:jc w:val="center"/>
            </w:pPr>
            <w:r>
              <w:t>3.2.3.2</w:t>
            </w:r>
          </w:p>
        </w:tc>
        <w:tc>
          <w:tcPr>
            <w:tcW w:w="4590" w:type="dxa"/>
            <w:gridSpan w:val="2"/>
            <w:vAlign w:val="center"/>
            <w:hideMark/>
          </w:tcPr>
          <w:p w:rsidR="0080082E" w:rsidRDefault="0080082E">
            <w:pPr>
              <w:pStyle w:val="a5"/>
            </w:pPr>
            <w:r>
              <w:t>Сума нарахованих доходів у вигляді дивідендів, що підлягає виплаті на користь платника від контрольованої іноземної компанії в межах, що не перевищує суму, на яку збільшувався об’єкт оподаткування відповідно до підпункту 134.1.7 пункту 134.1 статті 134 Податкового кодексу України (підпункт 140.4.2 пункту 140.4 статті 140 розділу III Податкового кодексу України)</w:t>
            </w:r>
          </w:p>
        </w:tc>
        <w:tc>
          <w:tcPr>
            <w:tcW w:w="2910" w:type="dxa"/>
            <w:vAlign w:val="center"/>
            <w:hideMark/>
          </w:tcPr>
          <w:p w:rsidR="0080082E" w:rsidRDefault="0080082E">
            <w:pPr>
              <w:pStyle w:val="a5"/>
            </w:pPr>
            <w:r>
              <w:t>Нова різниця, яка запрацює з 01.01.21 р. (пов’язана зі змінами щодо КІК)</w:t>
            </w:r>
          </w:p>
        </w:tc>
      </w:tr>
      <w:tr w:rsidR="0080082E" w:rsidTr="0080082E">
        <w:trPr>
          <w:tblCellSpacing w:w="15" w:type="dxa"/>
        </w:trPr>
        <w:tc>
          <w:tcPr>
            <w:tcW w:w="1395" w:type="dxa"/>
            <w:vAlign w:val="center"/>
            <w:hideMark/>
          </w:tcPr>
          <w:p w:rsidR="0080082E" w:rsidRDefault="0080082E">
            <w:pPr>
              <w:pStyle w:val="a5"/>
              <w:jc w:val="center"/>
            </w:pPr>
            <w:r>
              <w:t>3.2.3.3</w:t>
            </w:r>
          </w:p>
        </w:tc>
        <w:tc>
          <w:tcPr>
            <w:tcW w:w="4590" w:type="dxa"/>
            <w:gridSpan w:val="2"/>
            <w:vAlign w:val="center"/>
            <w:hideMark/>
          </w:tcPr>
          <w:p w:rsidR="0080082E" w:rsidRDefault="0080082E">
            <w:pPr>
              <w:pStyle w:val="a5"/>
            </w:pPr>
            <w:r>
              <w:t>Сума нарахованих доходів від участі в капіталі нерезидентів (у тому числі контрольованих іноземних компаній), за умови, що доля участі в капіталі нерезидента становить щонайменше 10 відсотків протягом календарного року та такий нерезидент не входить до переліку держав (територій), визначених відповідно до підпункту 39.2.1.2 підпункту 39.2.1 пункту 39.2 статті 39 Податкового кодексу України (крім держав (територій), з якими є чинні міжнародні договори України про уникнення подвійного оподаткування доходів) (підпункт 140.4.3 пункту 140.4 статті 140 розділу III Податкового кодексу України)</w:t>
            </w:r>
          </w:p>
        </w:tc>
        <w:tc>
          <w:tcPr>
            <w:tcW w:w="2910" w:type="dxa"/>
            <w:vAlign w:val="center"/>
            <w:hideMark/>
          </w:tcPr>
          <w:p w:rsidR="0080082E" w:rsidRDefault="0080082E">
            <w:pPr>
              <w:pStyle w:val="a5"/>
            </w:pPr>
            <w:r>
              <w:t>Нова різниця, яка діє з 23.05.20 р.</w:t>
            </w:r>
          </w:p>
          <w:p w:rsidR="0080082E" w:rsidRDefault="0080082E">
            <w:pPr>
              <w:pStyle w:val="a5"/>
            </w:pPr>
            <w:r>
              <w:t>Звернуть увагу: хоч згадано, зокрема, про КІК, ця різниця стартувала ще у травні 2020 року</w:t>
            </w:r>
          </w:p>
        </w:tc>
      </w:tr>
      <w:tr w:rsidR="0080082E" w:rsidTr="0080082E">
        <w:trPr>
          <w:tblCellSpacing w:w="15" w:type="dxa"/>
        </w:trPr>
        <w:tc>
          <w:tcPr>
            <w:tcW w:w="1395" w:type="dxa"/>
            <w:vAlign w:val="center"/>
            <w:hideMark/>
          </w:tcPr>
          <w:p w:rsidR="0080082E" w:rsidRDefault="0080082E">
            <w:pPr>
              <w:pStyle w:val="a5"/>
              <w:jc w:val="center"/>
            </w:pPr>
            <w:r>
              <w:t>3.2.3.4</w:t>
            </w:r>
          </w:p>
        </w:tc>
        <w:tc>
          <w:tcPr>
            <w:tcW w:w="4590" w:type="dxa"/>
            <w:gridSpan w:val="2"/>
            <w:vAlign w:val="center"/>
            <w:hideMark/>
          </w:tcPr>
          <w:p w:rsidR="0080082E" w:rsidRDefault="0080082E">
            <w:pPr>
              <w:pStyle w:val="a5"/>
            </w:pPr>
            <w:r>
              <w:t>Сума нарахованих доходів у вигляді дивідендів, що підлягають виплаті на користь платника від нерезидента, за умови, що доля участі в капіталі нерезидента становить щонайменше 10 відсотків протягом календарного року та такий нерезидент не входить до переліку держав (територій), визначених відповідно до підпункту 39.2.1.2 підпункту 39.2.1 пункту 39.2 статті 39 Податкового кодексу України (крім держав (територій), з якими є чинні міжнародні договори України про уникнення подвійного оподаткування доходів) (підпункт 140.4.3 пункту 140.4 статті 140 розділу III Податкового кодексу України)</w:t>
            </w:r>
          </w:p>
        </w:tc>
        <w:tc>
          <w:tcPr>
            <w:tcW w:w="2910" w:type="dxa"/>
            <w:vAlign w:val="center"/>
            <w:hideMark/>
          </w:tcPr>
          <w:p w:rsidR="0080082E" w:rsidRDefault="0080082E">
            <w:pPr>
              <w:pStyle w:val="a5"/>
            </w:pPr>
            <w:r>
              <w:t>Нова різниця, яка діє з 23.05.20 р.</w:t>
            </w:r>
          </w:p>
          <w:p w:rsidR="0080082E" w:rsidRDefault="0080082E">
            <w:pPr>
              <w:pStyle w:val="a5"/>
            </w:pPr>
            <w:r>
              <w:t>Звернуть увагу: хоч згадано, зокрема, про КІК, ця різниця стартувала ще в травні 2020 року</w:t>
            </w:r>
          </w:p>
        </w:tc>
      </w:tr>
      <w:tr w:rsidR="0080082E" w:rsidTr="0080082E">
        <w:trPr>
          <w:tblCellSpacing w:w="15" w:type="dxa"/>
        </w:trPr>
        <w:tc>
          <w:tcPr>
            <w:tcW w:w="1395" w:type="dxa"/>
            <w:vAlign w:val="center"/>
            <w:hideMark/>
          </w:tcPr>
          <w:p w:rsidR="0080082E" w:rsidRDefault="0080082E">
            <w:pPr>
              <w:pStyle w:val="a5"/>
              <w:jc w:val="center"/>
            </w:pPr>
            <w:r>
              <w:t>3.2.4.1</w:t>
            </w:r>
          </w:p>
        </w:tc>
        <w:tc>
          <w:tcPr>
            <w:tcW w:w="4590" w:type="dxa"/>
            <w:gridSpan w:val="2"/>
            <w:vAlign w:val="center"/>
            <w:hideMark/>
          </w:tcPr>
          <w:p w:rsidR="0080082E" w:rsidRDefault="0080082E">
            <w:pPr>
              <w:pStyle w:val="a5"/>
            </w:pPr>
            <w:r>
              <w:t xml:space="preserve">Сума від’ємного значення об’єкта оподаткування платника податку, що реорганізується (підпункт 140.4.5 пункту </w:t>
            </w:r>
            <w:r>
              <w:lastRenderedPageBreak/>
              <w:t>140.4 статті 140 розділу III Податкового кодексу України)</w:t>
            </w:r>
          </w:p>
        </w:tc>
        <w:tc>
          <w:tcPr>
            <w:tcW w:w="2910" w:type="dxa"/>
            <w:vAlign w:val="center"/>
            <w:hideMark/>
          </w:tcPr>
          <w:p w:rsidR="0080082E" w:rsidRDefault="0080082E">
            <w:pPr>
              <w:pStyle w:val="a5"/>
            </w:pPr>
            <w:r>
              <w:lastRenderedPageBreak/>
              <w:t xml:space="preserve">Нова різниця. Стосується перенесення збитку в разі реорганізації правонаступнику. </w:t>
            </w:r>
            <w:r>
              <w:lastRenderedPageBreak/>
              <w:t>Стосується операцій із 23.05.20 р., бо саме з цієї дати було внесено зміни до ПК.</w:t>
            </w:r>
          </w:p>
          <w:p w:rsidR="0080082E" w:rsidRDefault="0080082E">
            <w:pPr>
              <w:pStyle w:val="a5"/>
            </w:pPr>
            <w:r>
              <w:t>Детальніше – у матеріалі «</w:t>
            </w:r>
            <w:hyperlink r:id="rId7" w:tgtFrame="_blank" w:history="1">
              <w:r>
                <w:rPr>
                  <w:rStyle w:val="ab"/>
                </w:rPr>
                <w:t>Від’ємне значення об’єкта оподаткування як різниця з податку на прибуток</w:t>
              </w:r>
            </w:hyperlink>
            <w:r>
              <w:t>»</w:t>
            </w:r>
          </w:p>
        </w:tc>
      </w:tr>
      <w:tr w:rsidR="0080082E" w:rsidTr="0080082E">
        <w:trPr>
          <w:tblCellSpacing w:w="15" w:type="dxa"/>
        </w:trPr>
        <w:tc>
          <w:tcPr>
            <w:tcW w:w="8910" w:type="dxa"/>
            <w:gridSpan w:val="4"/>
            <w:vAlign w:val="center"/>
            <w:hideMark/>
          </w:tcPr>
          <w:p w:rsidR="0080082E" w:rsidRDefault="0080082E">
            <w:pPr>
              <w:pStyle w:val="a5"/>
              <w:jc w:val="center"/>
            </w:pPr>
            <w:r>
              <w:rPr>
                <w:rStyle w:val="a6"/>
              </w:rPr>
              <w:lastRenderedPageBreak/>
              <w:t>Зменшує фінрезультат до оподаткування</w:t>
            </w:r>
          </w:p>
        </w:tc>
      </w:tr>
      <w:tr w:rsidR="0080082E" w:rsidTr="0080082E">
        <w:trPr>
          <w:tblCellSpacing w:w="15" w:type="dxa"/>
        </w:trPr>
        <w:tc>
          <w:tcPr>
            <w:tcW w:w="1395" w:type="dxa"/>
            <w:vAlign w:val="center"/>
            <w:hideMark/>
          </w:tcPr>
          <w:p w:rsidR="0080082E" w:rsidRDefault="0080082E">
            <w:pPr>
              <w:pStyle w:val="a5"/>
              <w:jc w:val="center"/>
            </w:pPr>
            <w:r>
              <w:t>3.1.7</w:t>
            </w:r>
          </w:p>
        </w:tc>
        <w:tc>
          <w:tcPr>
            <w:tcW w:w="4590" w:type="dxa"/>
            <w:gridSpan w:val="2"/>
            <w:vAlign w:val="center"/>
            <w:hideMark/>
          </w:tcPr>
          <w:p w:rsidR="0080082E" w:rsidRDefault="0080082E">
            <w:pPr>
              <w:pStyle w:val="a5"/>
            </w:pPr>
            <w:r>
              <w:t>Сума 30 відсотків вартості товарів, у тому числі необоротних активів, робіт та послуг (крім операцій, визнаних контрольованими відповідно до статті 39 Податкового кодексу України), реалізованих на користь нерезидентів, зареєстрованих у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Податкового кодексу України (підпункт 140.5.5</w:t>
            </w:r>
            <w:r>
              <w:rPr>
                <w:vertAlign w:val="superscript"/>
              </w:rPr>
              <w:t>1</w:t>
            </w:r>
            <w:r>
              <w:t> пункту 140.5 статті 140 розділу III Податкового кодексу України)</w:t>
            </w:r>
          </w:p>
        </w:tc>
        <w:tc>
          <w:tcPr>
            <w:tcW w:w="2910" w:type="dxa"/>
            <w:vAlign w:val="center"/>
            <w:hideMark/>
          </w:tcPr>
          <w:p w:rsidR="0080082E" w:rsidRDefault="0080082E">
            <w:pPr>
              <w:pStyle w:val="a5"/>
            </w:pPr>
            <w:r>
              <w:t>Різниця стосується операцій експорту товарів, послуг «особливим» нерезидентам з Переліку КМУ № 1045. Ця різниця річна (щокварталу не застосовується, бо про можливі винятки з неї можна судити лише за результатами року).</w:t>
            </w:r>
          </w:p>
          <w:p w:rsidR="0080082E" w:rsidRDefault="0080082E">
            <w:pPr>
              <w:pStyle w:val="a5"/>
            </w:pPr>
            <w:r>
              <w:t>Детальніше – «</w:t>
            </w:r>
            <w:hyperlink r:id="rId8" w:tgtFrame="_blank" w:history="1">
              <w:r>
                <w:rPr>
                  <w:rStyle w:val="ab"/>
                </w:rPr>
                <w:t>Операції з нерезидентами: не забудьте про нові різниці за податком на прибуток!</w:t>
              </w:r>
            </w:hyperlink>
            <w:r>
              <w:t>», «</w:t>
            </w:r>
            <w:hyperlink r:id="rId9" w:tgtFrame="_blank" w:history="1">
              <w:r>
                <w:rPr>
                  <w:rStyle w:val="ab"/>
                </w:rPr>
                <w:t>Доходи та витрати від реалізації товарів нерезидентам</w:t>
              </w:r>
            </w:hyperlink>
            <w:r>
              <w:t>»</w:t>
            </w:r>
          </w:p>
        </w:tc>
      </w:tr>
      <w:tr w:rsidR="0080082E" w:rsidTr="0080082E">
        <w:trPr>
          <w:tblCellSpacing w:w="15" w:type="dxa"/>
        </w:trPr>
        <w:tc>
          <w:tcPr>
            <w:tcW w:w="1395" w:type="dxa"/>
            <w:vAlign w:val="center"/>
            <w:hideMark/>
          </w:tcPr>
          <w:p w:rsidR="0080082E" w:rsidRDefault="0080082E">
            <w:pPr>
              <w:pStyle w:val="a5"/>
              <w:jc w:val="center"/>
            </w:pPr>
            <w:r>
              <w:t>3.1.7.1</w:t>
            </w:r>
          </w:p>
        </w:tc>
        <w:tc>
          <w:tcPr>
            <w:tcW w:w="4590" w:type="dxa"/>
            <w:gridSpan w:val="2"/>
            <w:vAlign w:val="center"/>
            <w:hideMark/>
          </w:tcPr>
          <w:p w:rsidR="0080082E" w:rsidRDefault="0080082E">
            <w:pPr>
              <w:pStyle w:val="a5"/>
            </w:pPr>
            <w:r>
              <w:t>Сума 30 відсотків вартості товарів, у тому числі необоротних активів, робіт та послуг (крім операцій, визнаних контрольованими відповідно до статті 39 Податкового кодексу України), реалізованих на користь нерезидентів, організаційно-правова форма яких включена до переліку, затвердженого Кабінетом Міністрів України відповідно до підпункту «ґ» підпункту 39.2.1.1 підпункту 39.2.1 пункту 39.2 статті 39 Податкового кодексу України, які не сплачують податок на прибуток (корпоративний податок), у тому числі податок з доходів, отриманих за межами держави реєстрації таких нерезидентів, та/або не є податковими резидентами держави, в якій вони зареєстровані як юридичні особи (підпункт 140.5.5</w:t>
            </w:r>
            <w:r>
              <w:rPr>
                <w:vertAlign w:val="superscript"/>
              </w:rPr>
              <w:t>1</w:t>
            </w:r>
            <w:r>
              <w:t> пункту 140.5 статті 140 розділу III Податкового кодексу України)</w:t>
            </w:r>
          </w:p>
        </w:tc>
        <w:tc>
          <w:tcPr>
            <w:tcW w:w="2910" w:type="dxa"/>
            <w:vAlign w:val="center"/>
            <w:hideMark/>
          </w:tcPr>
          <w:p w:rsidR="0080082E" w:rsidRDefault="0080082E">
            <w:pPr>
              <w:pStyle w:val="a5"/>
            </w:pPr>
            <w:r>
              <w:t>Різниця стосується операцій експорту товарів, послуг «особливим» нерезидентам з Переліку № 480, якщо нерезидент з цього Переліку не сплачував корпоративний податок у цьому звітному періоду. Ця різниця річна (щокварталу не застосовується, бо про можливі винятки з неї можна судити лише за результатами року)</w:t>
            </w:r>
          </w:p>
          <w:p w:rsidR="0080082E" w:rsidRDefault="0080082E">
            <w:pPr>
              <w:pStyle w:val="a5"/>
            </w:pPr>
            <w:r>
              <w:t>Детальніше – «</w:t>
            </w:r>
            <w:hyperlink r:id="rId10" w:tgtFrame="_blank" w:history="1">
              <w:r>
                <w:rPr>
                  <w:rStyle w:val="ab"/>
                </w:rPr>
                <w:t>Операції з нерезидентами: не забудьте про нові різниці за податком на прибуток!</w:t>
              </w:r>
            </w:hyperlink>
            <w:r>
              <w:t>», «</w:t>
            </w:r>
            <w:hyperlink r:id="rId11" w:tgtFrame="_blank" w:history="1">
              <w:r>
                <w:rPr>
                  <w:rStyle w:val="ab"/>
                </w:rPr>
                <w:t>Доходи та витрати від реалізації товарів нерезидентам</w:t>
              </w:r>
            </w:hyperlink>
            <w:r>
              <w:t>»</w:t>
            </w:r>
          </w:p>
        </w:tc>
      </w:tr>
      <w:tr w:rsidR="0080082E" w:rsidTr="0080082E">
        <w:trPr>
          <w:tblCellSpacing w:w="15" w:type="dxa"/>
        </w:trPr>
        <w:tc>
          <w:tcPr>
            <w:tcW w:w="1395" w:type="dxa"/>
            <w:vAlign w:val="center"/>
            <w:hideMark/>
          </w:tcPr>
          <w:p w:rsidR="0080082E" w:rsidRDefault="0080082E">
            <w:pPr>
              <w:pStyle w:val="a5"/>
              <w:jc w:val="center"/>
            </w:pPr>
            <w:r>
              <w:lastRenderedPageBreak/>
              <w:t>3.1.7.2</w:t>
            </w:r>
          </w:p>
        </w:tc>
        <w:tc>
          <w:tcPr>
            <w:tcW w:w="4590" w:type="dxa"/>
            <w:gridSpan w:val="2"/>
            <w:vAlign w:val="center"/>
            <w:hideMark/>
          </w:tcPr>
          <w:p w:rsidR="0080082E" w:rsidRDefault="0080082E">
            <w:pPr>
              <w:pStyle w:val="a5"/>
            </w:pPr>
            <w:r>
              <w:t>Розмір різниці між вартістю, визначеною виходячи з рівня ціни, визначеної за принципом «витягнутої руки», та вартістю реалізації товарів, у тому числі необоротних активів, робіт та послуг (підпункт 140.5.5</w:t>
            </w:r>
            <w:r>
              <w:rPr>
                <w:vertAlign w:val="superscript"/>
              </w:rPr>
              <w:t>1</w:t>
            </w:r>
            <w:r>
              <w:t xml:space="preserve"> пункту 140.5 статті 140 розділу III Податкового кодексу України)</w:t>
            </w:r>
          </w:p>
        </w:tc>
        <w:tc>
          <w:tcPr>
            <w:tcW w:w="2910" w:type="dxa"/>
            <w:vAlign w:val="center"/>
            <w:hideMark/>
          </w:tcPr>
          <w:p w:rsidR="0080082E" w:rsidRDefault="0080082E"/>
        </w:tc>
      </w:tr>
      <w:tr w:rsidR="0080082E" w:rsidTr="0080082E">
        <w:trPr>
          <w:tblCellSpacing w:w="15" w:type="dxa"/>
        </w:trPr>
        <w:tc>
          <w:tcPr>
            <w:tcW w:w="1395" w:type="dxa"/>
            <w:vAlign w:val="center"/>
            <w:hideMark/>
          </w:tcPr>
          <w:p w:rsidR="0080082E" w:rsidRDefault="0080082E">
            <w:pPr>
              <w:pStyle w:val="a5"/>
              <w:jc w:val="center"/>
            </w:pPr>
            <w:r>
              <w:t>3.1.11</w:t>
            </w:r>
          </w:p>
        </w:tc>
        <w:tc>
          <w:tcPr>
            <w:tcW w:w="4590" w:type="dxa"/>
            <w:gridSpan w:val="2"/>
            <w:vAlign w:val="center"/>
            <w:hideMark/>
          </w:tcPr>
          <w:p w:rsidR="0080082E" w:rsidRDefault="0080082E">
            <w:pPr>
              <w:pStyle w:val="a5"/>
            </w:pPr>
            <w:r>
              <w:t xml:space="preserve">Сума витрат від визнаних штрафів, пені, неустойок, відшкодування збитків, компенсації неодержаного доходу (упущеної вигоди), нарахованих відповідно до цивільного законодавства та цивільно-правових договорів, у тому числі у сфері зовнішньоекономічної діяльності, на користь осіб, які не є платниками податку (крім фізичних осіб, які є платниками податку на доходи фізичних осіб), та на користь платників податку, які оподатковуються за ставкою 0 відсотків відповідно до пункту 44 підрозділу 4 розділу XX «Перехідні положення» Податкового кодексу України, </w:t>
            </w:r>
            <w:r>
              <w:rPr>
                <w:rStyle w:val="a6"/>
              </w:rPr>
              <w:t>а також на суму штрафів, пені, нарахованих контролюючими органами та іншими органами державної влади за порушення вимог законодавства</w:t>
            </w:r>
            <w:r>
              <w:t xml:space="preserve"> (підпункт 140.5.11 пункту 140.5 статті 140 розділу III Податкового кодексу України)</w:t>
            </w:r>
          </w:p>
        </w:tc>
        <w:tc>
          <w:tcPr>
            <w:tcW w:w="2910" w:type="dxa"/>
            <w:vAlign w:val="center"/>
            <w:hideMark/>
          </w:tcPr>
          <w:p w:rsidR="0080082E" w:rsidRDefault="0080082E">
            <w:pPr>
              <w:pStyle w:val="a5"/>
            </w:pPr>
            <w:r>
              <w:t>Уточнено зміст цього рядка, адже з 23.05.20 р. штрафи,. нараховані контролюючими органами за порушення законодавства, збільшують фінрезультат.</w:t>
            </w:r>
          </w:p>
          <w:p w:rsidR="0080082E" w:rsidRDefault="0080082E">
            <w:pPr>
              <w:pStyle w:val="a5"/>
            </w:pPr>
            <w:r>
              <w:t>Детально – у матеріалах: «</w:t>
            </w:r>
            <w:hyperlink r:id="rId12" w:tgtFrame="_blank" w:history="1">
              <w:r>
                <w:rPr>
                  <w:rStyle w:val="ab"/>
                </w:rPr>
                <w:t>За податковими штрафами виникає різниця з податку на прибуток</w:t>
              </w:r>
            </w:hyperlink>
            <w:r>
              <w:t>», «</w:t>
            </w:r>
            <w:hyperlink r:id="rId13" w:tgtFrame="_blank" w:history="1">
              <w:r>
                <w:rPr>
                  <w:rStyle w:val="ab"/>
                </w:rPr>
                <w:t>Штраф у разі самостійного виправлення помилок: чи є різниця з податку на прибуток</w:t>
              </w:r>
            </w:hyperlink>
            <w:r>
              <w:t>»</w:t>
            </w:r>
          </w:p>
        </w:tc>
      </w:tr>
      <w:tr w:rsidR="0080082E" w:rsidTr="0080082E">
        <w:trPr>
          <w:tblCellSpacing w:w="15" w:type="dxa"/>
        </w:trPr>
        <w:tc>
          <w:tcPr>
            <w:tcW w:w="1395" w:type="dxa"/>
            <w:vAlign w:val="center"/>
            <w:hideMark/>
          </w:tcPr>
          <w:p w:rsidR="0080082E" w:rsidRPr="00D36091" w:rsidRDefault="0080082E">
            <w:pPr>
              <w:pStyle w:val="a5"/>
              <w:jc w:val="center"/>
              <w:rPr>
                <w:strike/>
              </w:rPr>
            </w:pPr>
            <w:bookmarkStart w:id="0" w:name="_GoBack" w:colFirst="0" w:colLast="1"/>
            <w:r w:rsidRPr="00D36091">
              <w:rPr>
                <w:strike/>
              </w:rPr>
              <w:t>3.1.12</w:t>
            </w:r>
          </w:p>
        </w:tc>
        <w:tc>
          <w:tcPr>
            <w:tcW w:w="4590" w:type="dxa"/>
            <w:gridSpan w:val="2"/>
            <w:vAlign w:val="center"/>
            <w:hideMark/>
          </w:tcPr>
          <w:p w:rsidR="0080082E" w:rsidRPr="00D36091" w:rsidRDefault="0080082E">
            <w:pPr>
              <w:pStyle w:val="a5"/>
              <w:rPr>
                <w:strike/>
              </w:rPr>
            </w:pPr>
            <w:r w:rsidRPr="00D36091">
              <w:rPr>
                <w:strike/>
              </w:rPr>
              <w:t>Сума доходу, отриманого як оплата за товари (роботи, послуги), відвантажені (надані) під час перебування на спрощеній системі оподаткування (крім платників податків, які були платниками єдиного податку четвертої групи)(підпункт 140.5.12 пункту 140.5 статті 140 розділу ІІІ ПКУ)</w:t>
            </w:r>
          </w:p>
        </w:tc>
        <w:tc>
          <w:tcPr>
            <w:tcW w:w="2910" w:type="dxa"/>
            <w:vAlign w:val="center"/>
            <w:hideMark/>
          </w:tcPr>
          <w:p w:rsidR="0080082E" w:rsidRDefault="0080082E">
            <w:pPr>
              <w:pStyle w:val="a5"/>
            </w:pPr>
            <w:r>
              <w:t>Ця різниця не зникла – вона перекочувала в ряд. 4.1.5.1 додатка РІ</w:t>
            </w:r>
          </w:p>
        </w:tc>
      </w:tr>
      <w:bookmarkEnd w:id="0"/>
      <w:tr w:rsidR="0080082E" w:rsidTr="0080082E">
        <w:trPr>
          <w:tblCellSpacing w:w="15" w:type="dxa"/>
        </w:trPr>
        <w:tc>
          <w:tcPr>
            <w:tcW w:w="1395" w:type="dxa"/>
            <w:vAlign w:val="center"/>
            <w:hideMark/>
          </w:tcPr>
          <w:p w:rsidR="0080082E" w:rsidRDefault="0080082E">
            <w:pPr>
              <w:pStyle w:val="a5"/>
              <w:jc w:val="center"/>
            </w:pPr>
            <w:r>
              <w:t>3.1.12</w:t>
            </w:r>
          </w:p>
          <w:p w:rsidR="0080082E" w:rsidRDefault="0080082E">
            <w:pPr>
              <w:pStyle w:val="a5"/>
              <w:jc w:val="center"/>
            </w:pPr>
            <w:r>
              <w:t>(раніше – у ряд. 3.1.13)</w:t>
            </w:r>
          </w:p>
        </w:tc>
        <w:tc>
          <w:tcPr>
            <w:tcW w:w="4590" w:type="dxa"/>
            <w:gridSpan w:val="2"/>
            <w:vAlign w:val="center"/>
            <w:hideMark/>
          </w:tcPr>
          <w:p w:rsidR="0080082E" w:rsidRDefault="0080082E">
            <w:pPr>
              <w:pStyle w:val="a5"/>
            </w:pPr>
            <w:r>
              <w:t>Сума витрат, понесених платником податку у поточному звітному періоді за рахунок раніше отриманих субсидій для повернення частини кваліфікованих витрат відповідно до Закону України «Про державну підтримку кінематографії в Україні", але не більше суми такої субсидії, здійснених при виробництві (створенні) фільму та включених до складу витрат поточного звітного періоду відповідно до національних положень (стандартів) бухгалтерського обліку або міжнародних стандартів фінансової звітності (підпункт 140.5.13 пункту 140.5 статті 140 розділу III Податкового кодексу України)</w:t>
            </w:r>
          </w:p>
        </w:tc>
        <w:tc>
          <w:tcPr>
            <w:tcW w:w="2910" w:type="dxa"/>
            <w:vAlign w:val="center"/>
            <w:hideMark/>
          </w:tcPr>
          <w:p w:rsidR="0080082E" w:rsidRDefault="0080082E">
            <w:pPr>
              <w:pStyle w:val="a5"/>
            </w:pPr>
            <w:r>
              <w:t>Не нова різниця. Була раніше в ряд. 3.1.13, просто перемістилася на один рядок вгору</w:t>
            </w:r>
          </w:p>
        </w:tc>
      </w:tr>
      <w:tr w:rsidR="0080082E" w:rsidTr="0080082E">
        <w:trPr>
          <w:tblCellSpacing w:w="15" w:type="dxa"/>
        </w:trPr>
        <w:tc>
          <w:tcPr>
            <w:tcW w:w="1395" w:type="dxa"/>
            <w:vAlign w:val="center"/>
            <w:hideMark/>
          </w:tcPr>
          <w:p w:rsidR="0080082E" w:rsidRDefault="0080082E">
            <w:pPr>
              <w:pStyle w:val="a5"/>
              <w:jc w:val="center"/>
            </w:pPr>
            <w:r>
              <w:lastRenderedPageBreak/>
              <w:t>3.1.13</w:t>
            </w:r>
          </w:p>
          <w:p w:rsidR="0080082E" w:rsidRDefault="0080082E">
            <w:pPr>
              <w:pStyle w:val="a5"/>
              <w:jc w:val="center"/>
            </w:pPr>
            <w:r>
              <w:t>(раніше – у п. 3.1.14)</w:t>
            </w:r>
          </w:p>
        </w:tc>
        <w:tc>
          <w:tcPr>
            <w:tcW w:w="4590" w:type="dxa"/>
            <w:gridSpan w:val="2"/>
            <w:vAlign w:val="center"/>
            <w:hideMark/>
          </w:tcPr>
          <w:p w:rsidR="0080082E" w:rsidRDefault="0080082E">
            <w:pPr>
              <w:pStyle w:val="a5"/>
            </w:pPr>
            <w:r>
              <w:t>Сума коштів або вартості товарів, виконаних робіт, наданих послуг, безоплатно перерахованих (переданих) протягом звітного (податкового) року суб’єктам сфери фізичної культури і спорту, а саме дитячо-юнацьким спортивним школам, центрам олімпійської підготовки, школам вищої спортивної майстерності, центрам фізичної культури і спорту інвалідів, спортивним федераціям з олімпійських видів спорту, що є неприбутковими організаціями, внесеними до Реєстру неприбуткових установ та організацій, на дату такого перерахування коштів, передачі товарів, робіт, послуг у розмірі, що перевищує 8 відсотків оподатковуваного прибутку попереднього звітного року (підпункт 140.5.14 пункту 140.5 статті 140 розділу III Податкового кодексу України)</w:t>
            </w:r>
          </w:p>
        </w:tc>
        <w:tc>
          <w:tcPr>
            <w:tcW w:w="2910" w:type="dxa"/>
            <w:vAlign w:val="center"/>
            <w:hideMark/>
          </w:tcPr>
          <w:p w:rsidR="0080082E" w:rsidRDefault="0080082E">
            <w:pPr>
              <w:pStyle w:val="a5"/>
            </w:pPr>
            <w:r>
              <w:t>Не нова різниця, змінила лише свою адресу – з ряд. 3.1.14 перемістилася в ряд. 3.1.13</w:t>
            </w:r>
          </w:p>
        </w:tc>
      </w:tr>
      <w:tr w:rsidR="0080082E" w:rsidTr="0080082E">
        <w:trPr>
          <w:tblCellSpacing w:w="15" w:type="dxa"/>
        </w:trPr>
        <w:tc>
          <w:tcPr>
            <w:tcW w:w="1395" w:type="dxa"/>
            <w:vAlign w:val="center"/>
            <w:hideMark/>
          </w:tcPr>
          <w:p w:rsidR="0080082E" w:rsidRDefault="0080082E">
            <w:pPr>
              <w:pStyle w:val="a5"/>
              <w:jc w:val="center"/>
            </w:pPr>
            <w:r>
              <w:t>3.1.14</w:t>
            </w:r>
          </w:p>
        </w:tc>
        <w:tc>
          <w:tcPr>
            <w:tcW w:w="4590" w:type="dxa"/>
            <w:gridSpan w:val="2"/>
            <w:vAlign w:val="center"/>
            <w:hideMark/>
          </w:tcPr>
          <w:p w:rsidR="0080082E" w:rsidRDefault="0080082E">
            <w:pPr>
              <w:pStyle w:val="a5"/>
            </w:pPr>
            <w:r>
              <w:t>Сума витрат, понесених платником податків при здійсненні операцій з нерезидентами, якщо такі операції не мають ділової мети (підпункт 140.5.15 пункту 140.5 статті 140 розділу III Податкового кодексу України)</w:t>
            </w:r>
          </w:p>
        </w:tc>
        <w:tc>
          <w:tcPr>
            <w:tcW w:w="2910" w:type="dxa"/>
            <w:vAlign w:val="center"/>
            <w:hideMark/>
          </w:tcPr>
          <w:p w:rsidR="0080082E" w:rsidRDefault="0080082E">
            <w:pPr>
              <w:pStyle w:val="a5"/>
            </w:pPr>
            <w:r>
              <w:t>Нова різниця. З’явилася з 23.05.20 р. завдяки Закону № 466. Визначення ділової мети було підкориговано Законом від 14.07.20 р. № 786-IX.</w:t>
            </w:r>
          </w:p>
          <w:p w:rsidR="0080082E" w:rsidRDefault="0080082E">
            <w:pPr>
              <w:pStyle w:val="a5"/>
            </w:pPr>
            <w:r>
              <w:t>Детальніше – «</w:t>
            </w:r>
            <w:hyperlink r:id="rId14" w:tgtFrame="_blank" w:history="1">
              <w:r>
                <w:rPr>
                  <w:rStyle w:val="ab"/>
                </w:rPr>
                <w:t>Операції з нерезидентами: не забудьте про нові різниці за податком на прибуток!</w:t>
              </w:r>
            </w:hyperlink>
            <w:r>
              <w:t>»</w:t>
            </w:r>
          </w:p>
        </w:tc>
      </w:tr>
      <w:tr w:rsidR="0080082E" w:rsidTr="0080082E">
        <w:trPr>
          <w:tblCellSpacing w:w="15" w:type="dxa"/>
        </w:trPr>
        <w:tc>
          <w:tcPr>
            <w:tcW w:w="1395" w:type="dxa"/>
            <w:vAlign w:val="center"/>
            <w:hideMark/>
          </w:tcPr>
          <w:p w:rsidR="0080082E" w:rsidRDefault="0080082E">
            <w:pPr>
              <w:pStyle w:val="a5"/>
              <w:jc w:val="center"/>
            </w:pPr>
            <w:r>
              <w:t>4.1.5.1</w:t>
            </w:r>
          </w:p>
        </w:tc>
        <w:tc>
          <w:tcPr>
            <w:tcW w:w="4590" w:type="dxa"/>
            <w:gridSpan w:val="2"/>
            <w:vAlign w:val="center"/>
            <w:hideMark/>
          </w:tcPr>
          <w:p w:rsidR="0080082E" w:rsidRDefault="0080082E">
            <w:pPr>
              <w:pStyle w:val="a5"/>
            </w:pPr>
            <w:r>
              <w:t>Сума доходу, отриманого як оплата за товари (роботи, послуги), відвантажені (надані) під час перебування на спрощеній системі оподаткування (пункт 4</w:t>
            </w:r>
            <w:r>
              <w:rPr>
                <w:vertAlign w:val="superscript"/>
              </w:rPr>
              <w:t>1</w:t>
            </w:r>
            <w:r>
              <w:t> підрозділу 4 розділу XX Податкового кодексу України)</w:t>
            </w:r>
          </w:p>
        </w:tc>
        <w:tc>
          <w:tcPr>
            <w:tcW w:w="2910" w:type="dxa"/>
            <w:vAlign w:val="center"/>
            <w:hideMark/>
          </w:tcPr>
          <w:p w:rsidR="0080082E" w:rsidRDefault="0080082E">
            <w:pPr>
              <w:pStyle w:val="a5"/>
            </w:pPr>
            <w:r>
              <w:t>Не нова різниця. Раніше була в розд. ІІІ ПК, зараз її перемістили в підрозд. 4 розд. ХХ ПК. Зроблено це тому, що різниця стосується колишніх єдинників за перехідними операціями, а вони найчастіше мають суму доходу, яка дає право відмовитися від різниць з розд. ІІІ ПК (пп. 134.1.1 ПК). А ось від різниць з підрозд. 4 розд. ХХ вони відмовитися не можуть</w:t>
            </w:r>
          </w:p>
        </w:tc>
      </w:tr>
    </w:tbl>
    <w:p w:rsidR="00696FE8" w:rsidRPr="0080082E" w:rsidRDefault="00696FE8" w:rsidP="0080082E"/>
    <w:sectPr w:rsidR="00696FE8" w:rsidRPr="0080082E" w:rsidSect="00D55822">
      <w:footerReference w:type="default" r:id="rId15"/>
      <w:pgSz w:w="11906" w:h="16838"/>
      <w:pgMar w:top="1134" w:right="850" w:bottom="1134" w:left="170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F34" w:rsidRDefault="00C94F34">
      <w:r>
        <w:separator/>
      </w:r>
    </w:p>
  </w:endnote>
  <w:endnote w:type="continuationSeparator" w:id="0">
    <w:p w:rsidR="00C94F34" w:rsidRDefault="00C9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5D" w:rsidRPr="00D55822" w:rsidRDefault="00725FE3" w:rsidP="00D55822">
    <w:pPr>
      <w:pStyle w:val="a4"/>
      <w:jc w:val="right"/>
    </w:pPr>
    <w:r w:rsidRPr="00F8539C">
      <w:rPr>
        <w:noProof/>
      </w:rPr>
      <w:drawing>
        <wp:inline distT="0" distB="0" distL="0" distR="0">
          <wp:extent cx="895350" cy="219075"/>
          <wp:effectExtent l="0" t="0" r="0" b="9525"/>
          <wp:docPr id="1" name="Рисунок 1"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19075"/>
                  </a:xfrm>
                  <a:prstGeom prst="rect">
                    <a:avLst/>
                  </a:prstGeom>
                  <a:noFill/>
                  <a:ln>
                    <a:noFill/>
                  </a:ln>
                </pic:spPr>
              </pic:pic>
            </a:graphicData>
          </a:graphic>
        </wp:inline>
      </w:drawing>
    </w:r>
    <w:r w:rsidR="00D55822" w:rsidRPr="00F8539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F34" w:rsidRDefault="00C94F34">
      <w:r>
        <w:separator/>
      </w:r>
    </w:p>
  </w:footnote>
  <w:footnote w:type="continuationSeparator" w:id="0">
    <w:p w:rsidR="00C94F34" w:rsidRDefault="00C94F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6162D"/>
    <w:multiLevelType w:val="multilevel"/>
    <w:tmpl w:val="CF5E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F31B1"/>
    <w:multiLevelType w:val="multilevel"/>
    <w:tmpl w:val="2624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360AC"/>
    <w:multiLevelType w:val="multilevel"/>
    <w:tmpl w:val="C8E20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C623D"/>
    <w:multiLevelType w:val="multilevel"/>
    <w:tmpl w:val="256A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075FD"/>
    <w:multiLevelType w:val="multilevel"/>
    <w:tmpl w:val="797C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C3BD1"/>
    <w:multiLevelType w:val="multilevel"/>
    <w:tmpl w:val="DD80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D2925"/>
    <w:multiLevelType w:val="multilevel"/>
    <w:tmpl w:val="36C0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56615"/>
    <w:multiLevelType w:val="multilevel"/>
    <w:tmpl w:val="F49C8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052D1A"/>
    <w:multiLevelType w:val="multilevel"/>
    <w:tmpl w:val="E66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478EF"/>
    <w:multiLevelType w:val="multilevel"/>
    <w:tmpl w:val="5164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97743"/>
    <w:multiLevelType w:val="multilevel"/>
    <w:tmpl w:val="1712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33644"/>
    <w:multiLevelType w:val="multilevel"/>
    <w:tmpl w:val="FE4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551A8"/>
    <w:multiLevelType w:val="multilevel"/>
    <w:tmpl w:val="E0E8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87685"/>
    <w:multiLevelType w:val="multilevel"/>
    <w:tmpl w:val="5EEAB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1C7C96"/>
    <w:multiLevelType w:val="multilevel"/>
    <w:tmpl w:val="C960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948F8"/>
    <w:multiLevelType w:val="multilevel"/>
    <w:tmpl w:val="1E9C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A71792"/>
    <w:multiLevelType w:val="multilevel"/>
    <w:tmpl w:val="EDBC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07C7D"/>
    <w:multiLevelType w:val="multilevel"/>
    <w:tmpl w:val="169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633D81"/>
    <w:multiLevelType w:val="multilevel"/>
    <w:tmpl w:val="724A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995AE9"/>
    <w:multiLevelType w:val="multilevel"/>
    <w:tmpl w:val="B7E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210E3"/>
    <w:multiLevelType w:val="multilevel"/>
    <w:tmpl w:val="F37A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174A4"/>
    <w:multiLevelType w:val="multilevel"/>
    <w:tmpl w:val="017C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AC5A4B"/>
    <w:multiLevelType w:val="multilevel"/>
    <w:tmpl w:val="8278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BF3E29"/>
    <w:multiLevelType w:val="multilevel"/>
    <w:tmpl w:val="E582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81BAD"/>
    <w:multiLevelType w:val="multilevel"/>
    <w:tmpl w:val="C6486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E71179"/>
    <w:multiLevelType w:val="multilevel"/>
    <w:tmpl w:val="E0E4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DB4E99"/>
    <w:multiLevelType w:val="multilevel"/>
    <w:tmpl w:val="F810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B371E6"/>
    <w:multiLevelType w:val="multilevel"/>
    <w:tmpl w:val="C3E6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A959E5"/>
    <w:multiLevelType w:val="multilevel"/>
    <w:tmpl w:val="E3D4F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1"/>
  </w:num>
  <w:num w:numId="3">
    <w:abstractNumId w:val="21"/>
  </w:num>
  <w:num w:numId="4">
    <w:abstractNumId w:val="1"/>
  </w:num>
  <w:num w:numId="5">
    <w:abstractNumId w:val="27"/>
  </w:num>
  <w:num w:numId="6">
    <w:abstractNumId w:val="17"/>
  </w:num>
  <w:num w:numId="7">
    <w:abstractNumId w:val="9"/>
  </w:num>
  <w:num w:numId="8">
    <w:abstractNumId w:val="19"/>
  </w:num>
  <w:num w:numId="9">
    <w:abstractNumId w:val="0"/>
  </w:num>
  <w:num w:numId="10">
    <w:abstractNumId w:val="6"/>
  </w:num>
  <w:num w:numId="11">
    <w:abstractNumId w:val="4"/>
  </w:num>
  <w:num w:numId="12">
    <w:abstractNumId w:val="18"/>
  </w:num>
  <w:num w:numId="13">
    <w:abstractNumId w:val="24"/>
  </w:num>
  <w:num w:numId="14">
    <w:abstractNumId w:val="13"/>
  </w:num>
  <w:num w:numId="15">
    <w:abstractNumId w:val="7"/>
  </w:num>
  <w:num w:numId="16">
    <w:abstractNumId w:val="28"/>
  </w:num>
  <w:num w:numId="17">
    <w:abstractNumId w:val="5"/>
  </w:num>
  <w:num w:numId="18">
    <w:abstractNumId w:val="23"/>
  </w:num>
  <w:num w:numId="19">
    <w:abstractNumId w:val="8"/>
  </w:num>
  <w:num w:numId="20">
    <w:abstractNumId w:val="2"/>
  </w:num>
  <w:num w:numId="21">
    <w:abstractNumId w:val="3"/>
  </w:num>
  <w:num w:numId="22">
    <w:abstractNumId w:val="26"/>
  </w:num>
  <w:num w:numId="23">
    <w:abstractNumId w:val="16"/>
  </w:num>
  <w:num w:numId="24">
    <w:abstractNumId w:val="14"/>
  </w:num>
  <w:num w:numId="25">
    <w:abstractNumId w:val="15"/>
  </w:num>
  <w:num w:numId="26">
    <w:abstractNumId w:val="22"/>
  </w:num>
  <w:num w:numId="27">
    <w:abstractNumId w:val="12"/>
  </w:num>
  <w:num w:numId="28">
    <w:abstractNumId w:val="1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AA"/>
    <w:rsid w:val="00004052"/>
    <w:rsid w:val="0000458A"/>
    <w:rsid w:val="00010641"/>
    <w:rsid w:val="00014546"/>
    <w:rsid w:val="0004635D"/>
    <w:rsid w:val="000532A1"/>
    <w:rsid w:val="00087CD6"/>
    <w:rsid w:val="000B6804"/>
    <w:rsid w:val="000C3405"/>
    <w:rsid w:val="000D0131"/>
    <w:rsid w:val="000E0C8F"/>
    <w:rsid w:val="00152194"/>
    <w:rsid w:val="00152B79"/>
    <w:rsid w:val="0015422E"/>
    <w:rsid w:val="001566CE"/>
    <w:rsid w:val="00157176"/>
    <w:rsid w:val="00167E8E"/>
    <w:rsid w:val="00173C69"/>
    <w:rsid w:val="00181870"/>
    <w:rsid w:val="001C14E3"/>
    <w:rsid w:val="001D117D"/>
    <w:rsid w:val="001E32A2"/>
    <w:rsid w:val="002372FB"/>
    <w:rsid w:val="002569D8"/>
    <w:rsid w:val="002B2945"/>
    <w:rsid w:val="002C0BC9"/>
    <w:rsid w:val="002D75DA"/>
    <w:rsid w:val="002F1A70"/>
    <w:rsid w:val="002F2155"/>
    <w:rsid w:val="00311F48"/>
    <w:rsid w:val="00350574"/>
    <w:rsid w:val="00357DEA"/>
    <w:rsid w:val="00373216"/>
    <w:rsid w:val="00387926"/>
    <w:rsid w:val="003A1494"/>
    <w:rsid w:val="003A19A0"/>
    <w:rsid w:val="003D6367"/>
    <w:rsid w:val="003E0394"/>
    <w:rsid w:val="003F1FB7"/>
    <w:rsid w:val="003F256B"/>
    <w:rsid w:val="003F3165"/>
    <w:rsid w:val="00406844"/>
    <w:rsid w:val="00417A3B"/>
    <w:rsid w:val="00424485"/>
    <w:rsid w:val="004511B6"/>
    <w:rsid w:val="00454024"/>
    <w:rsid w:val="004759AD"/>
    <w:rsid w:val="00487B42"/>
    <w:rsid w:val="004B05A7"/>
    <w:rsid w:val="004B1291"/>
    <w:rsid w:val="004B1576"/>
    <w:rsid w:val="004D5ED6"/>
    <w:rsid w:val="005053AB"/>
    <w:rsid w:val="00511F7D"/>
    <w:rsid w:val="00512D7E"/>
    <w:rsid w:val="005209B9"/>
    <w:rsid w:val="005549F3"/>
    <w:rsid w:val="0057089D"/>
    <w:rsid w:val="00572570"/>
    <w:rsid w:val="005750BC"/>
    <w:rsid w:val="005758A9"/>
    <w:rsid w:val="00583817"/>
    <w:rsid w:val="005907D1"/>
    <w:rsid w:val="0059318D"/>
    <w:rsid w:val="00593D49"/>
    <w:rsid w:val="005C36BE"/>
    <w:rsid w:val="005C6E7C"/>
    <w:rsid w:val="005D54C7"/>
    <w:rsid w:val="006032A5"/>
    <w:rsid w:val="006161F9"/>
    <w:rsid w:val="0061721F"/>
    <w:rsid w:val="00627828"/>
    <w:rsid w:val="006412DF"/>
    <w:rsid w:val="00641E6C"/>
    <w:rsid w:val="00651535"/>
    <w:rsid w:val="006539A2"/>
    <w:rsid w:val="006759C2"/>
    <w:rsid w:val="00681A54"/>
    <w:rsid w:val="0068451A"/>
    <w:rsid w:val="00687299"/>
    <w:rsid w:val="00696FE8"/>
    <w:rsid w:val="006C51F5"/>
    <w:rsid w:val="006D0C4A"/>
    <w:rsid w:val="006F0198"/>
    <w:rsid w:val="00713C72"/>
    <w:rsid w:val="00723570"/>
    <w:rsid w:val="00725FE3"/>
    <w:rsid w:val="00753856"/>
    <w:rsid w:val="00756853"/>
    <w:rsid w:val="00757E41"/>
    <w:rsid w:val="007609DC"/>
    <w:rsid w:val="00760F04"/>
    <w:rsid w:val="00790EC2"/>
    <w:rsid w:val="007916E6"/>
    <w:rsid w:val="00796D84"/>
    <w:rsid w:val="007A10C3"/>
    <w:rsid w:val="007B0F2D"/>
    <w:rsid w:val="007B1F46"/>
    <w:rsid w:val="007E4487"/>
    <w:rsid w:val="0080082E"/>
    <w:rsid w:val="0085725D"/>
    <w:rsid w:val="008A117F"/>
    <w:rsid w:val="008A321E"/>
    <w:rsid w:val="008A5C1C"/>
    <w:rsid w:val="008B1D90"/>
    <w:rsid w:val="008C1986"/>
    <w:rsid w:val="008C51CE"/>
    <w:rsid w:val="008D193F"/>
    <w:rsid w:val="008D7427"/>
    <w:rsid w:val="008E057D"/>
    <w:rsid w:val="008E36F2"/>
    <w:rsid w:val="0090371E"/>
    <w:rsid w:val="00914E5D"/>
    <w:rsid w:val="009412D5"/>
    <w:rsid w:val="00942046"/>
    <w:rsid w:val="00962840"/>
    <w:rsid w:val="00963ED4"/>
    <w:rsid w:val="009762F7"/>
    <w:rsid w:val="009764F4"/>
    <w:rsid w:val="00983939"/>
    <w:rsid w:val="0099311B"/>
    <w:rsid w:val="009A01A9"/>
    <w:rsid w:val="009A4E44"/>
    <w:rsid w:val="009A5BE5"/>
    <w:rsid w:val="009A7FFC"/>
    <w:rsid w:val="009D10FE"/>
    <w:rsid w:val="009E1A0C"/>
    <w:rsid w:val="00A04AF4"/>
    <w:rsid w:val="00A04C0E"/>
    <w:rsid w:val="00A24FB8"/>
    <w:rsid w:val="00A300DC"/>
    <w:rsid w:val="00A33DE8"/>
    <w:rsid w:val="00A40DBE"/>
    <w:rsid w:val="00A56268"/>
    <w:rsid w:val="00A61FFE"/>
    <w:rsid w:val="00A7338D"/>
    <w:rsid w:val="00A748D0"/>
    <w:rsid w:val="00A91CC9"/>
    <w:rsid w:val="00AA38D1"/>
    <w:rsid w:val="00AA4C4D"/>
    <w:rsid w:val="00AA6CAB"/>
    <w:rsid w:val="00AB16DE"/>
    <w:rsid w:val="00AC06BA"/>
    <w:rsid w:val="00AC2E6C"/>
    <w:rsid w:val="00AE057F"/>
    <w:rsid w:val="00AE41FE"/>
    <w:rsid w:val="00AE45EF"/>
    <w:rsid w:val="00B32747"/>
    <w:rsid w:val="00B36649"/>
    <w:rsid w:val="00B44AE7"/>
    <w:rsid w:val="00B52DB7"/>
    <w:rsid w:val="00B55078"/>
    <w:rsid w:val="00B65D30"/>
    <w:rsid w:val="00B66237"/>
    <w:rsid w:val="00B66CDA"/>
    <w:rsid w:val="00B727C3"/>
    <w:rsid w:val="00BA14B9"/>
    <w:rsid w:val="00BA65C0"/>
    <w:rsid w:val="00BC7CD7"/>
    <w:rsid w:val="00BD6AD8"/>
    <w:rsid w:val="00C05709"/>
    <w:rsid w:val="00C2489D"/>
    <w:rsid w:val="00C2715A"/>
    <w:rsid w:val="00C44819"/>
    <w:rsid w:val="00C62A1F"/>
    <w:rsid w:val="00C6374E"/>
    <w:rsid w:val="00C94F34"/>
    <w:rsid w:val="00CB49AA"/>
    <w:rsid w:val="00CB50D9"/>
    <w:rsid w:val="00CD07AC"/>
    <w:rsid w:val="00CF63DA"/>
    <w:rsid w:val="00CF6BD9"/>
    <w:rsid w:val="00D2016B"/>
    <w:rsid w:val="00D26EF8"/>
    <w:rsid w:val="00D33FA5"/>
    <w:rsid w:val="00D36091"/>
    <w:rsid w:val="00D37DED"/>
    <w:rsid w:val="00D41509"/>
    <w:rsid w:val="00D55822"/>
    <w:rsid w:val="00D63032"/>
    <w:rsid w:val="00D706E1"/>
    <w:rsid w:val="00D86316"/>
    <w:rsid w:val="00D96FFA"/>
    <w:rsid w:val="00DA63A1"/>
    <w:rsid w:val="00DB30C0"/>
    <w:rsid w:val="00DD0B1E"/>
    <w:rsid w:val="00DD354B"/>
    <w:rsid w:val="00DD5701"/>
    <w:rsid w:val="00DE1267"/>
    <w:rsid w:val="00DF194E"/>
    <w:rsid w:val="00E00B94"/>
    <w:rsid w:val="00E129DA"/>
    <w:rsid w:val="00E35CBD"/>
    <w:rsid w:val="00E710A2"/>
    <w:rsid w:val="00E83816"/>
    <w:rsid w:val="00E93115"/>
    <w:rsid w:val="00EA112F"/>
    <w:rsid w:val="00EA22B4"/>
    <w:rsid w:val="00EA293D"/>
    <w:rsid w:val="00EA3BA5"/>
    <w:rsid w:val="00EB359F"/>
    <w:rsid w:val="00EC00D7"/>
    <w:rsid w:val="00EC0BB5"/>
    <w:rsid w:val="00EC312D"/>
    <w:rsid w:val="00EE2A4A"/>
    <w:rsid w:val="00EE67B0"/>
    <w:rsid w:val="00EF372A"/>
    <w:rsid w:val="00F0553C"/>
    <w:rsid w:val="00F17D68"/>
    <w:rsid w:val="00F37427"/>
    <w:rsid w:val="00F45457"/>
    <w:rsid w:val="00F5719E"/>
    <w:rsid w:val="00F72510"/>
    <w:rsid w:val="00F7305F"/>
    <w:rsid w:val="00FA2459"/>
    <w:rsid w:val="00FA75BD"/>
    <w:rsid w:val="00FD5775"/>
    <w:rsid w:val="00FF4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35D418-D606-40B2-8D41-5188E2F1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semiHidden/>
    <w:unhideWhenUsed/>
    <w:qFormat/>
    <w:rsid w:val="00EF372A"/>
    <w:pPr>
      <w:keepNext/>
      <w:spacing w:before="240" w:after="60"/>
      <w:outlineLvl w:val="1"/>
    </w:pPr>
    <w:rPr>
      <w:rFonts w:ascii="Calibri Light" w:hAnsi="Calibri Light"/>
      <w:b/>
      <w:bCs/>
      <w:i/>
      <w:iCs/>
      <w:sz w:val="28"/>
      <w:szCs w:val="28"/>
    </w:rPr>
  </w:style>
  <w:style w:type="paragraph" w:styleId="3">
    <w:name w:val="heading 3"/>
    <w:basedOn w:val="a"/>
    <w:link w:val="30"/>
    <w:uiPriority w:val="9"/>
    <w:qFormat/>
    <w:rsid w:val="008C51CE"/>
    <w:pPr>
      <w:spacing w:before="100" w:beforeAutospacing="1" w:after="100" w:afterAutospacing="1"/>
      <w:outlineLvl w:val="2"/>
    </w:pPr>
    <w:rPr>
      <w:b/>
      <w:bCs/>
      <w:sz w:val="27"/>
      <w:szCs w:val="27"/>
    </w:rPr>
  </w:style>
  <w:style w:type="paragraph" w:styleId="5">
    <w:name w:val="heading 5"/>
    <w:basedOn w:val="a"/>
    <w:next w:val="a"/>
    <w:link w:val="50"/>
    <w:semiHidden/>
    <w:unhideWhenUsed/>
    <w:qFormat/>
    <w:rsid w:val="00AE45E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49AA"/>
    <w:pPr>
      <w:tabs>
        <w:tab w:val="center" w:pos="4677"/>
        <w:tab w:val="right" w:pos="9355"/>
      </w:tabs>
    </w:pPr>
  </w:style>
  <w:style w:type="paragraph" w:styleId="a4">
    <w:name w:val="footer"/>
    <w:basedOn w:val="a"/>
    <w:rsid w:val="00CB49AA"/>
    <w:pPr>
      <w:tabs>
        <w:tab w:val="center" w:pos="4677"/>
        <w:tab w:val="right" w:pos="9355"/>
      </w:tabs>
    </w:pPr>
  </w:style>
  <w:style w:type="character" w:customStyle="1" w:styleId="30">
    <w:name w:val="Заголовок 3 Знак"/>
    <w:link w:val="3"/>
    <w:uiPriority w:val="9"/>
    <w:rsid w:val="008C51CE"/>
    <w:rPr>
      <w:b/>
      <w:bCs/>
      <w:sz w:val="27"/>
      <w:szCs w:val="27"/>
    </w:rPr>
  </w:style>
  <w:style w:type="paragraph" w:styleId="a5">
    <w:name w:val="Normal (Web)"/>
    <w:basedOn w:val="a"/>
    <w:uiPriority w:val="99"/>
    <w:unhideWhenUsed/>
    <w:rsid w:val="008C51CE"/>
    <w:pPr>
      <w:spacing w:before="100" w:beforeAutospacing="1" w:after="100" w:afterAutospacing="1"/>
    </w:pPr>
  </w:style>
  <w:style w:type="character" w:styleId="a6">
    <w:name w:val="Strong"/>
    <w:uiPriority w:val="22"/>
    <w:qFormat/>
    <w:rsid w:val="008C51CE"/>
    <w:rPr>
      <w:b/>
      <w:bCs/>
    </w:rPr>
  </w:style>
  <w:style w:type="character" w:customStyle="1" w:styleId="20">
    <w:name w:val="Заголовок 2 Знак"/>
    <w:link w:val="2"/>
    <w:semiHidden/>
    <w:rsid w:val="00EF372A"/>
    <w:rPr>
      <w:rFonts w:ascii="Calibri Light" w:eastAsia="Times New Roman" w:hAnsi="Calibri Light" w:cs="Times New Roman"/>
      <w:b/>
      <w:bCs/>
      <w:i/>
      <w:iCs/>
      <w:sz w:val="28"/>
      <w:szCs w:val="28"/>
    </w:rPr>
  </w:style>
  <w:style w:type="character" w:customStyle="1" w:styleId="50">
    <w:name w:val="Заголовок 5 Знак"/>
    <w:link w:val="5"/>
    <w:semiHidden/>
    <w:rsid w:val="00AE45EF"/>
    <w:rPr>
      <w:rFonts w:ascii="Calibri" w:eastAsia="Times New Roman" w:hAnsi="Calibri" w:cs="Times New Roman"/>
      <w:b/>
      <w:bCs/>
      <w:i/>
      <w:iCs/>
      <w:sz w:val="26"/>
      <w:szCs w:val="26"/>
    </w:rPr>
  </w:style>
  <w:style w:type="paragraph" w:customStyle="1" w:styleId="1">
    <w:name w:val="Абзац списка1"/>
    <w:basedOn w:val="a"/>
    <w:rsid w:val="00DD0B1E"/>
    <w:pPr>
      <w:spacing w:after="200" w:line="276" w:lineRule="auto"/>
      <w:ind w:left="720"/>
      <w:contextualSpacing/>
    </w:pPr>
    <w:rPr>
      <w:rFonts w:ascii="Calibri" w:hAnsi="Calibri"/>
      <w:sz w:val="22"/>
      <w:szCs w:val="22"/>
    </w:rPr>
  </w:style>
  <w:style w:type="character" w:styleId="a7">
    <w:name w:val="Emphasis"/>
    <w:basedOn w:val="a0"/>
    <w:uiPriority w:val="20"/>
    <w:qFormat/>
    <w:rsid w:val="000532A1"/>
    <w:rPr>
      <w:i/>
      <w:iCs/>
    </w:rPr>
  </w:style>
  <w:style w:type="paragraph" w:styleId="a8">
    <w:name w:val="footnote text"/>
    <w:basedOn w:val="a"/>
    <w:link w:val="a9"/>
    <w:uiPriority w:val="99"/>
    <w:unhideWhenUsed/>
    <w:rsid w:val="00BC7CD7"/>
    <w:rPr>
      <w:rFonts w:ascii="Calibri" w:eastAsia="Calibri" w:hAnsi="Calibri"/>
      <w:sz w:val="20"/>
      <w:szCs w:val="20"/>
      <w:lang w:eastAsia="en-US"/>
    </w:rPr>
  </w:style>
  <w:style w:type="character" w:customStyle="1" w:styleId="a9">
    <w:name w:val="Текст сноски Знак"/>
    <w:basedOn w:val="a0"/>
    <w:link w:val="a8"/>
    <w:uiPriority w:val="99"/>
    <w:rsid w:val="00BC7CD7"/>
    <w:rPr>
      <w:rFonts w:ascii="Calibri" w:eastAsia="Calibri" w:hAnsi="Calibri"/>
      <w:lang w:eastAsia="en-US"/>
    </w:rPr>
  </w:style>
  <w:style w:type="character" w:styleId="aa">
    <w:name w:val="footnote reference"/>
    <w:uiPriority w:val="99"/>
    <w:unhideWhenUsed/>
    <w:rsid w:val="00BC7CD7"/>
    <w:rPr>
      <w:vertAlign w:val="superscript"/>
    </w:rPr>
  </w:style>
  <w:style w:type="character" w:styleId="ab">
    <w:name w:val="Hyperlink"/>
    <w:basedOn w:val="a0"/>
    <w:uiPriority w:val="99"/>
    <w:unhideWhenUsed/>
    <w:rsid w:val="00AE05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4630">
      <w:bodyDiv w:val="1"/>
      <w:marLeft w:val="0"/>
      <w:marRight w:val="0"/>
      <w:marTop w:val="0"/>
      <w:marBottom w:val="0"/>
      <w:divBdr>
        <w:top w:val="none" w:sz="0" w:space="0" w:color="auto"/>
        <w:left w:val="none" w:sz="0" w:space="0" w:color="auto"/>
        <w:bottom w:val="none" w:sz="0" w:space="0" w:color="auto"/>
        <w:right w:val="none" w:sz="0" w:space="0" w:color="auto"/>
      </w:divBdr>
    </w:div>
    <w:div w:id="17856847">
      <w:bodyDiv w:val="1"/>
      <w:marLeft w:val="0"/>
      <w:marRight w:val="0"/>
      <w:marTop w:val="0"/>
      <w:marBottom w:val="0"/>
      <w:divBdr>
        <w:top w:val="none" w:sz="0" w:space="0" w:color="auto"/>
        <w:left w:val="none" w:sz="0" w:space="0" w:color="auto"/>
        <w:bottom w:val="none" w:sz="0" w:space="0" w:color="auto"/>
        <w:right w:val="none" w:sz="0" w:space="0" w:color="auto"/>
      </w:divBdr>
    </w:div>
    <w:div w:id="22681943">
      <w:bodyDiv w:val="1"/>
      <w:marLeft w:val="0"/>
      <w:marRight w:val="0"/>
      <w:marTop w:val="0"/>
      <w:marBottom w:val="0"/>
      <w:divBdr>
        <w:top w:val="none" w:sz="0" w:space="0" w:color="auto"/>
        <w:left w:val="none" w:sz="0" w:space="0" w:color="auto"/>
        <w:bottom w:val="none" w:sz="0" w:space="0" w:color="auto"/>
        <w:right w:val="none" w:sz="0" w:space="0" w:color="auto"/>
      </w:divBdr>
    </w:div>
    <w:div w:id="39667455">
      <w:bodyDiv w:val="1"/>
      <w:marLeft w:val="0"/>
      <w:marRight w:val="0"/>
      <w:marTop w:val="0"/>
      <w:marBottom w:val="0"/>
      <w:divBdr>
        <w:top w:val="none" w:sz="0" w:space="0" w:color="auto"/>
        <w:left w:val="none" w:sz="0" w:space="0" w:color="auto"/>
        <w:bottom w:val="none" w:sz="0" w:space="0" w:color="auto"/>
        <w:right w:val="none" w:sz="0" w:space="0" w:color="auto"/>
      </w:divBdr>
    </w:div>
    <w:div w:id="41296618">
      <w:bodyDiv w:val="1"/>
      <w:marLeft w:val="0"/>
      <w:marRight w:val="0"/>
      <w:marTop w:val="0"/>
      <w:marBottom w:val="0"/>
      <w:divBdr>
        <w:top w:val="none" w:sz="0" w:space="0" w:color="auto"/>
        <w:left w:val="none" w:sz="0" w:space="0" w:color="auto"/>
        <w:bottom w:val="none" w:sz="0" w:space="0" w:color="auto"/>
        <w:right w:val="none" w:sz="0" w:space="0" w:color="auto"/>
      </w:divBdr>
    </w:div>
    <w:div w:id="74595773">
      <w:bodyDiv w:val="1"/>
      <w:marLeft w:val="0"/>
      <w:marRight w:val="0"/>
      <w:marTop w:val="0"/>
      <w:marBottom w:val="0"/>
      <w:divBdr>
        <w:top w:val="none" w:sz="0" w:space="0" w:color="auto"/>
        <w:left w:val="none" w:sz="0" w:space="0" w:color="auto"/>
        <w:bottom w:val="none" w:sz="0" w:space="0" w:color="auto"/>
        <w:right w:val="none" w:sz="0" w:space="0" w:color="auto"/>
      </w:divBdr>
    </w:div>
    <w:div w:id="78529847">
      <w:bodyDiv w:val="1"/>
      <w:marLeft w:val="0"/>
      <w:marRight w:val="0"/>
      <w:marTop w:val="0"/>
      <w:marBottom w:val="0"/>
      <w:divBdr>
        <w:top w:val="none" w:sz="0" w:space="0" w:color="auto"/>
        <w:left w:val="none" w:sz="0" w:space="0" w:color="auto"/>
        <w:bottom w:val="none" w:sz="0" w:space="0" w:color="auto"/>
        <w:right w:val="none" w:sz="0" w:space="0" w:color="auto"/>
      </w:divBdr>
    </w:div>
    <w:div w:id="84807559">
      <w:bodyDiv w:val="1"/>
      <w:marLeft w:val="0"/>
      <w:marRight w:val="0"/>
      <w:marTop w:val="0"/>
      <w:marBottom w:val="0"/>
      <w:divBdr>
        <w:top w:val="none" w:sz="0" w:space="0" w:color="auto"/>
        <w:left w:val="none" w:sz="0" w:space="0" w:color="auto"/>
        <w:bottom w:val="none" w:sz="0" w:space="0" w:color="auto"/>
        <w:right w:val="none" w:sz="0" w:space="0" w:color="auto"/>
      </w:divBdr>
    </w:div>
    <w:div w:id="90707866">
      <w:bodyDiv w:val="1"/>
      <w:marLeft w:val="0"/>
      <w:marRight w:val="0"/>
      <w:marTop w:val="0"/>
      <w:marBottom w:val="0"/>
      <w:divBdr>
        <w:top w:val="none" w:sz="0" w:space="0" w:color="auto"/>
        <w:left w:val="none" w:sz="0" w:space="0" w:color="auto"/>
        <w:bottom w:val="none" w:sz="0" w:space="0" w:color="auto"/>
        <w:right w:val="none" w:sz="0" w:space="0" w:color="auto"/>
      </w:divBdr>
    </w:div>
    <w:div w:id="95248298">
      <w:bodyDiv w:val="1"/>
      <w:marLeft w:val="0"/>
      <w:marRight w:val="0"/>
      <w:marTop w:val="0"/>
      <w:marBottom w:val="0"/>
      <w:divBdr>
        <w:top w:val="none" w:sz="0" w:space="0" w:color="auto"/>
        <w:left w:val="none" w:sz="0" w:space="0" w:color="auto"/>
        <w:bottom w:val="none" w:sz="0" w:space="0" w:color="auto"/>
        <w:right w:val="none" w:sz="0" w:space="0" w:color="auto"/>
      </w:divBdr>
    </w:div>
    <w:div w:id="114062287">
      <w:bodyDiv w:val="1"/>
      <w:marLeft w:val="0"/>
      <w:marRight w:val="0"/>
      <w:marTop w:val="0"/>
      <w:marBottom w:val="0"/>
      <w:divBdr>
        <w:top w:val="none" w:sz="0" w:space="0" w:color="auto"/>
        <w:left w:val="none" w:sz="0" w:space="0" w:color="auto"/>
        <w:bottom w:val="none" w:sz="0" w:space="0" w:color="auto"/>
        <w:right w:val="none" w:sz="0" w:space="0" w:color="auto"/>
      </w:divBdr>
    </w:div>
    <w:div w:id="117069763">
      <w:bodyDiv w:val="1"/>
      <w:marLeft w:val="0"/>
      <w:marRight w:val="0"/>
      <w:marTop w:val="0"/>
      <w:marBottom w:val="0"/>
      <w:divBdr>
        <w:top w:val="none" w:sz="0" w:space="0" w:color="auto"/>
        <w:left w:val="none" w:sz="0" w:space="0" w:color="auto"/>
        <w:bottom w:val="none" w:sz="0" w:space="0" w:color="auto"/>
        <w:right w:val="none" w:sz="0" w:space="0" w:color="auto"/>
      </w:divBdr>
    </w:div>
    <w:div w:id="181018515">
      <w:bodyDiv w:val="1"/>
      <w:marLeft w:val="0"/>
      <w:marRight w:val="0"/>
      <w:marTop w:val="0"/>
      <w:marBottom w:val="0"/>
      <w:divBdr>
        <w:top w:val="none" w:sz="0" w:space="0" w:color="auto"/>
        <w:left w:val="none" w:sz="0" w:space="0" w:color="auto"/>
        <w:bottom w:val="none" w:sz="0" w:space="0" w:color="auto"/>
        <w:right w:val="none" w:sz="0" w:space="0" w:color="auto"/>
      </w:divBdr>
    </w:div>
    <w:div w:id="183860817">
      <w:bodyDiv w:val="1"/>
      <w:marLeft w:val="0"/>
      <w:marRight w:val="0"/>
      <w:marTop w:val="0"/>
      <w:marBottom w:val="0"/>
      <w:divBdr>
        <w:top w:val="none" w:sz="0" w:space="0" w:color="auto"/>
        <w:left w:val="none" w:sz="0" w:space="0" w:color="auto"/>
        <w:bottom w:val="none" w:sz="0" w:space="0" w:color="auto"/>
        <w:right w:val="none" w:sz="0" w:space="0" w:color="auto"/>
      </w:divBdr>
    </w:div>
    <w:div w:id="193738702">
      <w:bodyDiv w:val="1"/>
      <w:marLeft w:val="0"/>
      <w:marRight w:val="0"/>
      <w:marTop w:val="0"/>
      <w:marBottom w:val="0"/>
      <w:divBdr>
        <w:top w:val="none" w:sz="0" w:space="0" w:color="auto"/>
        <w:left w:val="none" w:sz="0" w:space="0" w:color="auto"/>
        <w:bottom w:val="none" w:sz="0" w:space="0" w:color="auto"/>
        <w:right w:val="none" w:sz="0" w:space="0" w:color="auto"/>
      </w:divBdr>
    </w:div>
    <w:div w:id="213541695">
      <w:bodyDiv w:val="1"/>
      <w:marLeft w:val="0"/>
      <w:marRight w:val="0"/>
      <w:marTop w:val="0"/>
      <w:marBottom w:val="0"/>
      <w:divBdr>
        <w:top w:val="none" w:sz="0" w:space="0" w:color="auto"/>
        <w:left w:val="none" w:sz="0" w:space="0" w:color="auto"/>
        <w:bottom w:val="none" w:sz="0" w:space="0" w:color="auto"/>
        <w:right w:val="none" w:sz="0" w:space="0" w:color="auto"/>
      </w:divBdr>
    </w:div>
    <w:div w:id="257297558">
      <w:bodyDiv w:val="1"/>
      <w:marLeft w:val="0"/>
      <w:marRight w:val="0"/>
      <w:marTop w:val="0"/>
      <w:marBottom w:val="0"/>
      <w:divBdr>
        <w:top w:val="none" w:sz="0" w:space="0" w:color="auto"/>
        <w:left w:val="none" w:sz="0" w:space="0" w:color="auto"/>
        <w:bottom w:val="none" w:sz="0" w:space="0" w:color="auto"/>
        <w:right w:val="none" w:sz="0" w:space="0" w:color="auto"/>
      </w:divBdr>
    </w:div>
    <w:div w:id="279453748">
      <w:bodyDiv w:val="1"/>
      <w:marLeft w:val="0"/>
      <w:marRight w:val="0"/>
      <w:marTop w:val="0"/>
      <w:marBottom w:val="0"/>
      <w:divBdr>
        <w:top w:val="none" w:sz="0" w:space="0" w:color="auto"/>
        <w:left w:val="none" w:sz="0" w:space="0" w:color="auto"/>
        <w:bottom w:val="none" w:sz="0" w:space="0" w:color="auto"/>
        <w:right w:val="none" w:sz="0" w:space="0" w:color="auto"/>
      </w:divBdr>
    </w:div>
    <w:div w:id="338387885">
      <w:bodyDiv w:val="1"/>
      <w:marLeft w:val="0"/>
      <w:marRight w:val="0"/>
      <w:marTop w:val="0"/>
      <w:marBottom w:val="0"/>
      <w:divBdr>
        <w:top w:val="none" w:sz="0" w:space="0" w:color="auto"/>
        <w:left w:val="none" w:sz="0" w:space="0" w:color="auto"/>
        <w:bottom w:val="none" w:sz="0" w:space="0" w:color="auto"/>
        <w:right w:val="none" w:sz="0" w:space="0" w:color="auto"/>
      </w:divBdr>
    </w:div>
    <w:div w:id="348458130">
      <w:bodyDiv w:val="1"/>
      <w:marLeft w:val="0"/>
      <w:marRight w:val="0"/>
      <w:marTop w:val="0"/>
      <w:marBottom w:val="0"/>
      <w:divBdr>
        <w:top w:val="none" w:sz="0" w:space="0" w:color="auto"/>
        <w:left w:val="none" w:sz="0" w:space="0" w:color="auto"/>
        <w:bottom w:val="none" w:sz="0" w:space="0" w:color="auto"/>
        <w:right w:val="none" w:sz="0" w:space="0" w:color="auto"/>
      </w:divBdr>
    </w:div>
    <w:div w:id="355695528">
      <w:bodyDiv w:val="1"/>
      <w:marLeft w:val="0"/>
      <w:marRight w:val="0"/>
      <w:marTop w:val="0"/>
      <w:marBottom w:val="0"/>
      <w:divBdr>
        <w:top w:val="none" w:sz="0" w:space="0" w:color="auto"/>
        <w:left w:val="none" w:sz="0" w:space="0" w:color="auto"/>
        <w:bottom w:val="none" w:sz="0" w:space="0" w:color="auto"/>
        <w:right w:val="none" w:sz="0" w:space="0" w:color="auto"/>
      </w:divBdr>
    </w:div>
    <w:div w:id="370109435">
      <w:bodyDiv w:val="1"/>
      <w:marLeft w:val="0"/>
      <w:marRight w:val="0"/>
      <w:marTop w:val="0"/>
      <w:marBottom w:val="0"/>
      <w:divBdr>
        <w:top w:val="none" w:sz="0" w:space="0" w:color="auto"/>
        <w:left w:val="none" w:sz="0" w:space="0" w:color="auto"/>
        <w:bottom w:val="none" w:sz="0" w:space="0" w:color="auto"/>
        <w:right w:val="none" w:sz="0" w:space="0" w:color="auto"/>
      </w:divBdr>
    </w:div>
    <w:div w:id="376667996">
      <w:bodyDiv w:val="1"/>
      <w:marLeft w:val="0"/>
      <w:marRight w:val="0"/>
      <w:marTop w:val="0"/>
      <w:marBottom w:val="0"/>
      <w:divBdr>
        <w:top w:val="none" w:sz="0" w:space="0" w:color="auto"/>
        <w:left w:val="none" w:sz="0" w:space="0" w:color="auto"/>
        <w:bottom w:val="none" w:sz="0" w:space="0" w:color="auto"/>
        <w:right w:val="none" w:sz="0" w:space="0" w:color="auto"/>
      </w:divBdr>
    </w:div>
    <w:div w:id="380206949">
      <w:bodyDiv w:val="1"/>
      <w:marLeft w:val="0"/>
      <w:marRight w:val="0"/>
      <w:marTop w:val="0"/>
      <w:marBottom w:val="0"/>
      <w:divBdr>
        <w:top w:val="none" w:sz="0" w:space="0" w:color="auto"/>
        <w:left w:val="none" w:sz="0" w:space="0" w:color="auto"/>
        <w:bottom w:val="none" w:sz="0" w:space="0" w:color="auto"/>
        <w:right w:val="none" w:sz="0" w:space="0" w:color="auto"/>
      </w:divBdr>
    </w:div>
    <w:div w:id="404575502">
      <w:bodyDiv w:val="1"/>
      <w:marLeft w:val="0"/>
      <w:marRight w:val="0"/>
      <w:marTop w:val="0"/>
      <w:marBottom w:val="0"/>
      <w:divBdr>
        <w:top w:val="none" w:sz="0" w:space="0" w:color="auto"/>
        <w:left w:val="none" w:sz="0" w:space="0" w:color="auto"/>
        <w:bottom w:val="none" w:sz="0" w:space="0" w:color="auto"/>
        <w:right w:val="none" w:sz="0" w:space="0" w:color="auto"/>
      </w:divBdr>
    </w:div>
    <w:div w:id="431630975">
      <w:bodyDiv w:val="1"/>
      <w:marLeft w:val="0"/>
      <w:marRight w:val="0"/>
      <w:marTop w:val="0"/>
      <w:marBottom w:val="0"/>
      <w:divBdr>
        <w:top w:val="none" w:sz="0" w:space="0" w:color="auto"/>
        <w:left w:val="none" w:sz="0" w:space="0" w:color="auto"/>
        <w:bottom w:val="none" w:sz="0" w:space="0" w:color="auto"/>
        <w:right w:val="none" w:sz="0" w:space="0" w:color="auto"/>
      </w:divBdr>
    </w:div>
    <w:div w:id="435297341">
      <w:bodyDiv w:val="1"/>
      <w:marLeft w:val="0"/>
      <w:marRight w:val="0"/>
      <w:marTop w:val="0"/>
      <w:marBottom w:val="0"/>
      <w:divBdr>
        <w:top w:val="none" w:sz="0" w:space="0" w:color="auto"/>
        <w:left w:val="none" w:sz="0" w:space="0" w:color="auto"/>
        <w:bottom w:val="none" w:sz="0" w:space="0" w:color="auto"/>
        <w:right w:val="none" w:sz="0" w:space="0" w:color="auto"/>
      </w:divBdr>
    </w:div>
    <w:div w:id="448940072">
      <w:bodyDiv w:val="1"/>
      <w:marLeft w:val="0"/>
      <w:marRight w:val="0"/>
      <w:marTop w:val="0"/>
      <w:marBottom w:val="0"/>
      <w:divBdr>
        <w:top w:val="none" w:sz="0" w:space="0" w:color="auto"/>
        <w:left w:val="none" w:sz="0" w:space="0" w:color="auto"/>
        <w:bottom w:val="none" w:sz="0" w:space="0" w:color="auto"/>
        <w:right w:val="none" w:sz="0" w:space="0" w:color="auto"/>
      </w:divBdr>
    </w:div>
    <w:div w:id="454907272">
      <w:bodyDiv w:val="1"/>
      <w:marLeft w:val="0"/>
      <w:marRight w:val="0"/>
      <w:marTop w:val="0"/>
      <w:marBottom w:val="0"/>
      <w:divBdr>
        <w:top w:val="none" w:sz="0" w:space="0" w:color="auto"/>
        <w:left w:val="none" w:sz="0" w:space="0" w:color="auto"/>
        <w:bottom w:val="none" w:sz="0" w:space="0" w:color="auto"/>
        <w:right w:val="none" w:sz="0" w:space="0" w:color="auto"/>
      </w:divBdr>
    </w:div>
    <w:div w:id="455563995">
      <w:bodyDiv w:val="1"/>
      <w:marLeft w:val="0"/>
      <w:marRight w:val="0"/>
      <w:marTop w:val="0"/>
      <w:marBottom w:val="0"/>
      <w:divBdr>
        <w:top w:val="none" w:sz="0" w:space="0" w:color="auto"/>
        <w:left w:val="none" w:sz="0" w:space="0" w:color="auto"/>
        <w:bottom w:val="none" w:sz="0" w:space="0" w:color="auto"/>
        <w:right w:val="none" w:sz="0" w:space="0" w:color="auto"/>
      </w:divBdr>
    </w:div>
    <w:div w:id="458642868">
      <w:bodyDiv w:val="1"/>
      <w:marLeft w:val="0"/>
      <w:marRight w:val="0"/>
      <w:marTop w:val="0"/>
      <w:marBottom w:val="0"/>
      <w:divBdr>
        <w:top w:val="none" w:sz="0" w:space="0" w:color="auto"/>
        <w:left w:val="none" w:sz="0" w:space="0" w:color="auto"/>
        <w:bottom w:val="none" w:sz="0" w:space="0" w:color="auto"/>
        <w:right w:val="none" w:sz="0" w:space="0" w:color="auto"/>
      </w:divBdr>
    </w:div>
    <w:div w:id="476461347">
      <w:bodyDiv w:val="1"/>
      <w:marLeft w:val="0"/>
      <w:marRight w:val="0"/>
      <w:marTop w:val="0"/>
      <w:marBottom w:val="0"/>
      <w:divBdr>
        <w:top w:val="none" w:sz="0" w:space="0" w:color="auto"/>
        <w:left w:val="none" w:sz="0" w:space="0" w:color="auto"/>
        <w:bottom w:val="none" w:sz="0" w:space="0" w:color="auto"/>
        <w:right w:val="none" w:sz="0" w:space="0" w:color="auto"/>
      </w:divBdr>
    </w:div>
    <w:div w:id="489323282">
      <w:bodyDiv w:val="1"/>
      <w:marLeft w:val="0"/>
      <w:marRight w:val="0"/>
      <w:marTop w:val="0"/>
      <w:marBottom w:val="0"/>
      <w:divBdr>
        <w:top w:val="none" w:sz="0" w:space="0" w:color="auto"/>
        <w:left w:val="none" w:sz="0" w:space="0" w:color="auto"/>
        <w:bottom w:val="none" w:sz="0" w:space="0" w:color="auto"/>
        <w:right w:val="none" w:sz="0" w:space="0" w:color="auto"/>
      </w:divBdr>
    </w:div>
    <w:div w:id="511842407">
      <w:bodyDiv w:val="1"/>
      <w:marLeft w:val="0"/>
      <w:marRight w:val="0"/>
      <w:marTop w:val="0"/>
      <w:marBottom w:val="0"/>
      <w:divBdr>
        <w:top w:val="none" w:sz="0" w:space="0" w:color="auto"/>
        <w:left w:val="none" w:sz="0" w:space="0" w:color="auto"/>
        <w:bottom w:val="none" w:sz="0" w:space="0" w:color="auto"/>
        <w:right w:val="none" w:sz="0" w:space="0" w:color="auto"/>
      </w:divBdr>
    </w:div>
    <w:div w:id="531457421">
      <w:bodyDiv w:val="1"/>
      <w:marLeft w:val="0"/>
      <w:marRight w:val="0"/>
      <w:marTop w:val="0"/>
      <w:marBottom w:val="0"/>
      <w:divBdr>
        <w:top w:val="none" w:sz="0" w:space="0" w:color="auto"/>
        <w:left w:val="none" w:sz="0" w:space="0" w:color="auto"/>
        <w:bottom w:val="none" w:sz="0" w:space="0" w:color="auto"/>
        <w:right w:val="none" w:sz="0" w:space="0" w:color="auto"/>
      </w:divBdr>
    </w:div>
    <w:div w:id="550771511">
      <w:bodyDiv w:val="1"/>
      <w:marLeft w:val="0"/>
      <w:marRight w:val="0"/>
      <w:marTop w:val="0"/>
      <w:marBottom w:val="0"/>
      <w:divBdr>
        <w:top w:val="none" w:sz="0" w:space="0" w:color="auto"/>
        <w:left w:val="none" w:sz="0" w:space="0" w:color="auto"/>
        <w:bottom w:val="none" w:sz="0" w:space="0" w:color="auto"/>
        <w:right w:val="none" w:sz="0" w:space="0" w:color="auto"/>
      </w:divBdr>
    </w:div>
    <w:div w:id="575215072">
      <w:bodyDiv w:val="1"/>
      <w:marLeft w:val="0"/>
      <w:marRight w:val="0"/>
      <w:marTop w:val="0"/>
      <w:marBottom w:val="0"/>
      <w:divBdr>
        <w:top w:val="none" w:sz="0" w:space="0" w:color="auto"/>
        <w:left w:val="none" w:sz="0" w:space="0" w:color="auto"/>
        <w:bottom w:val="none" w:sz="0" w:space="0" w:color="auto"/>
        <w:right w:val="none" w:sz="0" w:space="0" w:color="auto"/>
      </w:divBdr>
    </w:div>
    <w:div w:id="591472041">
      <w:bodyDiv w:val="1"/>
      <w:marLeft w:val="0"/>
      <w:marRight w:val="0"/>
      <w:marTop w:val="0"/>
      <w:marBottom w:val="0"/>
      <w:divBdr>
        <w:top w:val="none" w:sz="0" w:space="0" w:color="auto"/>
        <w:left w:val="none" w:sz="0" w:space="0" w:color="auto"/>
        <w:bottom w:val="none" w:sz="0" w:space="0" w:color="auto"/>
        <w:right w:val="none" w:sz="0" w:space="0" w:color="auto"/>
      </w:divBdr>
    </w:div>
    <w:div w:id="635650230">
      <w:bodyDiv w:val="1"/>
      <w:marLeft w:val="0"/>
      <w:marRight w:val="0"/>
      <w:marTop w:val="0"/>
      <w:marBottom w:val="0"/>
      <w:divBdr>
        <w:top w:val="none" w:sz="0" w:space="0" w:color="auto"/>
        <w:left w:val="none" w:sz="0" w:space="0" w:color="auto"/>
        <w:bottom w:val="none" w:sz="0" w:space="0" w:color="auto"/>
        <w:right w:val="none" w:sz="0" w:space="0" w:color="auto"/>
      </w:divBdr>
    </w:div>
    <w:div w:id="667901556">
      <w:bodyDiv w:val="1"/>
      <w:marLeft w:val="0"/>
      <w:marRight w:val="0"/>
      <w:marTop w:val="0"/>
      <w:marBottom w:val="0"/>
      <w:divBdr>
        <w:top w:val="none" w:sz="0" w:space="0" w:color="auto"/>
        <w:left w:val="none" w:sz="0" w:space="0" w:color="auto"/>
        <w:bottom w:val="none" w:sz="0" w:space="0" w:color="auto"/>
        <w:right w:val="none" w:sz="0" w:space="0" w:color="auto"/>
      </w:divBdr>
    </w:div>
    <w:div w:id="675114337">
      <w:bodyDiv w:val="1"/>
      <w:marLeft w:val="0"/>
      <w:marRight w:val="0"/>
      <w:marTop w:val="0"/>
      <w:marBottom w:val="0"/>
      <w:divBdr>
        <w:top w:val="none" w:sz="0" w:space="0" w:color="auto"/>
        <w:left w:val="none" w:sz="0" w:space="0" w:color="auto"/>
        <w:bottom w:val="none" w:sz="0" w:space="0" w:color="auto"/>
        <w:right w:val="none" w:sz="0" w:space="0" w:color="auto"/>
      </w:divBdr>
    </w:div>
    <w:div w:id="693848729">
      <w:bodyDiv w:val="1"/>
      <w:marLeft w:val="0"/>
      <w:marRight w:val="0"/>
      <w:marTop w:val="0"/>
      <w:marBottom w:val="0"/>
      <w:divBdr>
        <w:top w:val="none" w:sz="0" w:space="0" w:color="auto"/>
        <w:left w:val="none" w:sz="0" w:space="0" w:color="auto"/>
        <w:bottom w:val="none" w:sz="0" w:space="0" w:color="auto"/>
        <w:right w:val="none" w:sz="0" w:space="0" w:color="auto"/>
      </w:divBdr>
    </w:div>
    <w:div w:id="699822080">
      <w:bodyDiv w:val="1"/>
      <w:marLeft w:val="0"/>
      <w:marRight w:val="0"/>
      <w:marTop w:val="0"/>
      <w:marBottom w:val="0"/>
      <w:divBdr>
        <w:top w:val="none" w:sz="0" w:space="0" w:color="auto"/>
        <w:left w:val="none" w:sz="0" w:space="0" w:color="auto"/>
        <w:bottom w:val="none" w:sz="0" w:space="0" w:color="auto"/>
        <w:right w:val="none" w:sz="0" w:space="0" w:color="auto"/>
      </w:divBdr>
    </w:div>
    <w:div w:id="723991909">
      <w:bodyDiv w:val="1"/>
      <w:marLeft w:val="0"/>
      <w:marRight w:val="0"/>
      <w:marTop w:val="0"/>
      <w:marBottom w:val="0"/>
      <w:divBdr>
        <w:top w:val="none" w:sz="0" w:space="0" w:color="auto"/>
        <w:left w:val="none" w:sz="0" w:space="0" w:color="auto"/>
        <w:bottom w:val="none" w:sz="0" w:space="0" w:color="auto"/>
        <w:right w:val="none" w:sz="0" w:space="0" w:color="auto"/>
      </w:divBdr>
    </w:div>
    <w:div w:id="776489838">
      <w:bodyDiv w:val="1"/>
      <w:marLeft w:val="0"/>
      <w:marRight w:val="0"/>
      <w:marTop w:val="0"/>
      <w:marBottom w:val="0"/>
      <w:divBdr>
        <w:top w:val="none" w:sz="0" w:space="0" w:color="auto"/>
        <w:left w:val="none" w:sz="0" w:space="0" w:color="auto"/>
        <w:bottom w:val="none" w:sz="0" w:space="0" w:color="auto"/>
        <w:right w:val="none" w:sz="0" w:space="0" w:color="auto"/>
      </w:divBdr>
    </w:div>
    <w:div w:id="822507599">
      <w:bodyDiv w:val="1"/>
      <w:marLeft w:val="0"/>
      <w:marRight w:val="0"/>
      <w:marTop w:val="0"/>
      <w:marBottom w:val="0"/>
      <w:divBdr>
        <w:top w:val="none" w:sz="0" w:space="0" w:color="auto"/>
        <w:left w:val="none" w:sz="0" w:space="0" w:color="auto"/>
        <w:bottom w:val="none" w:sz="0" w:space="0" w:color="auto"/>
        <w:right w:val="none" w:sz="0" w:space="0" w:color="auto"/>
      </w:divBdr>
    </w:div>
    <w:div w:id="834296597">
      <w:bodyDiv w:val="1"/>
      <w:marLeft w:val="0"/>
      <w:marRight w:val="0"/>
      <w:marTop w:val="0"/>
      <w:marBottom w:val="0"/>
      <w:divBdr>
        <w:top w:val="none" w:sz="0" w:space="0" w:color="auto"/>
        <w:left w:val="none" w:sz="0" w:space="0" w:color="auto"/>
        <w:bottom w:val="none" w:sz="0" w:space="0" w:color="auto"/>
        <w:right w:val="none" w:sz="0" w:space="0" w:color="auto"/>
      </w:divBdr>
    </w:div>
    <w:div w:id="861284153">
      <w:bodyDiv w:val="1"/>
      <w:marLeft w:val="0"/>
      <w:marRight w:val="0"/>
      <w:marTop w:val="0"/>
      <w:marBottom w:val="0"/>
      <w:divBdr>
        <w:top w:val="none" w:sz="0" w:space="0" w:color="auto"/>
        <w:left w:val="none" w:sz="0" w:space="0" w:color="auto"/>
        <w:bottom w:val="none" w:sz="0" w:space="0" w:color="auto"/>
        <w:right w:val="none" w:sz="0" w:space="0" w:color="auto"/>
      </w:divBdr>
    </w:div>
    <w:div w:id="871500539">
      <w:bodyDiv w:val="1"/>
      <w:marLeft w:val="0"/>
      <w:marRight w:val="0"/>
      <w:marTop w:val="0"/>
      <w:marBottom w:val="0"/>
      <w:divBdr>
        <w:top w:val="none" w:sz="0" w:space="0" w:color="auto"/>
        <w:left w:val="none" w:sz="0" w:space="0" w:color="auto"/>
        <w:bottom w:val="none" w:sz="0" w:space="0" w:color="auto"/>
        <w:right w:val="none" w:sz="0" w:space="0" w:color="auto"/>
      </w:divBdr>
    </w:div>
    <w:div w:id="876819764">
      <w:bodyDiv w:val="1"/>
      <w:marLeft w:val="0"/>
      <w:marRight w:val="0"/>
      <w:marTop w:val="0"/>
      <w:marBottom w:val="0"/>
      <w:divBdr>
        <w:top w:val="none" w:sz="0" w:space="0" w:color="auto"/>
        <w:left w:val="none" w:sz="0" w:space="0" w:color="auto"/>
        <w:bottom w:val="none" w:sz="0" w:space="0" w:color="auto"/>
        <w:right w:val="none" w:sz="0" w:space="0" w:color="auto"/>
      </w:divBdr>
    </w:div>
    <w:div w:id="890576560">
      <w:bodyDiv w:val="1"/>
      <w:marLeft w:val="0"/>
      <w:marRight w:val="0"/>
      <w:marTop w:val="0"/>
      <w:marBottom w:val="0"/>
      <w:divBdr>
        <w:top w:val="none" w:sz="0" w:space="0" w:color="auto"/>
        <w:left w:val="none" w:sz="0" w:space="0" w:color="auto"/>
        <w:bottom w:val="none" w:sz="0" w:space="0" w:color="auto"/>
        <w:right w:val="none" w:sz="0" w:space="0" w:color="auto"/>
      </w:divBdr>
    </w:div>
    <w:div w:id="903563780">
      <w:bodyDiv w:val="1"/>
      <w:marLeft w:val="0"/>
      <w:marRight w:val="0"/>
      <w:marTop w:val="0"/>
      <w:marBottom w:val="0"/>
      <w:divBdr>
        <w:top w:val="none" w:sz="0" w:space="0" w:color="auto"/>
        <w:left w:val="none" w:sz="0" w:space="0" w:color="auto"/>
        <w:bottom w:val="none" w:sz="0" w:space="0" w:color="auto"/>
        <w:right w:val="none" w:sz="0" w:space="0" w:color="auto"/>
      </w:divBdr>
    </w:div>
    <w:div w:id="951788032">
      <w:bodyDiv w:val="1"/>
      <w:marLeft w:val="0"/>
      <w:marRight w:val="0"/>
      <w:marTop w:val="0"/>
      <w:marBottom w:val="0"/>
      <w:divBdr>
        <w:top w:val="none" w:sz="0" w:space="0" w:color="auto"/>
        <w:left w:val="none" w:sz="0" w:space="0" w:color="auto"/>
        <w:bottom w:val="none" w:sz="0" w:space="0" w:color="auto"/>
        <w:right w:val="none" w:sz="0" w:space="0" w:color="auto"/>
      </w:divBdr>
    </w:div>
    <w:div w:id="952247591">
      <w:bodyDiv w:val="1"/>
      <w:marLeft w:val="0"/>
      <w:marRight w:val="0"/>
      <w:marTop w:val="0"/>
      <w:marBottom w:val="0"/>
      <w:divBdr>
        <w:top w:val="none" w:sz="0" w:space="0" w:color="auto"/>
        <w:left w:val="none" w:sz="0" w:space="0" w:color="auto"/>
        <w:bottom w:val="none" w:sz="0" w:space="0" w:color="auto"/>
        <w:right w:val="none" w:sz="0" w:space="0" w:color="auto"/>
      </w:divBdr>
    </w:div>
    <w:div w:id="953558026">
      <w:bodyDiv w:val="1"/>
      <w:marLeft w:val="0"/>
      <w:marRight w:val="0"/>
      <w:marTop w:val="0"/>
      <w:marBottom w:val="0"/>
      <w:divBdr>
        <w:top w:val="none" w:sz="0" w:space="0" w:color="auto"/>
        <w:left w:val="none" w:sz="0" w:space="0" w:color="auto"/>
        <w:bottom w:val="none" w:sz="0" w:space="0" w:color="auto"/>
        <w:right w:val="none" w:sz="0" w:space="0" w:color="auto"/>
      </w:divBdr>
    </w:div>
    <w:div w:id="1012605023">
      <w:bodyDiv w:val="1"/>
      <w:marLeft w:val="0"/>
      <w:marRight w:val="0"/>
      <w:marTop w:val="0"/>
      <w:marBottom w:val="0"/>
      <w:divBdr>
        <w:top w:val="none" w:sz="0" w:space="0" w:color="auto"/>
        <w:left w:val="none" w:sz="0" w:space="0" w:color="auto"/>
        <w:bottom w:val="none" w:sz="0" w:space="0" w:color="auto"/>
        <w:right w:val="none" w:sz="0" w:space="0" w:color="auto"/>
      </w:divBdr>
    </w:div>
    <w:div w:id="1017006457">
      <w:bodyDiv w:val="1"/>
      <w:marLeft w:val="0"/>
      <w:marRight w:val="0"/>
      <w:marTop w:val="0"/>
      <w:marBottom w:val="0"/>
      <w:divBdr>
        <w:top w:val="none" w:sz="0" w:space="0" w:color="auto"/>
        <w:left w:val="none" w:sz="0" w:space="0" w:color="auto"/>
        <w:bottom w:val="none" w:sz="0" w:space="0" w:color="auto"/>
        <w:right w:val="none" w:sz="0" w:space="0" w:color="auto"/>
      </w:divBdr>
    </w:div>
    <w:div w:id="1028876445">
      <w:bodyDiv w:val="1"/>
      <w:marLeft w:val="0"/>
      <w:marRight w:val="0"/>
      <w:marTop w:val="0"/>
      <w:marBottom w:val="0"/>
      <w:divBdr>
        <w:top w:val="none" w:sz="0" w:space="0" w:color="auto"/>
        <w:left w:val="none" w:sz="0" w:space="0" w:color="auto"/>
        <w:bottom w:val="none" w:sz="0" w:space="0" w:color="auto"/>
        <w:right w:val="none" w:sz="0" w:space="0" w:color="auto"/>
      </w:divBdr>
    </w:div>
    <w:div w:id="1034498389">
      <w:bodyDiv w:val="1"/>
      <w:marLeft w:val="0"/>
      <w:marRight w:val="0"/>
      <w:marTop w:val="0"/>
      <w:marBottom w:val="0"/>
      <w:divBdr>
        <w:top w:val="none" w:sz="0" w:space="0" w:color="auto"/>
        <w:left w:val="none" w:sz="0" w:space="0" w:color="auto"/>
        <w:bottom w:val="none" w:sz="0" w:space="0" w:color="auto"/>
        <w:right w:val="none" w:sz="0" w:space="0" w:color="auto"/>
      </w:divBdr>
    </w:div>
    <w:div w:id="1054042377">
      <w:bodyDiv w:val="1"/>
      <w:marLeft w:val="0"/>
      <w:marRight w:val="0"/>
      <w:marTop w:val="0"/>
      <w:marBottom w:val="0"/>
      <w:divBdr>
        <w:top w:val="none" w:sz="0" w:space="0" w:color="auto"/>
        <w:left w:val="none" w:sz="0" w:space="0" w:color="auto"/>
        <w:bottom w:val="none" w:sz="0" w:space="0" w:color="auto"/>
        <w:right w:val="none" w:sz="0" w:space="0" w:color="auto"/>
      </w:divBdr>
    </w:div>
    <w:div w:id="1075081987">
      <w:bodyDiv w:val="1"/>
      <w:marLeft w:val="0"/>
      <w:marRight w:val="0"/>
      <w:marTop w:val="0"/>
      <w:marBottom w:val="0"/>
      <w:divBdr>
        <w:top w:val="none" w:sz="0" w:space="0" w:color="auto"/>
        <w:left w:val="none" w:sz="0" w:space="0" w:color="auto"/>
        <w:bottom w:val="none" w:sz="0" w:space="0" w:color="auto"/>
        <w:right w:val="none" w:sz="0" w:space="0" w:color="auto"/>
      </w:divBdr>
    </w:div>
    <w:div w:id="1087918692">
      <w:bodyDiv w:val="1"/>
      <w:marLeft w:val="0"/>
      <w:marRight w:val="0"/>
      <w:marTop w:val="0"/>
      <w:marBottom w:val="0"/>
      <w:divBdr>
        <w:top w:val="none" w:sz="0" w:space="0" w:color="auto"/>
        <w:left w:val="none" w:sz="0" w:space="0" w:color="auto"/>
        <w:bottom w:val="none" w:sz="0" w:space="0" w:color="auto"/>
        <w:right w:val="none" w:sz="0" w:space="0" w:color="auto"/>
      </w:divBdr>
    </w:div>
    <w:div w:id="1113673519">
      <w:bodyDiv w:val="1"/>
      <w:marLeft w:val="0"/>
      <w:marRight w:val="0"/>
      <w:marTop w:val="0"/>
      <w:marBottom w:val="0"/>
      <w:divBdr>
        <w:top w:val="none" w:sz="0" w:space="0" w:color="auto"/>
        <w:left w:val="none" w:sz="0" w:space="0" w:color="auto"/>
        <w:bottom w:val="none" w:sz="0" w:space="0" w:color="auto"/>
        <w:right w:val="none" w:sz="0" w:space="0" w:color="auto"/>
      </w:divBdr>
    </w:div>
    <w:div w:id="1115977818">
      <w:bodyDiv w:val="1"/>
      <w:marLeft w:val="0"/>
      <w:marRight w:val="0"/>
      <w:marTop w:val="0"/>
      <w:marBottom w:val="0"/>
      <w:divBdr>
        <w:top w:val="none" w:sz="0" w:space="0" w:color="auto"/>
        <w:left w:val="none" w:sz="0" w:space="0" w:color="auto"/>
        <w:bottom w:val="none" w:sz="0" w:space="0" w:color="auto"/>
        <w:right w:val="none" w:sz="0" w:space="0" w:color="auto"/>
      </w:divBdr>
    </w:div>
    <w:div w:id="1119058985">
      <w:bodyDiv w:val="1"/>
      <w:marLeft w:val="0"/>
      <w:marRight w:val="0"/>
      <w:marTop w:val="0"/>
      <w:marBottom w:val="0"/>
      <w:divBdr>
        <w:top w:val="none" w:sz="0" w:space="0" w:color="auto"/>
        <w:left w:val="none" w:sz="0" w:space="0" w:color="auto"/>
        <w:bottom w:val="none" w:sz="0" w:space="0" w:color="auto"/>
        <w:right w:val="none" w:sz="0" w:space="0" w:color="auto"/>
      </w:divBdr>
    </w:div>
    <w:div w:id="1192916846">
      <w:bodyDiv w:val="1"/>
      <w:marLeft w:val="0"/>
      <w:marRight w:val="0"/>
      <w:marTop w:val="0"/>
      <w:marBottom w:val="0"/>
      <w:divBdr>
        <w:top w:val="none" w:sz="0" w:space="0" w:color="auto"/>
        <w:left w:val="none" w:sz="0" w:space="0" w:color="auto"/>
        <w:bottom w:val="none" w:sz="0" w:space="0" w:color="auto"/>
        <w:right w:val="none" w:sz="0" w:space="0" w:color="auto"/>
      </w:divBdr>
    </w:div>
    <w:div w:id="1203900724">
      <w:bodyDiv w:val="1"/>
      <w:marLeft w:val="0"/>
      <w:marRight w:val="0"/>
      <w:marTop w:val="0"/>
      <w:marBottom w:val="0"/>
      <w:divBdr>
        <w:top w:val="none" w:sz="0" w:space="0" w:color="auto"/>
        <w:left w:val="none" w:sz="0" w:space="0" w:color="auto"/>
        <w:bottom w:val="none" w:sz="0" w:space="0" w:color="auto"/>
        <w:right w:val="none" w:sz="0" w:space="0" w:color="auto"/>
      </w:divBdr>
    </w:div>
    <w:div w:id="1221937900">
      <w:bodyDiv w:val="1"/>
      <w:marLeft w:val="0"/>
      <w:marRight w:val="0"/>
      <w:marTop w:val="0"/>
      <w:marBottom w:val="0"/>
      <w:divBdr>
        <w:top w:val="none" w:sz="0" w:space="0" w:color="auto"/>
        <w:left w:val="none" w:sz="0" w:space="0" w:color="auto"/>
        <w:bottom w:val="none" w:sz="0" w:space="0" w:color="auto"/>
        <w:right w:val="none" w:sz="0" w:space="0" w:color="auto"/>
      </w:divBdr>
    </w:div>
    <w:div w:id="1224365184">
      <w:bodyDiv w:val="1"/>
      <w:marLeft w:val="0"/>
      <w:marRight w:val="0"/>
      <w:marTop w:val="0"/>
      <w:marBottom w:val="0"/>
      <w:divBdr>
        <w:top w:val="none" w:sz="0" w:space="0" w:color="auto"/>
        <w:left w:val="none" w:sz="0" w:space="0" w:color="auto"/>
        <w:bottom w:val="none" w:sz="0" w:space="0" w:color="auto"/>
        <w:right w:val="none" w:sz="0" w:space="0" w:color="auto"/>
      </w:divBdr>
    </w:div>
    <w:div w:id="1243107077">
      <w:bodyDiv w:val="1"/>
      <w:marLeft w:val="0"/>
      <w:marRight w:val="0"/>
      <w:marTop w:val="0"/>
      <w:marBottom w:val="0"/>
      <w:divBdr>
        <w:top w:val="none" w:sz="0" w:space="0" w:color="auto"/>
        <w:left w:val="none" w:sz="0" w:space="0" w:color="auto"/>
        <w:bottom w:val="none" w:sz="0" w:space="0" w:color="auto"/>
        <w:right w:val="none" w:sz="0" w:space="0" w:color="auto"/>
      </w:divBdr>
    </w:div>
    <w:div w:id="1276716642">
      <w:bodyDiv w:val="1"/>
      <w:marLeft w:val="0"/>
      <w:marRight w:val="0"/>
      <w:marTop w:val="0"/>
      <w:marBottom w:val="0"/>
      <w:divBdr>
        <w:top w:val="none" w:sz="0" w:space="0" w:color="auto"/>
        <w:left w:val="none" w:sz="0" w:space="0" w:color="auto"/>
        <w:bottom w:val="none" w:sz="0" w:space="0" w:color="auto"/>
        <w:right w:val="none" w:sz="0" w:space="0" w:color="auto"/>
      </w:divBdr>
    </w:div>
    <w:div w:id="1278025480">
      <w:bodyDiv w:val="1"/>
      <w:marLeft w:val="0"/>
      <w:marRight w:val="0"/>
      <w:marTop w:val="0"/>
      <w:marBottom w:val="0"/>
      <w:divBdr>
        <w:top w:val="none" w:sz="0" w:space="0" w:color="auto"/>
        <w:left w:val="none" w:sz="0" w:space="0" w:color="auto"/>
        <w:bottom w:val="none" w:sz="0" w:space="0" w:color="auto"/>
        <w:right w:val="none" w:sz="0" w:space="0" w:color="auto"/>
      </w:divBdr>
    </w:div>
    <w:div w:id="1303972011">
      <w:bodyDiv w:val="1"/>
      <w:marLeft w:val="0"/>
      <w:marRight w:val="0"/>
      <w:marTop w:val="0"/>
      <w:marBottom w:val="0"/>
      <w:divBdr>
        <w:top w:val="none" w:sz="0" w:space="0" w:color="auto"/>
        <w:left w:val="none" w:sz="0" w:space="0" w:color="auto"/>
        <w:bottom w:val="none" w:sz="0" w:space="0" w:color="auto"/>
        <w:right w:val="none" w:sz="0" w:space="0" w:color="auto"/>
      </w:divBdr>
    </w:div>
    <w:div w:id="1315571690">
      <w:bodyDiv w:val="1"/>
      <w:marLeft w:val="0"/>
      <w:marRight w:val="0"/>
      <w:marTop w:val="0"/>
      <w:marBottom w:val="0"/>
      <w:divBdr>
        <w:top w:val="none" w:sz="0" w:space="0" w:color="auto"/>
        <w:left w:val="none" w:sz="0" w:space="0" w:color="auto"/>
        <w:bottom w:val="none" w:sz="0" w:space="0" w:color="auto"/>
        <w:right w:val="none" w:sz="0" w:space="0" w:color="auto"/>
      </w:divBdr>
    </w:div>
    <w:div w:id="1335448473">
      <w:bodyDiv w:val="1"/>
      <w:marLeft w:val="0"/>
      <w:marRight w:val="0"/>
      <w:marTop w:val="0"/>
      <w:marBottom w:val="0"/>
      <w:divBdr>
        <w:top w:val="none" w:sz="0" w:space="0" w:color="auto"/>
        <w:left w:val="none" w:sz="0" w:space="0" w:color="auto"/>
        <w:bottom w:val="none" w:sz="0" w:space="0" w:color="auto"/>
        <w:right w:val="none" w:sz="0" w:space="0" w:color="auto"/>
      </w:divBdr>
    </w:div>
    <w:div w:id="1343699650">
      <w:bodyDiv w:val="1"/>
      <w:marLeft w:val="0"/>
      <w:marRight w:val="0"/>
      <w:marTop w:val="0"/>
      <w:marBottom w:val="0"/>
      <w:divBdr>
        <w:top w:val="none" w:sz="0" w:space="0" w:color="auto"/>
        <w:left w:val="none" w:sz="0" w:space="0" w:color="auto"/>
        <w:bottom w:val="none" w:sz="0" w:space="0" w:color="auto"/>
        <w:right w:val="none" w:sz="0" w:space="0" w:color="auto"/>
      </w:divBdr>
    </w:div>
    <w:div w:id="1366834187">
      <w:bodyDiv w:val="1"/>
      <w:marLeft w:val="0"/>
      <w:marRight w:val="0"/>
      <w:marTop w:val="0"/>
      <w:marBottom w:val="0"/>
      <w:divBdr>
        <w:top w:val="none" w:sz="0" w:space="0" w:color="auto"/>
        <w:left w:val="none" w:sz="0" w:space="0" w:color="auto"/>
        <w:bottom w:val="none" w:sz="0" w:space="0" w:color="auto"/>
        <w:right w:val="none" w:sz="0" w:space="0" w:color="auto"/>
      </w:divBdr>
    </w:div>
    <w:div w:id="1402678437">
      <w:bodyDiv w:val="1"/>
      <w:marLeft w:val="0"/>
      <w:marRight w:val="0"/>
      <w:marTop w:val="0"/>
      <w:marBottom w:val="0"/>
      <w:divBdr>
        <w:top w:val="none" w:sz="0" w:space="0" w:color="auto"/>
        <w:left w:val="none" w:sz="0" w:space="0" w:color="auto"/>
        <w:bottom w:val="none" w:sz="0" w:space="0" w:color="auto"/>
        <w:right w:val="none" w:sz="0" w:space="0" w:color="auto"/>
      </w:divBdr>
    </w:div>
    <w:div w:id="1420172463">
      <w:bodyDiv w:val="1"/>
      <w:marLeft w:val="0"/>
      <w:marRight w:val="0"/>
      <w:marTop w:val="0"/>
      <w:marBottom w:val="0"/>
      <w:divBdr>
        <w:top w:val="none" w:sz="0" w:space="0" w:color="auto"/>
        <w:left w:val="none" w:sz="0" w:space="0" w:color="auto"/>
        <w:bottom w:val="none" w:sz="0" w:space="0" w:color="auto"/>
        <w:right w:val="none" w:sz="0" w:space="0" w:color="auto"/>
      </w:divBdr>
    </w:div>
    <w:div w:id="1431122485">
      <w:bodyDiv w:val="1"/>
      <w:marLeft w:val="0"/>
      <w:marRight w:val="0"/>
      <w:marTop w:val="0"/>
      <w:marBottom w:val="0"/>
      <w:divBdr>
        <w:top w:val="none" w:sz="0" w:space="0" w:color="auto"/>
        <w:left w:val="none" w:sz="0" w:space="0" w:color="auto"/>
        <w:bottom w:val="none" w:sz="0" w:space="0" w:color="auto"/>
        <w:right w:val="none" w:sz="0" w:space="0" w:color="auto"/>
      </w:divBdr>
    </w:div>
    <w:div w:id="1437680058">
      <w:bodyDiv w:val="1"/>
      <w:marLeft w:val="0"/>
      <w:marRight w:val="0"/>
      <w:marTop w:val="0"/>
      <w:marBottom w:val="0"/>
      <w:divBdr>
        <w:top w:val="none" w:sz="0" w:space="0" w:color="auto"/>
        <w:left w:val="none" w:sz="0" w:space="0" w:color="auto"/>
        <w:bottom w:val="none" w:sz="0" w:space="0" w:color="auto"/>
        <w:right w:val="none" w:sz="0" w:space="0" w:color="auto"/>
      </w:divBdr>
    </w:div>
    <w:div w:id="1470783407">
      <w:bodyDiv w:val="1"/>
      <w:marLeft w:val="0"/>
      <w:marRight w:val="0"/>
      <w:marTop w:val="0"/>
      <w:marBottom w:val="0"/>
      <w:divBdr>
        <w:top w:val="none" w:sz="0" w:space="0" w:color="auto"/>
        <w:left w:val="none" w:sz="0" w:space="0" w:color="auto"/>
        <w:bottom w:val="none" w:sz="0" w:space="0" w:color="auto"/>
        <w:right w:val="none" w:sz="0" w:space="0" w:color="auto"/>
      </w:divBdr>
    </w:div>
    <w:div w:id="1477912411">
      <w:bodyDiv w:val="1"/>
      <w:marLeft w:val="0"/>
      <w:marRight w:val="0"/>
      <w:marTop w:val="0"/>
      <w:marBottom w:val="0"/>
      <w:divBdr>
        <w:top w:val="none" w:sz="0" w:space="0" w:color="auto"/>
        <w:left w:val="none" w:sz="0" w:space="0" w:color="auto"/>
        <w:bottom w:val="none" w:sz="0" w:space="0" w:color="auto"/>
        <w:right w:val="none" w:sz="0" w:space="0" w:color="auto"/>
      </w:divBdr>
    </w:div>
    <w:div w:id="1515222638">
      <w:bodyDiv w:val="1"/>
      <w:marLeft w:val="0"/>
      <w:marRight w:val="0"/>
      <w:marTop w:val="0"/>
      <w:marBottom w:val="0"/>
      <w:divBdr>
        <w:top w:val="none" w:sz="0" w:space="0" w:color="auto"/>
        <w:left w:val="none" w:sz="0" w:space="0" w:color="auto"/>
        <w:bottom w:val="none" w:sz="0" w:space="0" w:color="auto"/>
        <w:right w:val="none" w:sz="0" w:space="0" w:color="auto"/>
      </w:divBdr>
    </w:div>
    <w:div w:id="1517111092">
      <w:bodyDiv w:val="1"/>
      <w:marLeft w:val="0"/>
      <w:marRight w:val="0"/>
      <w:marTop w:val="0"/>
      <w:marBottom w:val="0"/>
      <w:divBdr>
        <w:top w:val="none" w:sz="0" w:space="0" w:color="auto"/>
        <w:left w:val="none" w:sz="0" w:space="0" w:color="auto"/>
        <w:bottom w:val="none" w:sz="0" w:space="0" w:color="auto"/>
        <w:right w:val="none" w:sz="0" w:space="0" w:color="auto"/>
      </w:divBdr>
    </w:div>
    <w:div w:id="1534809475">
      <w:bodyDiv w:val="1"/>
      <w:marLeft w:val="0"/>
      <w:marRight w:val="0"/>
      <w:marTop w:val="0"/>
      <w:marBottom w:val="0"/>
      <w:divBdr>
        <w:top w:val="none" w:sz="0" w:space="0" w:color="auto"/>
        <w:left w:val="none" w:sz="0" w:space="0" w:color="auto"/>
        <w:bottom w:val="none" w:sz="0" w:space="0" w:color="auto"/>
        <w:right w:val="none" w:sz="0" w:space="0" w:color="auto"/>
      </w:divBdr>
    </w:div>
    <w:div w:id="1583753586">
      <w:bodyDiv w:val="1"/>
      <w:marLeft w:val="0"/>
      <w:marRight w:val="0"/>
      <w:marTop w:val="0"/>
      <w:marBottom w:val="0"/>
      <w:divBdr>
        <w:top w:val="none" w:sz="0" w:space="0" w:color="auto"/>
        <w:left w:val="none" w:sz="0" w:space="0" w:color="auto"/>
        <w:bottom w:val="none" w:sz="0" w:space="0" w:color="auto"/>
        <w:right w:val="none" w:sz="0" w:space="0" w:color="auto"/>
      </w:divBdr>
    </w:div>
    <w:div w:id="1605456501">
      <w:bodyDiv w:val="1"/>
      <w:marLeft w:val="0"/>
      <w:marRight w:val="0"/>
      <w:marTop w:val="0"/>
      <w:marBottom w:val="0"/>
      <w:divBdr>
        <w:top w:val="none" w:sz="0" w:space="0" w:color="auto"/>
        <w:left w:val="none" w:sz="0" w:space="0" w:color="auto"/>
        <w:bottom w:val="none" w:sz="0" w:space="0" w:color="auto"/>
        <w:right w:val="none" w:sz="0" w:space="0" w:color="auto"/>
      </w:divBdr>
    </w:div>
    <w:div w:id="1607351335">
      <w:bodyDiv w:val="1"/>
      <w:marLeft w:val="0"/>
      <w:marRight w:val="0"/>
      <w:marTop w:val="0"/>
      <w:marBottom w:val="0"/>
      <w:divBdr>
        <w:top w:val="none" w:sz="0" w:space="0" w:color="auto"/>
        <w:left w:val="none" w:sz="0" w:space="0" w:color="auto"/>
        <w:bottom w:val="none" w:sz="0" w:space="0" w:color="auto"/>
        <w:right w:val="none" w:sz="0" w:space="0" w:color="auto"/>
      </w:divBdr>
    </w:div>
    <w:div w:id="1639022434">
      <w:bodyDiv w:val="1"/>
      <w:marLeft w:val="0"/>
      <w:marRight w:val="0"/>
      <w:marTop w:val="0"/>
      <w:marBottom w:val="0"/>
      <w:divBdr>
        <w:top w:val="none" w:sz="0" w:space="0" w:color="auto"/>
        <w:left w:val="none" w:sz="0" w:space="0" w:color="auto"/>
        <w:bottom w:val="none" w:sz="0" w:space="0" w:color="auto"/>
        <w:right w:val="none" w:sz="0" w:space="0" w:color="auto"/>
      </w:divBdr>
    </w:div>
    <w:div w:id="1642271628">
      <w:bodyDiv w:val="1"/>
      <w:marLeft w:val="0"/>
      <w:marRight w:val="0"/>
      <w:marTop w:val="0"/>
      <w:marBottom w:val="0"/>
      <w:divBdr>
        <w:top w:val="none" w:sz="0" w:space="0" w:color="auto"/>
        <w:left w:val="none" w:sz="0" w:space="0" w:color="auto"/>
        <w:bottom w:val="none" w:sz="0" w:space="0" w:color="auto"/>
        <w:right w:val="none" w:sz="0" w:space="0" w:color="auto"/>
      </w:divBdr>
    </w:div>
    <w:div w:id="1656568427">
      <w:bodyDiv w:val="1"/>
      <w:marLeft w:val="0"/>
      <w:marRight w:val="0"/>
      <w:marTop w:val="0"/>
      <w:marBottom w:val="0"/>
      <w:divBdr>
        <w:top w:val="none" w:sz="0" w:space="0" w:color="auto"/>
        <w:left w:val="none" w:sz="0" w:space="0" w:color="auto"/>
        <w:bottom w:val="none" w:sz="0" w:space="0" w:color="auto"/>
        <w:right w:val="none" w:sz="0" w:space="0" w:color="auto"/>
      </w:divBdr>
    </w:div>
    <w:div w:id="1657762187">
      <w:bodyDiv w:val="1"/>
      <w:marLeft w:val="0"/>
      <w:marRight w:val="0"/>
      <w:marTop w:val="0"/>
      <w:marBottom w:val="0"/>
      <w:divBdr>
        <w:top w:val="none" w:sz="0" w:space="0" w:color="auto"/>
        <w:left w:val="none" w:sz="0" w:space="0" w:color="auto"/>
        <w:bottom w:val="none" w:sz="0" w:space="0" w:color="auto"/>
        <w:right w:val="none" w:sz="0" w:space="0" w:color="auto"/>
      </w:divBdr>
    </w:div>
    <w:div w:id="1665819481">
      <w:bodyDiv w:val="1"/>
      <w:marLeft w:val="0"/>
      <w:marRight w:val="0"/>
      <w:marTop w:val="0"/>
      <w:marBottom w:val="0"/>
      <w:divBdr>
        <w:top w:val="none" w:sz="0" w:space="0" w:color="auto"/>
        <w:left w:val="none" w:sz="0" w:space="0" w:color="auto"/>
        <w:bottom w:val="none" w:sz="0" w:space="0" w:color="auto"/>
        <w:right w:val="none" w:sz="0" w:space="0" w:color="auto"/>
      </w:divBdr>
    </w:div>
    <w:div w:id="1675915677">
      <w:bodyDiv w:val="1"/>
      <w:marLeft w:val="0"/>
      <w:marRight w:val="0"/>
      <w:marTop w:val="0"/>
      <w:marBottom w:val="0"/>
      <w:divBdr>
        <w:top w:val="none" w:sz="0" w:space="0" w:color="auto"/>
        <w:left w:val="none" w:sz="0" w:space="0" w:color="auto"/>
        <w:bottom w:val="none" w:sz="0" w:space="0" w:color="auto"/>
        <w:right w:val="none" w:sz="0" w:space="0" w:color="auto"/>
      </w:divBdr>
    </w:div>
    <w:div w:id="1685208035">
      <w:bodyDiv w:val="1"/>
      <w:marLeft w:val="0"/>
      <w:marRight w:val="0"/>
      <w:marTop w:val="0"/>
      <w:marBottom w:val="0"/>
      <w:divBdr>
        <w:top w:val="none" w:sz="0" w:space="0" w:color="auto"/>
        <w:left w:val="none" w:sz="0" w:space="0" w:color="auto"/>
        <w:bottom w:val="none" w:sz="0" w:space="0" w:color="auto"/>
        <w:right w:val="none" w:sz="0" w:space="0" w:color="auto"/>
      </w:divBdr>
    </w:div>
    <w:div w:id="1689286203">
      <w:bodyDiv w:val="1"/>
      <w:marLeft w:val="0"/>
      <w:marRight w:val="0"/>
      <w:marTop w:val="0"/>
      <w:marBottom w:val="0"/>
      <w:divBdr>
        <w:top w:val="none" w:sz="0" w:space="0" w:color="auto"/>
        <w:left w:val="none" w:sz="0" w:space="0" w:color="auto"/>
        <w:bottom w:val="none" w:sz="0" w:space="0" w:color="auto"/>
        <w:right w:val="none" w:sz="0" w:space="0" w:color="auto"/>
      </w:divBdr>
    </w:div>
    <w:div w:id="1714620954">
      <w:bodyDiv w:val="1"/>
      <w:marLeft w:val="0"/>
      <w:marRight w:val="0"/>
      <w:marTop w:val="0"/>
      <w:marBottom w:val="0"/>
      <w:divBdr>
        <w:top w:val="none" w:sz="0" w:space="0" w:color="auto"/>
        <w:left w:val="none" w:sz="0" w:space="0" w:color="auto"/>
        <w:bottom w:val="none" w:sz="0" w:space="0" w:color="auto"/>
        <w:right w:val="none" w:sz="0" w:space="0" w:color="auto"/>
      </w:divBdr>
    </w:div>
    <w:div w:id="1725905899">
      <w:bodyDiv w:val="1"/>
      <w:marLeft w:val="0"/>
      <w:marRight w:val="0"/>
      <w:marTop w:val="0"/>
      <w:marBottom w:val="0"/>
      <w:divBdr>
        <w:top w:val="none" w:sz="0" w:space="0" w:color="auto"/>
        <w:left w:val="none" w:sz="0" w:space="0" w:color="auto"/>
        <w:bottom w:val="none" w:sz="0" w:space="0" w:color="auto"/>
        <w:right w:val="none" w:sz="0" w:space="0" w:color="auto"/>
      </w:divBdr>
    </w:div>
    <w:div w:id="1738700250">
      <w:bodyDiv w:val="1"/>
      <w:marLeft w:val="0"/>
      <w:marRight w:val="0"/>
      <w:marTop w:val="0"/>
      <w:marBottom w:val="0"/>
      <w:divBdr>
        <w:top w:val="none" w:sz="0" w:space="0" w:color="auto"/>
        <w:left w:val="none" w:sz="0" w:space="0" w:color="auto"/>
        <w:bottom w:val="none" w:sz="0" w:space="0" w:color="auto"/>
        <w:right w:val="none" w:sz="0" w:space="0" w:color="auto"/>
      </w:divBdr>
    </w:div>
    <w:div w:id="1766537559">
      <w:bodyDiv w:val="1"/>
      <w:marLeft w:val="0"/>
      <w:marRight w:val="0"/>
      <w:marTop w:val="0"/>
      <w:marBottom w:val="0"/>
      <w:divBdr>
        <w:top w:val="none" w:sz="0" w:space="0" w:color="auto"/>
        <w:left w:val="none" w:sz="0" w:space="0" w:color="auto"/>
        <w:bottom w:val="none" w:sz="0" w:space="0" w:color="auto"/>
        <w:right w:val="none" w:sz="0" w:space="0" w:color="auto"/>
      </w:divBdr>
    </w:div>
    <w:div w:id="1768380299">
      <w:bodyDiv w:val="1"/>
      <w:marLeft w:val="0"/>
      <w:marRight w:val="0"/>
      <w:marTop w:val="0"/>
      <w:marBottom w:val="0"/>
      <w:divBdr>
        <w:top w:val="none" w:sz="0" w:space="0" w:color="auto"/>
        <w:left w:val="none" w:sz="0" w:space="0" w:color="auto"/>
        <w:bottom w:val="none" w:sz="0" w:space="0" w:color="auto"/>
        <w:right w:val="none" w:sz="0" w:space="0" w:color="auto"/>
      </w:divBdr>
    </w:div>
    <w:div w:id="1778669912">
      <w:bodyDiv w:val="1"/>
      <w:marLeft w:val="0"/>
      <w:marRight w:val="0"/>
      <w:marTop w:val="0"/>
      <w:marBottom w:val="0"/>
      <w:divBdr>
        <w:top w:val="none" w:sz="0" w:space="0" w:color="auto"/>
        <w:left w:val="none" w:sz="0" w:space="0" w:color="auto"/>
        <w:bottom w:val="none" w:sz="0" w:space="0" w:color="auto"/>
        <w:right w:val="none" w:sz="0" w:space="0" w:color="auto"/>
      </w:divBdr>
    </w:div>
    <w:div w:id="1786651922">
      <w:bodyDiv w:val="1"/>
      <w:marLeft w:val="0"/>
      <w:marRight w:val="0"/>
      <w:marTop w:val="0"/>
      <w:marBottom w:val="0"/>
      <w:divBdr>
        <w:top w:val="none" w:sz="0" w:space="0" w:color="auto"/>
        <w:left w:val="none" w:sz="0" w:space="0" w:color="auto"/>
        <w:bottom w:val="none" w:sz="0" w:space="0" w:color="auto"/>
        <w:right w:val="none" w:sz="0" w:space="0" w:color="auto"/>
      </w:divBdr>
    </w:div>
    <w:div w:id="1805731217">
      <w:bodyDiv w:val="1"/>
      <w:marLeft w:val="0"/>
      <w:marRight w:val="0"/>
      <w:marTop w:val="0"/>
      <w:marBottom w:val="0"/>
      <w:divBdr>
        <w:top w:val="none" w:sz="0" w:space="0" w:color="auto"/>
        <w:left w:val="none" w:sz="0" w:space="0" w:color="auto"/>
        <w:bottom w:val="none" w:sz="0" w:space="0" w:color="auto"/>
        <w:right w:val="none" w:sz="0" w:space="0" w:color="auto"/>
      </w:divBdr>
    </w:div>
    <w:div w:id="1817453431">
      <w:bodyDiv w:val="1"/>
      <w:marLeft w:val="0"/>
      <w:marRight w:val="0"/>
      <w:marTop w:val="0"/>
      <w:marBottom w:val="0"/>
      <w:divBdr>
        <w:top w:val="none" w:sz="0" w:space="0" w:color="auto"/>
        <w:left w:val="none" w:sz="0" w:space="0" w:color="auto"/>
        <w:bottom w:val="none" w:sz="0" w:space="0" w:color="auto"/>
        <w:right w:val="none" w:sz="0" w:space="0" w:color="auto"/>
      </w:divBdr>
    </w:div>
    <w:div w:id="1827090770">
      <w:bodyDiv w:val="1"/>
      <w:marLeft w:val="0"/>
      <w:marRight w:val="0"/>
      <w:marTop w:val="0"/>
      <w:marBottom w:val="0"/>
      <w:divBdr>
        <w:top w:val="none" w:sz="0" w:space="0" w:color="auto"/>
        <w:left w:val="none" w:sz="0" w:space="0" w:color="auto"/>
        <w:bottom w:val="none" w:sz="0" w:space="0" w:color="auto"/>
        <w:right w:val="none" w:sz="0" w:space="0" w:color="auto"/>
      </w:divBdr>
    </w:div>
    <w:div w:id="1850367761">
      <w:bodyDiv w:val="1"/>
      <w:marLeft w:val="0"/>
      <w:marRight w:val="0"/>
      <w:marTop w:val="0"/>
      <w:marBottom w:val="0"/>
      <w:divBdr>
        <w:top w:val="none" w:sz="0" w:space="0" w:color="auto"/>
        <w:left w:val="none" w:sz="0" w:space="0" w:color="auto"/>
        <w:bottom w:val="none" w:sz="0" w:space="0" w:color="auto"/>
        <w:right w:val="none" w:sz="0" w:space="0" w:color="auto"/>
      </w:divBdr>
    </w:div>
    <w:div w:id="1858690264">
      <w:bodyDiv w:val="1"/>
      <w:marLeft w:val="0"/>
      <w:marRight w:val="0"/>
      <w:marTop w:val="0"/>
      <w:marBottom w:val="0"/>
      <w:divBdr>
        <w:top w:val="none" w:sz="0" w:space="0" w:color="auto"/>
        <w:left w:val="none" w:sz="0" w:space="0" w:color="auto"/>
        <w:bottom w:val="none" w:sz="0" w:space="0" w:color="auto"/>
        <w:right w:val="none" w:sz="0" w:space="0" w:color="auto"/>
      </w:divBdr>
    </w:div>
    <w:div w:id="1860050042">
      <w:bodyDiv w:val="1"/>
      <w:marLeft w:val="0"/>
      <w:marRight w:val="0"/>
      <w:marTop w:val="0"/>
      <w:marBottom w:val="0"/>
      <w:divBdr>
        <w:top w:val="none" w:sz="0" w:space="0" w:color="auto"/>
        <w:left w:val="none" w:sz="0" w:space="0" w:color="auto"/>
        <w:bottom w:val="none" w:sz="0" w:space="0" w:color="auto"/>
        <w:right w:val="none" w:sz="0" w:space="0" w:color="auto"/>
      </w:divBdr>
    </w:div>
    <w:div w:id="1871720677">
      <w:bodyDiv w:val="1"/>
      <w:marLeft w:val="0"/>
      <w:marRight w:val="0"/>
      <w:marTop w:val="0"/>
      <w:marBottom w:val="0"/>
      <w:divBdr>
        <w:top w:val="none" w:sz="0" w:space="0" w:color="auto"/>
        <w:left w:val="none" w:sz="0" w:space="0" w:color="auto"/>
        <w:bottom w:val="none" w:sz="0" w:space="0" w:color="auto"/>
        <w:right w:val="none" w:sz="0" w:space="0" w:color="auto"/>
      </w:divBdr>
    </w:div>
    <w:div w:id="1912306832">
      <w:bodyDiv w:val="1"/>
      <w:marLeft w:val="0"/>
      <w:marRight w:val="0"/>
      <w:marTop w:val="0"/>
      <w:marBottom w:val="0"/>
      <w:divBdr>
        <w:top w:val="none" w:sz="0" w:space="0" w:color="auto"/>
        <w:left w:val="none" w:sz="0" w:space="0" w:color="auto"/>
        <w:bottom w:val="none" w:sz="0" w:space="0" w:color="auto"/>
        <w:right w:val="none" w:sz="0" w:space="0" w:color="auto"/>
      </w:divBdr>
    </w:div>
    <w:div w:id="1926107740">
      <w:bodyDiv w:val="1"/>
      <w:marLeft w:val="0"/>
      <w:marRight w:val="0"/>
      <w:marTop w:val="0"/>
      <w:marBottom w:val="0"/>
      <w:divBdr>
        <w:top w:val="none" w:sz="0" w:space="0" w:color="auto"/>
        <w:left w:val="none" w:sz="0" w:space="0" w:color="auto"/>
        <w:bottom w:val="none" w:sz="0" w:space="0" w:color="auto"/>
        <w:right w:val="none" w:sz="0" w:space="0" w:color="auto"/>
      </w:divBdr>
    </w:div>
    <w:div w:id="1937321696">
      <w:bodyDiv w:val="1"/>
      <w:marLeft w:val="0"/>
      <w:marRight w:val="0"/>
      <w:marTop w:val="0"/>
      <w:marBottom w:val="0"/>
      <w:divBdr>
        <w:top w:val="none" w:sz="0" w:space="0" w:color="auto"/>
        <w:left w:val="none" w:sz="0" w:space="0" w:color="auto"/>
        <w:bottom w:val="none" w:sz="0" w:space="0" w:color="auto"/>
        <w:right w:val="none" w:sz="0" w:space="0" w:color="auto"/>
      </w:divBdr>
    </w:div>
    <w:div w:id="1953241675">
      <w:bodyDiv w:val="1"/>
      <w:marLeft w:val="0"/>
      <w:marRight w:val="0"/>
      <w:marTop w:val="0"/>
      <w:marBottom w:val="0"/>
      <w:divBdr>
        <w:top w:val="none" w:sz="0" w:space="0" w:color="auto"/>
        <w:left w:val="none" w:sz="0" w:space="0" w:color="auto"/>
        <w:bottom w:val="none" w:sz="0" w:space="0" w:color="auto"/>
        <w:right w:val="none" w:sz="0" w:space="0" w:color="auto"/>
      </w:divBdr>
    </w:div>
    <w:div w:id="1967857484">
      <w:bodyDiv w:val="1"/>
      <w:marLeft w:val="0"/>
      <w:marRight w:val="0"/>
      <w:marTop w:val="0"/>
      <w:marBottom w:val="0"/>
      <w:divBdr>
        <w:top w:val="none" w:sz="0" w:space="0" w:color="auto"/>
        <w:left w:val="none" w:sz="0" w:space="0" w:color="auto"/>
        <w:bottom w:val="none" w:sz="0" w:space="0" w:color="auto"/>
        <w:right w:val="none" w:sz="0" w:space="0" w:color="auto"/>
      </w:divBdr>
    </w:div>
    <w:div w:id="1984235359">
      <w:bodyDiv w:val="1"/>
      <w:marLeft w:val="0"/>
      <w:marRight w:val="0"/>
      <w:marTop w:val="0"/>
      <w:marBottom w:val="0"/>
      <w:divBdr>
        <w:top w:val="none" w:sz="0" w:space="0" w:color="auto"/>
        <w:left w:val="none" w:sz="0" w:space="0" w:color="auto"/>
        <w:bottom w:val="none" w:sz="0" w:space="0" w:color="auto"/>
        <w:right w:val="none" w:sz="0" w:space="0" w:color="auto"/>
      </w:divBdr>
    </w:div>
    <w:div w:id="1987278490">
      <w:bodyDiv w:val="1"/>
      <w:marLeft w:val="0"/>
      <w:marRight w:val="0"/>
      <w:marTop w:val="0"/>
      <w:marBottom w:val="0"/>
      <w:divBdr>
        <w:top w:val="none" w:sz="0" w:space="0" w:color="auto"/>
        <w:left w:val="none" w:sz="0" w:space="0" w:color="auto"/>
        <w:bottom w:val="none" w:sz="0" w:space="0" w:color="auto"/>
        <w:right w:val="none" w:sz="0" w:space="0" w:color="auto"/>
      </w:divBdr>
    </w:div>
    <w:div w:id="1998727919">
      <w:bodyDiv w:val="1"/>
      <w:marLeft w:val="0"/>
      <w:marRight w:val="0"/>
      <w:marTop w:val="0"/>
      <w:marBottom w:val="0"/>
      <w:divBdr>
        <w:top w:val="none" w:sz="0" w:space="0" w:color="auto"/>
        <w:left w:val="none" w:sz="0" w:space="0" w:color="auto"/>
        <w:bottom w:val="none" w:sz="0" w:space="0" w:color="auto"/>
        <w:right w:val="none" w:sz="0" w:space="0" w:color="auto"/>
      </w:divBdr>
    </w:div>
    <w:div w:id="2006975553">
      <w:bodyDiv w:val="1"/>
      <w:marLeft w:val="0"/>
      <w:marRight w:val="0"/>
      <w:marTop w:val="0"/>
      <w:marBottom w:val="0"/>
      <w:divBdr>
        <w:top w:val="none" w:sz="0" w:space="0" w:color="auto"/>
        <w:left w:val="none" w:sz="0" w:space="0" w:color="auto"/>
        <w:bottom w:val="none" w:sz="0" w:space="0" w:color="auto"/>
        <w:right w:val="none" w:sz="0" w:space="0" w:color="auto"/>
      </w:divBdr>
    </w:div>
    <w:div w:id="2012678226">
      <w:bodyDiv w:val="1"/>
      <w:marLeft w:val="0"/>
      <w:marRight w:val="0"/>
      <w:marTop w:val="0"/>
      <w:marBottom w:val="0"/>
      <w:divBdr>
        <w:top w:val="none" w:sz="0" w:space="0" w:color="auto"/>
        <w:left w:val="none" w:sz="0" w:space="0" w:color="auto"/>
        <w:bottom w:val="none" w:sz="0" w:space="0" w:color="auto"/>
        <w:right w:val="none" w:sz="0" w:space="0" w:color="auto"/>
      </w:divBdr>
    </w:div>
    <w:div w:id="2016568542">
      <w:bodyDiv w:val="1"/>
      <w:marLeft w:val="0"/>
      <w:marRight w:val="0"/>
      <w:marTop w:val="0"/>
      <w:marBottom w:val="0"/>
      <w:divBdr>
        <w:top w:val="none" w:sz="0" w:space="0" w:color="auto"/>
        <w:left w:val="none" w:sz="0" w:space="0" w:color="auto"/>
        <w:bottom w:val="none" w:sz="0" w:space="0" w:color="auto"/>
        <w:right w:val="none" w:sz="0" w:space="0" w:color="auto"/>
      </w:divBdr>
    </w:div>
    <w:div w:id="2025940523">
      <w:bodyDiv w:val="1"/>
      <w:marLeft w:val="0"/>
      <w:marRight w:val="0"/>
      <w:marTop w:val="0"/>
      <w:marBottom w:val="0"/>
      <w:divBdr>
        <w:top w:val="none" w:sz="0" w:space="0" w:color="auto"/>
        <w:left w:val="none" w:sz="0" w:space="0" w:color="auto"/>
        <w:bottom w:val="none" w:sz="0" w:space="0" w:color="auto"/>
        <w:right w:val="none" w:sz="0" w:space="0" w:color="auto"/>
      </w:divBdr>
    </w:div>
    <w:div w:id="2027637599">
      <w:bodyDiv w:val="1"/>
      <w:marLeft w:val="0"/>
      <w:marRight w:val="0"/>
      <w:marTop w:val="0"/>
      <w:marBottom w:val="0"/>
      <w:divBdr>
        <w:top w:val="none" w:sz="0" w:space="0" w:color="auto"/>
        <w:left w:val="none" w:sz="0" w:space="0" w:color="auto"/>
        <w:bottom w:val="none" w:sz="0" w:space="0" w:color="auto"/>
        <w:right w:val="none" w:sz="0" w:space="0" w:color="auto"/>
      </w:divBdr>
    </w:div>
    <w:div w:id="2035838695">
      <w:bodyDiv w:val="1"/>
      <w:marLeft w:val="0"/>
      <w:marRight w:val="0"/>
      <w:marTop w:val="0"/>
      <w:marBottom w:val="0"/>
      <w:divBdr>
        <w:top w:val="none" w:sz="0" w:space="0" w:color="auto"/>
        <w:left w:val="none" w:sz="0" w:space="0" w:color="auto"/>
        <w:bottom w:val="none" w:sz="0" w:space="0" w:color="auto"/>
        <w:right w:val="none" w:sz="0" w:space="0" w:color="auto"/>
      </w:divBdr>
    </w:div>
    <w:div w:id="2037726924">
      <w:bodyDiv w:val="1"/>
      <w:marLeft w:val="0"/>
      <w:marRight w:val="0"/>
      <w:marTop w:val="0"/>
      <w:marBottom w:val="0"/>
      <w:divBdr>
        <w:top w:val="none" w:sz="0" w:space="0" w:color="auto"/>
        <w:left w:val="none" w:sz="0" w:space="0" w:color="auto"/>
        <w:bottom w:val="none" w:sz="0" w:space="0" w:color="auto"/>
        <w:right w:val="none" w:sz="0" w:space="0" w:color="auto"/>
      </w:divBdr>
    </w:div>
    <w:div w:id="2048481519">
      <w:bodyDiv w:val="1"/>
      <w:marLeft w:val="0"/>
      <w:marRight w:val="0"/>
      <w:marTop w:val="0"/>
      <w:marBottom w:val="0"/>
      <w:divBdr>
        <w:top w:val="none" w:sz="0" w:space="0" w:color="auto"/>
        <w:left w:val="none" w:sz="0" w:space="0" w:color="auto"/>
        <w:bottom w:val="none" w:sz="0" w:space="0" w:color="auto"/>
        <w:right w:val="none" w:sz="0" w:space="0" w:color="auto"/>
      </w:divBdr>
    </w:div>
    <w:div w:id="2076318552">
      <w:bodyDiv w:val="1"/>
      <w:marLeft w:val="0"/>
      <w:marRight w:val="0"/>
      <w:marTop w:val="0"/>
      <w:marBottom w:val="0"/>
      <w:divBdr>
        <w:top w:val="none" w:sz="0" w:space="0" w:color="auto"/>
        <w:left w:val="none" w:sz="0" w:space="0" w:color="auto"/>
        <w:bottom w:val="none" w:sz="0" w:space="0" w:color="auto"/>
        <w:right w:val="none" w:sz="0" w:space="0" w:color="auto"/>
      </w:divBdr>
    </w:div>
    <w:div w:id="2087721490">
      <w:bodyDiv w:val="1"/>
      <w:marLeft w:val="0"/>
      <w:marRight w:val="0"/>
      <w:marTop w:val="0"/>
      <w:marBottom w:val="0"/>
      <w:divBdr>
        <w:top w:val="none" w:sz="0" w:space="0" w:color="auto"/>
        <w:left w:val="none" w:sz="0" w:space="0" w:color="auto"/>
        <w:bottom w:val="none" w:sz="0" w:space="0" w:color="auto"/>
        <w:right w:val="none" w:sz="0" w:space="0" w:color="auto"/>
      </w:divBdr>
    </w:div>
    <w:div w:id="2103916075">
      <w:bodyDiv w:val="1"/>
      <w:marLeft w:val="0"/>
      <w:marRight w:val="0"/>
      <w:marTop w:val="0"/>
      <w:marBottom w:val="0"/>
      <w:divBdr>
        <w:top w:val="none" w:sz="0" w:space="0" w:color="auto"/>
        <w:left w:val="none" w:sz="0" w:space="0" w:color="auto"/>
        <w:bottom w:val="none" w:sz="0" w:space="0" w:color="auto"/>
        <w:right w:val="none" w:sz="0" w:space="0" w:color="auto"/>
      </w:divBdr>
    </w:div>
    <w:div w:id="2113162580">
      <w:bodyDiv w:val="1"/>
      <w:marLeft w:val="0"/>
      <w:marRight w:val="0"/>
      <w:marTop w:val="0"/>
      <w:marBottom w:val="0"/>
      <w:divBdr>
        <w:top w:val="none" w:sz="0" w:space="0" w:color="auto"/>
        <w:left w:val="none" w:sz="0" w:space="0" w:color="auto"/>
        <w:bottom w:val="none" w:sz="0" w:space="0" w:color="auto"/>
        <w:right w:val="none" w:sz="0" w:space="0" w:color="auto"/>
      </w:divBdr>
    </w:div>
    <w:div w:id="2131588758">
      <w:bodyDiv w:val="1"/>
      <w:marLeft w:val="0"/>
      <w:marRight w:val="0"/>
      <w:marTop w:val="0"/>
      <w:marBottom w:val="0"/>
      <w:divBdr>
        <w:top w:val="none" w:sz="0" w:space="0" w:color="auto"/>
        <w:left w:val="none" w:sz="0" w:space="0" w:color="auto"/>
        <w:bottom w:val="none" w:sz="0" w:space="0" w:color="auto"/>
        <w:right w:val="none" w:sz="0" w:space="0" w:color="auto"/>
      </w:divBdr>
    </w:div>
    <w:div w:id="2136098355">
      <w:bodyDiv w:val="1"/>
      <w:marLeft w:val="0"/>
      <w:marRight w:val="0"/>
      <w:marTop w:val="0"/>
      <w:marBottom w:val="0"/>
      <w:divBdr>
        <w:top w:val="none" w:sz="0" w:space="0" w:color="auto"/>
        <w:left w:val="none" w:sz="0" w:space="0" w:color="auto"/>
        <w:bottom w:val="none" w:sz="0" w:space="0" w:color="auto"/>
        <w:right w:val="none" w:sz="0" w:space="0" w:color="auto"/>
      </w:divBdr>
    </w:div>
    <w:div w:id="2143842579">
      <w:bodyDiv w:val="1"/>
      <w:marLeft w:val="0"/>
      <w:marRight w:val="0"/>
      <w:marTop w:val="0"/>
      <w:marBottom w:val="0"/>
      <w:divBdr>
        <w:top w:val="none" w:sz="0" w:space="0" w:color="auto"/>
        <w:left w:val="none" w:sz="0" w:space="0" w:color="auto"/>
        <w:bottom w:val="none" w:sz="0" w:space="0" w:color="auto"/>
        <w:right w:val="none" w:sz="0" w:space="0" w:color="auto"/>
      </w:divBdr>
    </w:div>
    <w:div w:id="21449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teka.ua/ua/publication/commerce-12-nalogi-i-otchetnost-10-operacii-s-nerezidentami-ne-zabudte-o-novyx-raznicax-po-nalogu-na-pribyl" TargetMode="External"/><Relationship Id="rId13" Type="http://schemas.openxmlformats.org/officeDocument/2006/relationships/hyperlink" Target="https://uteka.ua/ua/publication/commerce-12-nalogi-i-otchetnost-10-shtraf-pri-samostoyatelnom-ispravlenii-oshibok-est-li-raznica-po-nalogu-na-pribyl" TargetMode="External"/><Relationship Id="rId3" Type="http://schemas.openxmlformats.org/officeDocument/2006/relationships/settings" Target="settings.xml"/><Relationship Id="rId7" Type="http://schemas.openxmlformats.org/officeDocument/2006/relationships/hyperlink" Target="https://uteka.ua/ua/publication/commerce-12-nalogi-i-otchetnost-10-otricatelnoe-znachenie-obekta-nalogooblozheniya-kak-raznica-po-nalogu-na-pribyl" TargetMode="External"/><Relationship Id="rId12" Type="http://schemas.openxmlformats.org/officeDocument/2006/relationships/hyperlink" Target="https://uteka.ua/ua/publication/commerce-12-nalogi-i-otchetnost-10-po-nalogovym-shtrafam-voznikaet-raznica-po-nalogu-na-priby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eka.ua/ua/publication/commerce-12-ved-i-valyutnye-operacii-7-doxody-i-rasxody-ot-realizacii-tovarov-nerezidenta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teka.ua/ua/publication/commerce-12-nalogi-i-otchetnost-10-operacii-s-nerezidentami-ne-zabudte-o-novyx-raznicax-po-nalogu-na-pribyl" TargetMode="External"/><Relationship Id="rId4" Type="http://schemas.openxmlformats.org/officeDocument/2006/relationships/webSettings" Target="webSettings.xml"/><Relationship Id="rId9" Type="http://schemas.openxmlformats.org/officeDocument/2006/relationships/hyperlink" Target="https://uteka.ua/ua/publication/commerce-12-ved-i-valyutnye-operacii-7-doxody-i-rasxody-ot-realizacii-tovarov-nerezidentam" TargetMode="External"/><Relationship Id="rId14" Type="http://schemas.openxmlformats.org/officeDocument/2006/relationships/hyperlink" Target="https://uteka.ua/ua/publication/commerce-12-nalogi-i-otchetnost-10-operacii-s-nerezidentami-ne-zabudte-o-novyx-raznicax-po-nalogu-na-priby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1525</Words>
  <Characters>8694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Balance</Company>
  <LinksUpToDate>false</LinksUpToDate>
  <CharactersWithSpaces>10199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Kachkovskaya</dc:creator>
  <cp:keywords/>
  <cp:lastModifiedBy>Наталья Н. Шевчук</cp:lastModifiedBy>
  <cp:revision>3</cp:revision>
  <dcterms:created xsi:type="dcterms:W3CDTF">2020-12-16T10:58:00Z</dcterms:created>
  <dcterms:modified xsi:type="dcterms:W3CDTF">2020-12-17T13:04:00Z</dcterms:modified>
</cp:coreProperties>
</file>