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65" w:rsidRDefault="003F3165" w:rsidP="003F3165">
      <w:pPr>
        <w:pStyle w:val="3"/>
      </w:pPr>
      <w:bookmarkStart w:id="0" w:name="_GoBack"/>
      <w:r>
        <w:t xml:space="preserve">Таблиця. </w:t>
      </w:r>
      <w:r>
        <w:rPr>
          <w:rStyle w:val="a6"/>
          <w:b/>
          <w:bCs/>
        </w:rPr>
        <w:t>Штрафи, за якими діє різниця з податку на прибуток</w:t>
      </w:r>
    </w:p>
    <w:bookmarkEnd w:id="0"/>
    <w:p w:rsidR="003F3165" w:rsidRDefault="003F3165" w:rsidP="003F3165">
      <w:pPr>
        <w:pStyle w:val="a5"/>
      </w:pPr>
      <w:r>
        <w:rPr>
          <w:rStyle w:val="a7"/>
        </w:rPr>
        <w:t>(актуально лише для платників податку на прибуток, які використовують різниці з розд. ІІІ ПК)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4451"/>
        <w:gridCol w:w="2592"/>
      </w:tblGrid>
      <w:tr w:rsidR="003F3165" w:rsidTr="003F3165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3F3165" w:rsidRDefault="003F3165">
            <w:pPr>
              <w:pStyle w:val="a5"/>
              <w:jc w:val="center"/>
            </w:pPr>
            <w:r>
              <w:rPr>
                <w:rStyle w:val="a6"/>
              </w:rPr>
              <w:t>Штраф</w:t>
            </w:r>
          </w:p>
        </w:tc>
        <w:tc>
          <w:tcPr>
            <w:tcW w:w="4815" w:type="dxa"/>
            <w:vAlign w:val="center"/>
            <w:hideMark/>
          </w:tcPr>
          <w:p w:rsidR="003F3165" w:rsidRDefault="003F3165">
            <w:pPr>
              <w:pStyle w:val="a5"/>
              <w:jc w:val="center"/>
            </w:pPr>
            <w:r>
              <w:rPr>
                <w:rStyle w:val="a6"/>
              </w:rPr>
              <w:t>Умови застосування</w:t>
            </w:r>
          </w:p>
        </w:tc>
        <w:tc>
          <w:tcPr>
            <w:tcW w:w="2685" w:type="dxa"/>
            <w:vAlign w:val="center"/>
            <w:hideMark/>
          </w:tcPr>
          <w:p w:rsidR="003F3165" w:rsidRDefault="003F3165">
            <w:pPr>
              <w:pStyle w:val="a5"/>
              <w:jc w:val="center"/>
            </w:pPr>
            <w:r>
              <w:rPr>
                <w:rStyle w:val="a6"/>
              </w:rPr>
              <w:t>Не діє різниця</w:t>
            </w:r>
          </w:p>
        </w:tc>
      </w:tr>
      <w:tr w:rsidR="003F3165" w:rsidTr="003F3165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3F3165" w:rsidRDefault="003F3165">
            <w:pPr>
              <w:pStyle w:val="a5"/>
            </w:pPr>
            <w:r>
              <w:t>Штраф, пеня, неустойка за порушення цивільного законодавства і цивільно-правових договорів</w:t>
            </w:r>
          </w:p>
        </w:tc>
        <w:tc>
          <w:tcPr>
            <w:tcW w:w="4815" w:type="dxa"/>
            <w:vAlign w:val="center"/>
            <w:hideMark/>
          </w:tcPr>
          <w:p w:rsidR="003F3165" w:rsidRDefault="003F3165">
            <w:pPr>
              <w:pStyle w:val="a5"/>
            </w:pPr>
            <w:r>
              <w:t xml:space="preserve">Має виконуватися обов’язково </w:t>
            </w:r>
            <w:r>
              <w:rPr>
                <w:rStyle w:val="a6"/>
              </w:rPr>
              <w:t>дві умови</w:t>
            </w:r>
            <w:r>
              <w:t>, щоб такі суми збільшили фінрезультат до оподаткування:</w:t>
            </w:r>
          </w:p>
          <w:p w:rsidR="003F3165" w:rsidRDefault="003F3165">
            <w:pPr>
              <w:pStyle w:val="a5"/>
            </w:pPr>
            <w:r>
              <w:t xml:space="preserve">1) штраф (пеня, неустойка) є визнаним, адже саме витрати за такими визнаними штрафами збільшують фінрезультат до оподаткування. Тобто в бухобліку є проведення: </w:t>
            </w:r>
            <w:r>
              <w:rPr>
                <w:rStyle w:val="a6"/>
              </w:rPr>
              <w:t xml:space="preserve">Дт 948 </w:t>
            </w:r>
            <w:r>
              <w:t>–</w:t>
            </w:r>
            <w:r>
              <w:rPr>
                <w:rStyle w:val="a6"/>
              </w:rPr>
              <w:t xml:space="preserve"> Кт 685. Тому різниця виникає саме на дату визнання, а не на дату фактичної сплати штрафу;</w:t>
            </w:r>
          </w:p>
          <w:p w:rsidR="003F3165" w:rsidRDefault="003F3165">
            <w:pPr>
              <w:pStyle w:val="a5"/>
            </w:pPr>
            <w:r>
              <w:t>2) штраф (пеня, неустойка) нараховано на користь неплатника податку на прибуток (крім фізосіб – платників ПДФО) чи платника податку на прибуток за ставкою 0% з пп. 44 підрозд. 4 розд. ХХ ПК. Наприклад, на користь платника єдиного податку, у т. ч. і ФОП-єдинника, неприбуткової організації</w:t>
            </w:r>
          </w:p>
          <w:p w:rsidR="003F3165" w:rsidRDefault="003F3165">
            <w:pPr>
              <w:pStyle w:val="a5"/>
            </w:pPr>
            <w:r>
              <w:t xml:space="preserve">Відображають у </w:t>
            </w:r>
            <w:r>
              <w:rPr>
                <w:rStyle w:val="a7"/>
                <w:b/>
                <w:bCs/>
              </w:rPr>
              <w:t xml:space="preserve">ряд. 3.1.11 додатка РІ </w:t>
            </w:r>
            <w:r>
              <w:t>до декларації</w:t>
            </w:r>
          </w:p>
        </w:tc>
        <w:tc>
          <w:tcPr>
            <w:tcW w:w="2685" w:type="dxa"/>
            <w:vAlign w:val="center"/>
            <w:hideMark/>
          </w:tcPr>
          <w:p w:rsidR="003F3165" w:rsidRDefault="003F3165">
            <w:pPr>
              <w:pStyle w:val="a5"/>
            </w:pPr>
            <w:r>
              <w:t>Немає різниць:</w:t>
            </w:r>
          </w:p>
          <w:p w:rsidR="003F3165" w:rsidRDefault="003F3165">
            <w:pPr>
              <w:pStyle w:val="a5"/>
            </w:pPr>
            <w:r>
              <w:t>1. Якщо штраф не визнано (наприклад – оскаржується в суді).</w:t>
            </w:r>
          </w:p>
          <w:p w:rsidR="003F3165" w:rsidRDefault="003F3165">
            <w:pPr>
              <w:pStyle w:val="a5"/>
            </w:pPr>
            <w:r>
              <w:t>2. Якщо штраф – на користь платника податку на прибуток за загальною ставкою.</w:t>
            </w:r>
          </w:p>
          <w:p w:rsidR="003F3165" w:rsidRDefault="003F3165">
            <w:pPr>
              <w:pStyle w:val="a5"/>
            </w:pPr>
            <w:r>
              <w:t>3. Якщо штраф –на користь фізособи – платника ПДФО</w:t>
            </w:r>
          </w:p>
        </w:tc>
      </w:tr>
      <w:tr w:rsidR="003F3165" w:rsidTr="003F3165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3F3165" w:rsidRDefault="003F3165">
            <w:pPr>
              <w:pStyle w:val="a5"/>
            </w:pPr>
            <w:r>
              <w:t>Відшкодування збитків, компенсації неодержаного доходу (упущеної вигоди) за цивільним законодавством та цивільно-правовими договорами</w:t>
            </w:r>
          </w:p>
        </w:tc>
        <w:tc>
          <w:tcPr>
            <w:tcW w:w="4815" w:type="dxa"/>
            <w:vAlign w:val="center"/>
            <w:hideMark/>
          </w:tcPr>
          <w:p w:rsidR="003F3165" w:rsidRDefault="003F3165">
            <w:pPr>
              <w:pStyle w:val="a5"/>
            </w:pPr>
            <w:r>
              <w:t xml:space="preserve">Ці суми потрапили до різниць з 23.05.20 р. Тому, лише якщо вони визнані підприємством </w:t>
            </w:r>
            <w:r>
              <w:rPr>
                <w:rStyle w:val="a6"/>
              </w:rPr>
              <w:t>після 22.05.20 р.,</w:t>
            </w:r>
            <w:r>
              <w:t xml:space="preserve"> за ними виникає різниця, яка збільшує фінрезультат до оподаткування, але лише за виконання двох умов:</w:t>
            </w:r>
          </w:p>
          <w:p w:rsidR="003F3165" w:rsidRDefault="003F3165">
            <w:pPr>
              <w:pStyle w:val="a5"/>
            </w:pPr>
            <w:r>
              <w:t xml:space="preserve">1) відшкодування збитків, компенсація упущеної вигоди визнано підприємством. У бухобліку проведення: </w:t>
            </w:r>
            <w:r>
              <w:rPr>
                <w:rStyle w:val="a6"/>
              </w:rPr>
              <w:t xml:space="preserve">Дт 948 </w:t>
            </w:r>
            <w:r>
              <w:t xml:space="preserve">– </w:t>
            </w:r>
            <w:r>
              <w:rPr>
                <w:rStyle w:val="a6"/>
              </w:rPr>
              <w:t>Кт 685;</w:t>
            </w:r>
          </w:p>
          <w:p w:rsidR="003F3165" w:rsidRDefault="003F3165">
            <w:pPr>
              <w:pStyle w:val="a5"/>
            </w:pPr>
            <w:r>
              <w:t>2) ці суми нараховано на користь неплатника податку на прибуток (крім фізосіб – платників ПДФО) чи платника податку на прибуток за ставкою 0% з пп. 44 підрозд. 4 розд. ХХ ПК</w:t>
            </w:r>
          </w:p>
          <w:p w:rsidR="003F3165" w:rsidRDefault="003F3165">
            <w:pPr>
              <w:pStyle w:val="a5"/>
            </w:pPr>
            <w:r>
              <w:t xml:space="preserve">Відображають у </w:t>
            </w:r>
            <w:r>
              <w:rPr>
                <w:rStyle w:val="a7"/>
                <w:b/>
                <w:bCs/>
              </w:rPr>
              <w:t>ряд. 3.1.11 додатка РІ</w:t>
            </w:r>
            <w:r>
              <w:t xml:space="preserve"> до декларації</w:t>
            </w:r>
          </w:p>
        </w:tc>
        <w:tc>
          <w:tcPr>
            <w:tcW w:w="2685" w:type="dxa"/>
            <w:vAlign w:val="center"/>
            <w:hideMark/>
          </w:tcPr>
          <w:p w:rsidR="003F3165" w:rsidRDefault="003F3165">
            <w:pPr>
              <w:pStyle w:val="a5"/>
            </w:pPr>
            <w:r>
              <w:t>Немає різниць:</w:t>
            </w:r>
          </w:p>
          <w:p w:rsidR="003F3165" w:rsidRDefault="003F3165">
            <w:pPr>
              <w:pStyle w:val="a5"/>
            </w:pPr>
            <w:r>
              <w:t>1. Якщо суму збитків чи їх наявність не визнали – оспорюєте.</w:t>
            </w:r>
          </w:p>
          <w:p w:rsidR="003F3165" w:rsidRDefault="003F3165">
            <w:pPr>
              <w:pStyle w:val="a5"/>
            </w:pPr>
            <w:r>
              <w:t>2. Якщо такі виплати нараховано на користь платника податку на прибуток за загальною ставкою.</w:t>
            </w:r>
          </w:p>
          <w:p w:rsidR="003F3165" w:rsidRDefault="003F3165">
            <w:pPr>
              <w:pStyle w:val="a5"/>
            </w:pPr>
            <w:r>
              <w:t>3. Якщо відшкодування шкоди, упущеної вигоди – на користь фізособи – платника ПДФО</w:t>
            </w:r>
          </w:p>
          <w:p w:rsidR="003F3165" w:rsidRDefault="003F3165">
            <w:pPr>
              <w:pStyle w:val="a5"/>
            </w:pPr>
            <w:r>
              <w:t>4. Якщо суми збитків, упущеної вигоди визнано до 23.05.20 р.</w:t>
            </w:r>
          </w:p>
        </w:tc>
      </w:tr>
      <w:tr w:rsidR="003F3165" w:rsidTr="003F3165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3F3165" w:rsidRDefault="003F3165">
            <w:pPr>
              <w:pStyle w:val="a5"/>
            </w:pPr>
            <w:r>
              <w:lastRenderedPageBreak/>
              <w:t>Штраф, пеня, нараховані контролюючими органами та іншими органами державної влади за порушення вимог законодавства</w:t>
            </w:r>
          </w:p>
        </w:tc>
        <w:tc>
          <w:tcPr>
            <w:tcW w:w="4815" w:type="dxa"/>
            <w:vAlign w:val="center"/>
            <w:hideMark/>
          </w:tcPr>
          <w:p w:rsidR="003F3165" w:rsidRDefault="003F3165">
            <w:pPr>
              <w:pStyle w:val="a5"/>
            </w:pPr>
            <w:r>
              <w:t>Ці штрафи, пені утворюють різниці лише з 23.05.20 р. Тому лише якщо вони нараховані після 22.05.20 р., їх сума збільшує фінрезультат до оподаткування.</w:t>
            </w:r>
          </w:p>
          <w:p w:rsidR="003F3165" w:rsidRDefault="003F3165">
            <w:pPr>
              <w:pStyle w:val="a5"/>
            </w:pPr>
            <w:r>
              <w:t>Тут вагомо, що штрафи нараховано саме контролюючими органами або іншими органами держвлади. Тож якщо штраф за порушення податкового законодавства нарахувала ДПС за податковим повідомленням-рішенням після 22.05.20 р., його сума збільшить фінрезультат до оподаткування. Або ж якщо Держпраці притягла до відповідальності за трудові порушення і нарахувала санкцію після 22.05.20 р., її сума збільшить фінрезультат до оподаткування.</w:t>
            </w:r>
          </w:p>
          <w:p w:rsidR="003F3165" w:rsidRDefault="003F3165">
            <w:pPr>
              <w:pStyle w:val="a5"/>
            </w:pPr>
            <w:r>
              <w:t>Тобто фактично різниця «перекриє» ефект від відображених витрат у бухобліку (Дт 948 – Кт 642, чи Кт 641/штраф, пеня)).</w:t>
            </w:r>
          </w:p>
          <w:p w:rsidR="003F3165" w:rsidRDefault="003F3165">
            <w:pPr>
              <w:pStyle w:val="a5"/>
            </w:pPr>
            <w:r>
              <w:t xml:space="preserve">Оскільки в додатку РІ до декларації немає окремого рядка для цих сум, то можна відобразити їх у </w:t>
            </w:r>
            <w:r>
              <w:rPr>
                <w:rStyle w:val="a7"/>
                <w:b/>
                <w:bCs/>
              </w:rPr>
              <w:t xml:space="preserve">ряд. 3.1.11 </w:t>
            </w:r>
            <w:r>
              <w:t>(лист ДПСУ від 04.06.20 р. № 8939/7/99-00-07-02-01-07)</w:t>
            </w:r>
          </w:p>
        </w:tc>
        <w:tc>
          <w:tcPr>
            <w:tcW w:w="2685" w:type="dxa"/>
            <w:vAlign w:val="center"/>
            <w:hideMark/>
          </w:tcPr>
          <w:p w:rsidR="003F3165" w:rsidRDefault="003F3165">
            <w:pPr>
              <w:pStyle w:val="a5"/>
            </w:pPr>
            <w:r>
              <w:t>Немає різниць:</w:t>
            </w:r>
          </w:p>
          <w:p w:rsidR="003F3165" w:rsidRDefault="003F3165">
            <w:pPr>
              <w:pStyle w:val="a5"/>
            </w:pPr>
            <w:r>
              <w:t>1. Якщо штраф, пеню нараховано до 23.05.20 р. (лист ДПСУ від 04.06.20 р. № 8939/7/99-00-07-02-01-07, Інформаційний лист № 12)</w:t>
            </w:r>
          </w:p>
          <w:p w:rsidR="003F3165" w:rsidRDefault="003F3165">
            <w:pPr>
              <w:pStyle w:val="a5"/>
            </w:pPr>
            <w:r>
              <w:t xml:space="preserve">2. Якщо штраф, пеню нараховано самостійно під час виправлення помилок (ЗІР категорія 102.02 , </w:t>
            </w:r>
            <w:hyperlink r:id="rId7" w:tgtFrame="_blank" w:history="1">
              <w:r>
                <w:rPr>
                  <w:rStyle w:val="ab"/>
                </w:rPr>
                <w:t>новина від 02.11.20 р. ГУ ДПС у Запорізькій області</w:t>
              </w:r>
            </w:hyperlink>
            <w:r>
              <w:t>).</w:t>
            </w:r>
          </w:p>
          <w:p w:rsidR="003F3165" w:rsidRDefault="003F3165">
            <w:pPr>
              <w:pStyle w:val="a5"/>
            </w:pPr>
            <w:r>
              <w:t>Без сумніву, у бухобліку такі суми опиняться у витратах: Дт 948 – Кт 642 (або ж Кт 641/штраф, пеня)</w:t>
            </w:r>
          </w:p>
        </w:tc>
      </w:tr>
    </w:tbl>
    <w:p w:rsidR="00696FE8" w:rsidRPr="003F3165" w:rsidRDefault="00696FE8" w:rsidP="003F3165"/>
    <w:sectPr w:rsidR="00696FE8" w:rsidRPr="003F3165" w:rsidSect="00D55822">
      <w:footerReference w:type="default" r:id="rId8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BB5" w:rsidRDefault="00EC0BB5">
      <w:r>
        <w:separator/>
      </w:r>
    </w:p>
  </w:endnote>
  <w:endnote w:type="continuationSeparator" w:id="0">
    <w:p w:rsidR="00EC0BB5" w:rsidRDefault="00EC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BB5" w:rsidRDefault="00EC0BB5">
      <w:r>
        <w:separator/>
      </w:r>
    </w:p>
  </w:footnote>
  <w:footnote w:type="continuationSeparator" w:id="0">
    <w:p w:rsidR="00EC0BB5" w:rsidRDefault="00EC0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B0F2D"/>
    <w:rsid w:val="007B1F46"/>
    <w:rsid w:val="007E4487"/>
    <w:rsid w:val="0085725D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D10FE"/>
    <w:rsid w:val="009E1A0C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5078"/>
    <w:rsid w:val="00B65D30"/>
    <w:rsid w:val="00B66237"/>
    <w:rsid w:val="00B66CDA"/>
    <w:rsid w:val="00B727C3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B49AA"/>
    <w:rsid w:val="00CB50D9"/>
    <w:rsid w:val="00CD07AC"/>
    <w:rsid w:val="00CF63DA"/>
    <w:rsid w:val="00CF6BD9"/>
    <w:rsid w:val="00D2016B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3BA5"/>
    <w:rsid w:val="00EB359F"/>
    <w:rsid w:val="00EC00D7"/>
    <w:rsid w:val="00EC0BB5"/>
    <w:rsid w:val="00EE2A4A"/>
    <w:rsid w:val="00EE67B0"/>
    <w:rsid w:val="00EF372A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p.tax.gov.ua/media-ark/news-ark/43956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2020-11-27T17:35:00Z</dcterms:created>
  <dcterms:modified xsi:type="dcterms:W3CDTF">2020-11-27T17:35:00Z</dcterms:modified>
</cp:coreProperties>
</file>