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31" w:rsidRDefault="000D0131" w:rsidP="000D0131">
      <w:pPr>
        <w:pStyle w:val="3"/>
      </w:pPr>
      <w:bookmarkStart w:id="0" w:name="_GoBack"/>
      <w:r>
        <w:rPr>
          <w:rStyle w:val="a6"/>
          <w:b/>
          <w:bCs/>
        </w:rPr>
        <w:t>Таблица. Минимальная база обложения НДС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6639"/>
      </w:tblGrid>
      <w:tr w:rsidR="000D0131" w:rsidTr="000D0131">
        <w:trPr>
          <w:tblCellSpacing w:w="15" w:type="dxa"/>
        </w:trPr>
        <w:tc>
          <w:tcPr>
            <w:tcW w:w="2550" w:type="dxa"/>
            <w:vAlign w:val="center"/>
            <w:hideMark/>
          </w:tcPr>
          <w:bookmarkEnd w:id="0"/>
          <w:p w:rsidR="000D0131" w:rsidRDefault="000D0131">
            <w:pPr>
              <w:pStyle w:val="a5"/>
              <w:jc w:val="center"/>
            </w:pPr>
            <w:r>
              <w:rPr>
                <w:rStyle w:val="a6"/>
              </w:rPr>
              <w:t>Поставка</w:t>
            </w:r>
          </w:p>
        </w:tc>
        <w:tc>
          <w:tcPr>
            <w:tcW w:w="7080" w:type="dxa"/>
            <w:vAlign w:val="center"/>
            <w:hideMark/>
          </w:tcPr>
          <w:p w:rsidR="000D0131" w:rsidRDefault="000D0131">
            <w:pPr>
              <w:pStyle w:val="a5"/>
              <w:jc w:val="center"/>
            </w:pPr>
            <w:r>
              <w:rPr>
                <w:rStyle w:val="a6"/>
              </w:rPr>
              <w:t>Минимальная база</w:t>
            </w:r>
          </w:p>
        </w:tc>
      </w:tr>
      <w:tr w:rsidR="000D0131" w:rsidTr="000D0131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0D0131" w:rsidRDefault="000D0131">
            <w:pPr>
              <w:pStyle w:val="a5"/>
            </w:pPr>
            <w:r>
              <w:t>Ранее приобретенных товаров/услуг</w:t>
            </w:r>
          </w:p>
        </w:tc>
        <w:tc>
          <w:tcPr>
            <w:tcW w:w="7080" w:type="dxa"/>
            <w:vAlign w:val="center"/>
            <w:hideMark/>
          </w:tcPr>
          <w:p w:rsidR="000D0131" w:rsidRDefault="000D0131">
            <w:pPr>
              <w:pStyle w:val="a5"/>
            </w:pPr>
            <w:r>
              <w:t>Не ниже цены приобретения таких товаров/услуг</w:t>
            </w:r>
          </w:p>
        </w:tc>
      </w:tr>
      <w:tr w:rsidR="000D0131" w:rsidTr="000D0131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0D0131" w:rsidRDefault="000D0131">
            <w:pPr>
              <w:pStyle w:val="a5"/>
            </w:pPr>
            <w:r>
              <w:t>Самостоятельно произведенных товаров/услуг</w:t>
            </w:r>
          </w:p>
        </w:tc>
        <w:tc>
          <w:tcPr>
            <w:tcW w:w="7080" w:type="dxa"/>
            <w:vAlign w:val="center"/>
            <w:hideMark/>
          </w:tcPr>
          <w:p w:rsidR="000D0131" w:rsidRDefault="000D0131">
            <w:pPr>
              <w:pStyle w:val="a5"/>
            </w:pPr>
            <w:r>
              <w:t>Не ниже обычных цен</w:t>
            </w:r>
          </w:p>
        </w:tc>
      </w:tr>
      <w:tr w:rsidR="000D0131" w:rsidTr="000D0131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0D0131" w:rsidRDefault="000D0131">
            <w:pPr>
              <w:pStyle w:val="a5"/>
            </w:pPr>
            <w:r>
              <w:t>Необоротных активов</w:t>
            </w:r>
          </w:p>
        </w:tc>
        <w:tc>
          <w:tcPr>
            <w:tcW w:w="7080" w:type="dxa"/>
            <w:vAlign w:val="center"/>
            <w:hideMark/>
          </w:tcPr>
          <w:p w:rsidR="000D0131" w:rsidRDefault="000D0131">
            <w:pPr>
              <w:pStyle w:val="a5"/>
            </w:pPr>
            <w:r>
              <w:t>Не ниже балансовой (остаточной) стоимости по данным бухгалтерского учета, сложившейся по состоянию на начало отчетного (налогового) периода, в течение которого осуществляются такие операции (при отсутствии учета необоротных активов – исходя из обычной цены)</w:t>
            </w:r>
          </w:p>
        </w:tc>
      </w:tr>
    </w:tbl>
    <w:p w:rsidR="00696FE8" w:rsidRPr="000D0131" w:rsidRDefault="00696FE8" w:rsidP="000D0131"/>
    <w:sectPr w:rsidR="00696FE8" w:rsidRPr="000D013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4A" w:rsidRDefault="0081484A">
      <w:r>
        <w:separator/>
      </w:r>
    </w:p>
  </w:endnote>
  <w:endnote w:type="continuationSeparator" w:id="0">
    <w:p w:rsidR="0081484A" w:rsidRDefault="0081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4A" w:rsidRDefault="0081484A">
      <w:r>
        <w:separator/>
      </w:r>
    </w:p>
  </w:footnote>
  <w:footnote w:type="continuationSeparator" w:id="0">
    <w:p w:rsidR="0081484A" w:rsidRDefault="0081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6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7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5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6032A5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B0F2D"/>
    <w:rsid w:val="007B1F46"/>
    <w:rsid w:val="007E4487"/>
    <w:rsid w:val="0081484A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3BA5"/>
    <w:rsid w:val="00EB359F"/>
    <w:rsid w:val="00EC00D7"/>
    <w:rsid w:val="00EE2A4A"/>
    <w:rsid w:val="00EE67B0"/>
    <w:rsid w:val="00EF372A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2020-11-25T14:48:00Z</dcterms:created>
  <dcterms:modified xsi:type="dcterms:W3CDTF">2020-11-25T14:48:00Z</dcterms:modified>
</cp:coreProperties>
</file>