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DEA" w:rsidRDefault="00357DEA" w:rsidP="00357DEA">
      <w:pPr>
        <w:pStyle w:val="3"/>
      </w:pPr>
      <w:r>
        <w:rPr>
          <w:rStyle w:val="a6"/>
          <w:b/>
          <w:bCs/>
        </w:rPr>
        <w:t>Таблиця 1. Визначення амортизації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5"/>
        <w:gridCol w:w="5393"/>
      </w:tblGrid>
      <w:tr w:rsidR="00357DEA" w:rsidTr="00357DEA">
        <w:trPr>
          <w:tblCellSpacing w:w="15" w:type="dxa"/>
        </w:trPr>
        <w:tc>
          <w:tcPr>
            <w:tcW w:w="3975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Бухгалтерська амортизація</w:t>
            </w:r>
          </w:p>
        </w:tc>
        <w:tc>
          <w:tcPr>
            <w:tcW w:w="5805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Податкова амортизація</w:t>
            </w:r>
          </w:p>
        </w:tc>
      </w:tr>
      <w:tr w:rsidR="00357DEA" w:rsidTr="00357DEA">
        <w:trPr>
          <w:tblCellSpacing w:w="15" w:type="dxa"/>
        </w:trPr>
        <w:tc>
          <w:tcPr>
            <w:tcW w:w="3975" w:type="dxa"/>
            <w:vAlign w:val="center"/>
            <w:hideMark/>
          </w:tcPr>
          <w:p w:rsidR="00357DEA" w:rsidRDefault="00357DEA">
            <w:pPr>
              <w:pStyle w:val="a5"/>
            </w:pPr>
            <w:r>
              <w:t>Амортизація – систематичний розподіл вартості, яка амортизується, необоротних активів протягом строку їх корисного використання (експлуатації)</w:t>
            </w:r>
          </w:p>
          <w:p w:rsidR="00357DEA" w:rsidRDefault="00357DEA">
            <w:pPr>
              <w:pStyle w:val="a5"/>
            </w:pPr>
            <w:r>
              <w:t>п. 4 П(С)БО 7</w:t>
            </w:r>
          </w:p>
        </w:tc>
        <w:tc>
          <w:tcPr>
            <w:tcW w:w="5805" w:type="dxa"/>
            <w:vAlign w:val="center"/>
            <w:hideMark/>
          </w:tcPr>
          <w:p w:rsidR="00357DEA" w:rsidRDefault="00357DEA">
            <w:pPr>
              <w:pStyle w:val="a5"/>
            </w:pPr>
            <w:r>
              <w:t>Амортизація – систематичний розподіл вартості основних засобів, інших необоротних та нематеріальних активів, що амортизується, протягом строку їх корисного використання (експлуатації)</w:t>
            </w:r>
          </w:p>
          <w:p w:rsidR="00357DEA" w:rsidRDefault="00357DEA">
            <w:pPr>
              <w:pStyle w:val="a5"/>
            </w:pPr>
            <w:r>
              <w:t>пп. 14.1.3 ПК</w:t>
            </w:r>
          </w:p>
        </w:tc>
      </w:tr>
    </w:tbl>
    <w:p w:rsidR="00357DEA" w:rsidRDefault="00357DEA" w:rsidP="00357DEA">
      <w:pPr>
        <w:pStyle w:val="3"/>
      </w:pPr>
      <w:r>
        <w:rPr>
          <w:rStyle w:val="a6"/>
          <w:b/>
          <w:bCs/>
        </w:rPr>
        <w:t>Таблиця 2. Об’єкти, що амортизуються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120"/>
        <w:gridCol w:w="4212"/>
      </w:tblGrid>
      <w:tr w:rsidR="00357DEA" w:rsidTr="00357DEA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Категорія для порівняння</w:t>
            </w:r>
          </w:p>
        </w:tc>
        <w:tc>
          <w:tcPr>
            <w:tcW w:w="3255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Бухгалтерська амортизація</w:t>
            </w:r>
          </w:p>
        </w:tc>
        <w:tc>
          <w:tcPr>
            <w:tcW w:w="4665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Податкова амортизація</w:t>
            </w:r>
          </w:p>
        </w:tc>
      </w:tr>
      <w:tr w:rsidR="00357DEA" w:rsidTr="00357DEA">
        <w:trPr>
          <w:tblCellSpacing w:w="15" w:type="dxa"/>
        </w:trPr>
        <w:tc>
          <w:tcPr>
            <w:tcW w:w="1695" w:type="dxa"/>
            <w:vMerge w:val="restart"/>
            <w:vAlign w:val="center"/>
            <w:hideMark/>
          </w:tcPr>
          <w:p w:rsidR="00357DEA" w:rsidRDefault="00357DEA">
            <w:pPr>
              <w:pStyle w:val="a5"/>
            </w:pPr>
            <w:r>
              <w:rPr>
                <w:rStyle w:val="a6"/>
              </w:rPr>
              <w:t>Об’єкти, які амортизуються</w:t>
            </w:r>
          </w:p>
        </w:tc>
        <w:tc>
          <w:tcPr>
            <w:tcW w:w="3255" w:type="dxa"/>
            <w:vAlign w:val="center"/>
            <w:hideMark/>
          </w:tcPr>
          <w:p w:rsidR="00A04C0E" w:rsidRDefault="00357DEA">
            <w:pPr>
              <w:rPr>
                <w:lang w:val="uk-UA"/>
              </w:rPr>
            </w:pPr>
            <w:r>
              <w:t>Основні засоби та нематеріальні активи</w:t>
            </w:r>
            <w:r w:rsidR="00A04C0E">
              <w:rPr>
                <w:lang w:val="uk-UA"/>
              </w:rPr>
              <w:t xml:space="preserve"> </w:t>
            </w:r>
          </w:p>
          <w:p w:rsidR="00A04C0E" w:rsidRDefault="00A04C0E">
            <w:pPr>
              <w:rPr>
                <w:lang w:val="uk-UA"/>
              </w:rPr>
            </w:pPr>
          </w:p>
          <w:p w:rsidR="00A04C0E" w:rsidRDefault="00357DEA">
            <w:r>
              <w:t>п. 22 П(С)БО 7, п. П(С)БО 8</w:t>
            </w:r>
          </w:p>
          <w:p w:rsidR="00A04C0E" w:rsidRDefault="00A04C0E"/>
          <w:p w:rsidR="00A04C0E" w:rsidRDefault="00357DEA">
            <w:r>
              <w:t xml:space="preserve">Водночас убухобліку </w:t>
            </w:r>
            <w:r>
              <w:rPr>
                <w:rStyle w:val="a6"/>
              </w:rPr>
              <w:t>основні засоби</w:t>
            </w:r>
            <w:r>
              <w:t xml:space="preserve"> – це матеріальні активи, які підприємство/установа утримує з метою використання їх у процесі виробництва/діяльності або постачання товарів, надання послуг, здавання в оренду іншим особам або для здійснення адміністративних і соціально-культурних функцій, очікуваний строк корисного використання (експлуатації) яких більше одного року (або операційного циклу, якщо він довший за рік)</w:t>
            </w:r>
          </w:p>
          <w:p w:rsidR="00A04C0E" w:rsidRDefault="00A04C0E"/>
          <w:p w:rsidR="00357DEA" w:rsidRDefault="00357DEA">
            <w:r>
              <w:t>п. 4 П(С)БО 7</w:t>
            </w:r>
          </w:p>
        </w:tc>
        <w:tc>
          <w:tcPr>
            <w:tcW w:w="4665" w:type="dxa"/>
            <w:vAlign w:val="center"/>
            <w:hideMark/>
          </w:tcPr>
          <w:p w:rsidR="00357DEA" w:rsidRDefault="00357DEA">
            <w:pPr>
              <w:pStyle w:val="a5"/>
            </w:pPr>
            <w:r>
              <w:t>Основні засоби та нематеріальні активи</w:t>
            </w:r>
          </w:p>
          <w:p w:rsidR="00357DEA" w:rsidRDefault="00357DEA">
            <w:pPr>
              <w:pStyle w:val="a5"/>
            </w:pPr>
            <w:r>
              <w:rPr>
                <w:rStyle w:val="a6"/>
              </w:rPr>
              <w:t>Основні засоби</w:t>
            </w:r>
            <w:r>
              <w:t xml:space="preserve"> – матеріальні активи, у тому числі запаси корисних копалин, наданих у користування ділянок надр </w:t>
            </w:r>
            <w:r>
              <w:rPr>
                <w:rStyle w:val="a7"/>
                <w:b/>
                <w:bCs/>
              </w:rPr>
              <w:t>(крім вартості землі, незавершених капітальних інвестицій, автомобільних доріг загального користування, бібліотечних і архівних фондів, матеріальних активів, вартість яких не перевищує 20 000 грн, невиробничих основних засобів і нематеріальних активів)</w:t>
            </w:r>
            <w:r>
              <w:t>, що призначаються платником податку для використання у господарській діяльності платника податку, вартість яких перевищує 20 000 грн і поступово зменшується у зв‘язку з фізичним або моральним зносом та очікуваний строк корисного використання (експлуатації) яких з дати введення в експлуатацію становить понад один рік (або операційний цикл, якщо він довший за рік)</w:t>
            </w:r>
          </w:p>
          <w:p w:rsidR="00357DEA" w:rsidRDefault="00357DEA">
            <w:pPr>
              <w:pStyle w:val="a5"/>
            </w:pPr>
            <w:r>
              <w:t>пп. 14.1.138 ПК</w:t>
            </w:r>
          </w:p>
          <w:p w:rsidR="00357DEA" w:rsidRDefault="00357DEA">
            <w:pPr>
              <w:pStyle w:val="a5"/>
            </w:pPr>
            <w:r>
              <w:t>Про зміну вартісного критерію з 6 000 грн на 20 000 грн, яка відбулася 23.05.20 р., детально йдеться в матеріалі «</w:t>
            </w:r>
            <w:hyperlink r:id="rId7" w:tgtFrame="_blank" w:history="1">
              <w:r>
                <w:rPr>
                  <w:rStyle w:val="ab"/>
                </w:rPr>
                <w:t>Вартісний критерій для МНМА змінено з 6 000 грн на 20 000 грн: що зі старими об’єктами</w:t>
              </w:r>
            </w:hyperlink>
            <w:r>
              <w:t>»</w:t>
            </w:r>
          </w:p>
        </w:tc>
      </w:tr>
      <w:tr w:rsidR="00357DEA" w:rsidTr="00357D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57DEA" w:rsidRDefault="00357DEA"/>
        </w:tc>
        <w:tc>
          <w:tcPr>
            <w:tcW w:w="7935" w:type="dxa"/>
            <w:gridSpan w:val="2"/>
            <w:vAlign w:val="center"/>
            <w:hideMark/>
          </w:tcPr>
          <w:p w:rsidR="00357DEA" w:rsidRDefault="00357DEA">
            <w:r>
              <w:rPr>
                <w:rStyle w:val="a6"/>
              </w:rPr>
              <w:t>Нематеріальний актив</w:t>
            </w:r>
            <w:r>
              <w:t xml:space="preserve"> – немонетарний актив, який не має матеріальної форми та може бути ідентифікований (П(С)БО 8)</w:t>
            </w:r>
          </w:p>
        </w:tc>
      </w:tr>
      <w:tr w:rsidR="00357DEA" w:rsidTr="00357DEA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357DEA" w:rsidRDefault="00357DEA">
            <w:pPr>
              <w:pStyle w:val="a5"/>
            </w:pPr>
            <w:r>
              <w:rPr>
                <w:rStyle w:val="a6"/>
              </w:rPr>
              <w:t xml:space="preserve">Амортизацію НЕ нараховують </w:t>
            </w:r>
          </w:p>
        </w:tc>
        <w:tc>
          <w:tcPr>
            <w:tcW w:w="3255" w:type="dxa"/>
            <w:vAlign w:val="center"/>
            <w:hideMark/>
          </w:tcPr>
          <w:p w:rsidR="00357DEA" w:rsidRDefault="00357DEA">
            <w:pPr>
              <w:pStyle w:val="a5"/>
            </w:pPr>
            <w:r>
              <w:rPr>
                <w:rStyle w:val="a6"/>
              </w:rPr>
              <w:t>Не підлягають амортизації:</w:t>
            </w:r>
          </w:p>
          <w:p w:rsidR="00357DEA" w:rsidRDefault="00357DEA">
            <w:pPr>
              <w:pStyle w:val="a5"/>
            </w:pPr>
            <w:r>
              <w:t>– земельні ділянки;</w:t>
            </w:r>
          </w:p>
          <w:p w:rsidR="00357DEA" w:rsidRDefault="00357DEA">
            <w:pPr>
              <w:pStyle w:val="a5"/>
            </w:pPr>
            <w:r>
              <w:t>– природні ресурси;</w:t>
            </w:r>
          </w:p>
          <w:p w:rsidR="00357DEA" w:rsidRDefault="00357DEA">
            <w:pPr>
              <w:pStyle w:val="a5"/>
            </w:pPr>
            <w:r>
              <w:t>– капітальні інвестиції.</w:t>
            </w:r>
          </w:p>
          <w:p w:rsidR="00357DEA" w:rsidRDefault="00357DEA">
            <w:pPr>
              <w:pStyle w:val="a5"/>
            </w:pPr>
            <w:r>
              <w:t>22 П(С)БО 7</w:t>
            </w:r>
          </w:p>
          <w:p w:rsidR="00357DEA" w:rsidRDefault="00357DEA">
            <w:pPr>
              <w:pStyle w:val="a5"/>
            </w:pPr>
            <w:r>
              <w:t>Нематеріальні активи з невизначеним строком корисного використання амортизації не підлягають.</w:t>
            </w:r>
          </w:p>
          <w:p w:rsidR="00357DEA" w:rsidRDefault="00357DEA">
            <w:pPr>
              <w:pStyle w:val="a5"/>
            </w:pPr>
            <w:r>
              <w:t>25 П(С)БО 8</w:t>
            </w:r>
          </w:p>
        </w:tc>
        <w:tc>
          <w:tcPr>
            <w:tcW w:w="4665" w:type="dxa"/>
            <w:vAlign w:val="center"/>
            <w:hideMark/>
          </w:tcPr>
          <w:p w:rsidR="00357DEA" w:rsidRDefault="00357DEA">
            <w:pPr>
              <w:pStyle w:val="a5"/>
            </w:pPr>
            <w:r>
              <w:rPr>
                <w:rStyle w:val="a6"/>
              </w:rPr>
              <w:t>Не підлягають амортизації:</w:t>
            </w:r>
          </w:p>
          <w:p w:rsidR="00357DEA" w:rsidRDefault="00357DEA">
            <w:pPr>
              <w:pStyle w:val="a5"/>
            </w:pPr>
            <w:r>
              <w:t>– вартість гудвілу;</w:t>
            </w:r>
          </w:p>
          <w:p w:rsidR="00357DEA" w:rsidRDefault="00357DEA">
            <w:pPr>
              <w:pStyle w:val="a5"/>
            </w:pPr>
            <w:r>
              <w:t>– витрати на придбання/самостійне виготовлення невиробничих основних засобів, невиробничих нематеріальних активів;</w:t>
            </w:r>
          </w:p>
          <w:p w:rsidR="00357DEA" w:rsidRDefault="00357DEA">
            <w:pPr>
              <w:pStyle w:val="a5"/>
            </w:pPr>
            <w:r>
              <w:t>– на ремонт, реконструкцію, модернізацію або інші поліпшення невиробничих основних засобів, невиробничих нематеріальних активів</w:t>
            </w:r>
          </w:p>
          <w:p w:rsidR="00357DEA" w:rsidRDefault="00357DEA">
            <w:pPr>
              <w:pStyle w:val="a5"/>
            </w:pPr>
            <w:r>
              <w:t>пп. 138.3.2 ПК</w:t>
            </w:r>
          </w:p>
          <w:p w:rsidR="00357DEA" w:rsidRDefault="00357DEA">
            <w:pPr>
              <w:pStyle w:val="a5"/>
            </w:pPr>
            <w:r>
              <w:rPr>
                <w:rStyle w:val="a6"/>
              </w:rPr>
              <w:t>Зауважимо:</w:t>
            </w:r>
            <w:r>
              <w:t xml:space="preserve"> у податковому обліку не амортизуються ті необоротні матеріальні активи, які не потрапили у визначення основних засобів за пп. 14.1.138 ПК, а це:</w:t>
            </w:r>
          </w:p>
          <w:p w:rsidR="00357DEA" w:rsidRDefault="00357DEA">
            <w:pPr>
              <w:pStyle w:val="a5"/>
            </w:pPr>
            <w:r>
              <w:t>– податкові МНМА;</w:t>
            </w:r>
          </w:p>
          <w:p w:rsidR="00357DEA" w:rsidRDefault="00357DEA">
            <w:pPr>
              <w:pStyle w:val="a5"/>
            </w:pPr>
            <w:r>
              <w:t>– бібліотечні фонди;</w:t>
            </w:r>
          </w:p>
          <w:p w:rsidR="00357DEA" w:rsidRDefault="00357DEA">
            <w:pPr>
              <w:pStyle w:val="a5"/>
            </w:pPr>
            <w:r>
              <w:t>– земділянки;</w:t>
            </w:r>
          </w:p>
          <w:p w:rsidR="00357DEA" w:rsidRDefault="00357DEA">
            <w:pPr>
              <w:pStyle w:val="a5"/>
            </w:pPr>
            <w:r>
              <w:t>– незавершені капітальні інвестиції;</w:t>
            </w:r>
          </w:p>
          <w:p w:rsidR="00357DEA" w:rsidRDefault="00357DEA">
            <w:pPr>
              <w:pStyle w:val="a5"/>
            </w:pPr>
            <w:r>
              <w:t>– автомобільні дороги загального користування;</w:t>
            </w:r>
          </w:p>
          <w:p w:rsidR="00357DEA" w:rsidRDefault="00357DEA">
            <w:pPr>
              <w:pStyle w:val="a5"/>
            </w:pPr>
            <w:r>
              <w:t>– невиробничі основні засоби та невиробничі нематеріальні активи.</w:t>
            </w:r>
          </w:p>
          <w:p w:rsidR="00357DEA" w:rsidRDefault="00357DEA">
            <w:pPr>
              <w:pStyle w:val="a5"/>
            </w:pPr>
            <w:r>
              <w:rPr>
                <w:rStyle w:val="a7"/>
              </w:rPr>
              <w:t>«Вартість земельних ділянок, бібліотечних фондів, малоцінних необоротних матеріальних активів та природних ресурсів не підлягає амортизації у податковому обліку»</w:t>
            </w:r>
          </w:p>
          <w:p w:rsidR="00357DEA" w:rsidRDefault="00357DEA">
            <w:pPr>
              <w:pStyle w:val="a5"/>
            </w:pPr>
            <w:r>
              <w:t>ЗІР, категорія 102.05</w:t>
            </w:r>
          </w:p>
          <w:p w:rsidR="00357DEA" w:rsidRDefault="00357DEA">
            <w:pPr>
              <w:pStyle w:val="a5"/>
            </w:pPr>
            <w:r>
              <w:t>ІПК ДФСУ від 08.07.20 р. № 2749/6/99-00-05-05-02-06/ІПК</w:t>
            </w:r>
          </w:p>
        </w:tc>
      </w:tr>
      <w:tr w:rsidR="00357DEA" w:rsidTr="00357DEA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357DEA" w:rsidRDefault="00357DEA">
            <w:pPr>
              <w:pStyle w:val="a5"/>
            </w:pPr>
            <w:r>
              <w:rPr>
                <w:rStyle w:val="a6"/>
              </w:rPr>
              <w:lastRenderedPageBreak/>
              <w:t>Амортизація негоспдіяльних основних засобів, нематеріальних активів</w:t>
            </w:r>
          </w:p>
        </w:tc>
        <w:tc>
          <w:tcPr>
            <w:tcW w:w="3255" w:type="dxa"/>
            <w:vAlign w:val="center"/>
            <w:hideMark/>
          </w:tcPr>
          <w:p w:rsidR="00357DEA" w:rsidRDefault="00357DEA">
            <w:r>
              <w:t>Незалежно від того, яку функцію виконує об’єкт основних засобів, нематактив, на нього нараховують амортизацію. У бухобліку амортизують об’єкти соцінфраструктури, які не задіяні в отриманні доходу</w:t>
            </w:r>
          </w:p>
        </w:tc>
        <w:tc>
          <w:tcPr>
            <w:tcW w:w="4665" w:type="dxa"/>
            <w:vAlign w:val="center"/>
            <w:hideMark/>
          </w:tcPr>
          <w:p w:rsidR="00357DEA" w:rsidRDefault="00357DEA">
            <w:pPr>
              <w:pStyle w:val="a5"/>
            </w:pPr>
            <w:r>
              <w:t>На негоспдіяльні основні засоби, негоспдіяльні нематактиви амортизація не нараховується.</w:t>
            </w:r>
          </w:p>
          <w:p w:rsidR="00357DEA" w:rsidRDefault="00357DEA">
            <w:pPr>
              <w:pStyle w:val="a5"/>
            </w:pPr>
            <w:r>
              <w:t>У термінології ПК – невиробничі. Терміни «невиробничі основні засоби», «невиробничі нематеріальні активи» означають відповідно основні засоби, нематеріальні активи, не призначені для використання в господарській діяльності платника податку</w:t>
            </w:r>
          </w:p>
          <w:p w:rsidR="00357DEA" w:rsidRDefault="00357DEA">
            <w:pPr>
              <w:pStyle w:val="a5"/>
            </w:pPr>
            <w:r>
              <w:t>пп. 138.3.2 ПК</w:t>
            </w:r>
          </w:p>
        </w:tc>
      </w:tr>
      <w:tr w:rsidR="00357DEA" w:rsidTr="00357DEA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357DEA" w:rsidRDefault="00357DEA">
            <w:pPr>
              <w:pStyle w:val="a5"/>
            </w:pPr>
            <w:r>
              <w:rPr>
                <w:rStyle w:val="a6"/>
              </w:rPr>
              <w:t>Амортизація безоплатно отриманих основних засобів, нематактивів</w:t>
            </w:r>
          </w:p>
        </w:tc>
        <w:tc>
          <w:tcPr>
            <w:tcW w:w="3255" w:type="dxa"/>
            <w:vAlign w:val="center"/>
            <w:hideMark/>
          </w:tcPr>
          <w:p w:rsidR="00357DEA" w:rsidRDefault="00357DEA">
            <w:r>
              <w:t>У бухобліку амортизуються безоплатно отримані основні засоби, нематактиви</w:t>
            </w:r>
          </w:p>
        </w:tc>
        <w:tc>
          <w:tcPr>
            <w:tcW w:w="4665" w:type="dxa"/>
            <w:vAlign w:val="center"/>
            <w:hideMark/>
          </w:tcPr>
          <w:p w:rsidR="00357DEA" w:rsidRDefault="00357DEA">
            <w:pPr>
              <w:pStyle w:val="a5"/>
            </w:pPr>
            <w:r>
              <w:t>У податковому обліку амортизуються безоплатно отримані основні засоби, нематактиви. Адже амортизують не витрати на їх придбання, а саме об’єкти.</w:t>
            </w:r>
          </w:p>
          <w:p w:rsidR="00357DEA" w:rsidRDefault="00357DEA">
            <w:pPr>
              <w:pStyle w:val="a5"/>
            </w:pPr>
            <w:r>
              <w:t>Зауважте: лише ті, які отримано безоплатно після 01.01.15 р. (листи Міжрегіонального головного управління ДФС ― ЦО з ОВП від 15.01.16 р. № 1167/10-28-10-06-11, ДФС від 18.07.16 р. № 15395/6/99-99-15-02-02-15, від 09.06.16 р. № 12682/6/99-99-15-02-02-15). Адже до 2015 року амортизації підлягали витрати на придбання основних засобів, нематактивів. Зараз же амортизується вартість (а вона, у свою чергу, визначається за правилами бухобліку)</w:t>
            </w:r>
          </w:p>
        </w:tc>
      </w:tr>
    </w:tbl>
    <w:p w:rsidR="00357DEA" w:rsidRDefault="00357DEA" w:rsidP="00357DEA">
      <w:pPr>
        <w:pStyle w:val="3"/>
      </w:pPr>
      <w:r>
        <w:rPr>
          <w:rStyle w:val="a6"/>
          <w:b/>
          <w:bCs/>
        </w:rPr>
        <w:t>Таблиця 3. Вартість, яка амортизується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3704"/>
        <w:gridCol w:w="3721"/>
      </w:tblGrid>
      <w:tr w:rsidR="00357DEA" w:rsidTr="00357DEA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Категорія для порівняння</w:t>
            </w:r>
          </w:p>
        </w:tc>
        <w:tc>
          <w:tcPr>
            <w:tcW w:w="3975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Бухгалтерська амортизація</w:t>
            </w:r>
          </w:p>
        </w:tc>
        <w:tc>
          <w:tcPr>
            <w:tcW w:w="3960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Податкова амортизація</w:t>
            </w:r>
          </w:p>
        </w:tc>
      </w:tr>
      <w:tr w:rsidR="00357DEA" w:rsidTr="00357DEA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357DEA" w:rsidRDefault="00357DEA">
            <w:pPr>
              <w:pStyle w:val="a5"/>
            </w:pPr>
            <w:r>
              <w:rPr>
                <w:rStyle w:val="a6"/>
              </w:rPr>
              <w:t>Вартість, яка амортизується</w:t>
            </w:r>
          </w:p>
        </w:tc>
        <w:tc>
          <w:tcPr>
            <w:tcW w:w="3975" w:type="dxa"/>
            <w:vAlign w:val="center"/>
            <w:hideMark/>
          </w:tcPr>
          <w:p w:rsidR="00A04C0E" w:rsidRDefault="00357DEA">
            <w:r>
              <w:t>Первісна або переоцінена вартість необоротних активів за вирахуванням їх ліквідаційної вартості</w:t>
            </w:r>
          </w:p>
          <w:p w:rsidR="00A04C0E" w:rsidRDefault="00A04C0E"/>
          <w:p w:rsidR="00357DEA" w:rsidRPr="00A04C0E" w:rsidRDefault="00357DEA">
            <w:pPr>
              <w:rPr>
                <w:i/>
              </w:rPr>
            </w:pPr>
            <w:r w:rsidRPr="00A04C0E">
              <w:rPr>
                <w:rStyle w:val="a7"/>
                <w:i w:val="0"/>
              </w:rPr>
              <w:t>п. 4 П(С)БО 7</w:t>
            </w:r>
          </w:p>
        </w:tc>
        <w:tc>
          <w:tcPr>
            <w:tcW w:w="3960" w:type="dxa"/>
            <w:vAlign w:val="center"/>
            <w:hideMark/>
          </w:tcPr>
          <w:p w:rsidR="00357DEA" w:rsidRDefault="00357DEA">
            <w:r>
              <w:t>Первісна вартість необоротних активів за вирахуванням їх ліквідаційної вартості. Тобто без урахування переоцінки.</w:t>
            </w:r>
            <w:r w:rsidR="00A04C0E">
              <w:rPr>
                <w:lang w:val="uk-UA"/>
              </w:rPr>
              <w:t xml:space="preserve"> </w:t>
            </w:r>
            <w:r>
              <w:t>До речі: ліквідаційну вартість беруть за даними бухобліку (ІПК ДФСУ від 06.06.19 р. № 2558/6/99-99-15-02-02-15/ІПК).</w:t>
            </w:r>
            <w:r w:rsidR="00A04C0E">
              <w:rPr>
                <w:lang w:val="uk-UA"/>
              </w:rPr>
              <w:t xml:space="preserve"> </w:t>
            </w:r>
            <w:r>
              <w:t>У разі переходу з єдиного податку на загальну систему –</w:t>
            </w:r>
            <w:r w:rsidR="00A04C0E">
              <w:rPr>
                <w:lang w:val="uk-UA"/>
              </w:rPr>
              <w:t xml:space="preserve"> </w:t>
            </w:r>
            <w:r>
              <w:t>залишкова бухгалтерська вартість (</w:t>
            </w:r>
            <w:hyperlink r:id="rId8" w:tgtFrame="_blank" w:history="1">
              <w:r>
                <w:rPr>
                  <w:rStyle w:val="ab"/>
                </w:rPr>
                <w:t>новина ГУ ДФС у Тернопільській області від 29.10.18 р.</w:t>
              </w:r>
            </w:hyperlink>
            <w:r>
              <w:t>, ЗІР категорія 102.05)</w:t>
            </w:r>
          </w:p>
        </w:tc>
      </w:tr>
      <w:tr w:rsidR="00357DEA" w:rsidTr="00357DEA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357DEA" w:rsidRDefault="00357DEA">
            <w:pPr>
              <w:pStyle w:val="a5"/>
            </w:pPr>
            <w:r>
              <w:rPr>
                <w:rStyle w:val="a6"/>
              </w:rPr>
              <w:lastRenderedPageBreak/>
              <w:t>Вплив переоцінки на амортизацію</w:t>
            </w:r>
          </w:p>
        </w:tc>
        <w:tc>
          <w:tcPr>
            <w:tcW w:w="3975" w:type="dxa"/>
            <w:vAlign w:val="center"/>
            <w:hideMark/>
          </w:tcPr>
          <w:p w:rsidR="00357DEA" w:rsidRDefault="00357DEA">
            <w:pPr>
              <w:pStyle w:val="a5"/>
            </w:pPr>
            <w:r>
              <w:t>Переоцінка (переоцінена вартість) враховується під час нарахування амортизації</w:t>
            </w:r>
          </w:p>
          <w:p w:rsidR="00357DEA" w:rsidRDefault="00357DEA">
            <w:pPr>
              <w:pStyle w:val="a5"/>
            </w:pPr>
            <w:r>
              <w:t>п. 4 П(С)БО 7</w:t>
            </w:r>
          </w:p>
        </w:tc>
        <w:tc>
          <w:tcPr>
            <w:tcW w:w="3960" w:type="dxa"/>
            <w:vAlign w:val="center"/>
            <w:hideMark/>
          </w:tcPr>
          <w:p w:rsidR="00357DEA" w:rsidRDefault="00357DEA">
            <w:pPr>
              <w:pStyle w:val="a5"/>
            </w:pPr>
            <w:r>
              <w:t>Бухгалтерська переоцінка (уцінка, дооцінка) не враховується при нарахуванні податкової амортизації</w:t>
            </w:r>
          </w:p>
          <w:p w:rsidR="00357DEA" w:rsidRDefault="00357DEA">
            <w:r>
              <w:t>пп. 138.3.1 ПКІПК ДПСУ від 30.07.20 р. № 3149/ІПК/99-00-05-05-02-06</w:t>
            </w:r>
          </w:p>
        </w:tc>
      </w:tr>
      <w:tr w:rsidR="00357DEA" w:rsidTr="00357DEA">
        <w:trPr>
          <w:tblCellSpacing w:w="15" w:type="dxa"/>
        </w:trPr>
        <w:tc>
          <w:tcPr>
            <w:tcW w:w="1695" w:type="dxa"/>
            <w:vAlign w:val="center"/>
            <w:hideMark/>
          </w:tcPr>
          <w:p w:rsidR="00357DEA" w:rsidRDefault="00357DEA">
            <w:pPr>
              <w:pStyle w:val="a5"/>
            </w:pPr>
            <w:r>
              <w:rPr>
                <w:rStyle w:val="a6"/>
              </w:rPr>
              <w:t>Залишкова вартість</w:t>
            </w:r>
          </w:p>
        </w:tc>
        <w:tc>
          <w:tcPr>
            <w:tcW w:w="3975" w:type="dxa"/>
            <w:vAlign w:val="center"/>
            <w:hideMark/>
          </w:tcPr>
          <w:p w:rsidR="00357DEA" w:rsidRDefault="00357DEA">
            <w:r>
              <w:rPr>
                <w:rStyle w:val="a6"/>
              </w:rPr>
              <w:t>Залишкова вартість</w:t>
            </w:r>
            <w:r>
              <w:t xml:space="preserve"> – різниця між первісною (переоціненою) вартістю необоротного активу і сумою його накопиченої амортизації (зносу)</w:t>
            </w:r>
          </w:p>
          <w:p w:rsidR="00357DEA" w:rsidRDefault="00357DEA">
            <w:pPr>
              <w:pStyle w:val="a5"/>
            </w:pPr>
            <w:r>
              <w:t>п. 4 П(С)БО 7</w:t>
            </w:r>
          </w:p>
        </w:tc>
        <w:tc>
          <w:tcPr>
            <w:tcW w:w="3960" w:type="dxa"/>
            <w:vAlign w:val="center"/>
            <w:hideMark/>
          </w:tcPr>
          <w:p w:rsidR="00357DEA" w:rsidRDefault="00357DEA">
            <w:pPr>
              <w:pStyle w:val="a5"/>
            </w:pPr>
            <w:r>
              <w:rPr>
                <w:rStyle w:val="a6"/>
              </w:rPr>
              <w:t>Залишкова вартість основних засобів, інших необоротних та нематеріальних активів для цілей розділу III</w:t>
            </w:r>
            <w:r>
              <w:t xml:space="preserve"> – сума залишкової вартості таких засобів та активів, яка визначається як різниця між первісною вартістю і сумою розрахованої амортизації відповідно до положень розд. III ПК</w:t>
            </w:r>
          </w:p>
          <w:p w:rsidR="00357DEA" w:rsidRDefault="00357DEA">
            <w:pPr>
              <w:pStyle w:val="a5"/>
            </w:pPr>
            <w:r>
              <w:t>пп. 14.1.9 ПК</w:t>
            </w:r>
          </w:p>
        </w:tc>
      </w:tr>
    </w:tbl>
    <w:p w:rsidR="00357DEA" w:rsidRDefault="00357DEA" w:rsidP="00357DEA">
      <w:pPr>
        <w:pStyle w:val="3"/>
      </w:pPr>
      <w:r>
        <w:rPr>
          <w:rStyle w:val="a6"/>
          <w:b/>
          <w:bCs/>
        </w:rPr>
        <w:t>Таблиця 4. Методи амортизації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6"/>
        <w:gridCol w:w="2612"/>
      </w:tblGrid>
      <w:tr w:rsidR="00357DEA" w:rsidTr="00357DEA">
        <w:trPr>
          <w:tblCellSpacing w:w="15" w:type="dxa"/>
        </w:trPr>
        <w:tc>
          <w:tcPr>
            <w:tcW w:w="7080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Бухгалтерська амортизація</w:t>
            </w:r>
          </w:p>
        </w:tc>
        <w:tc>
          <w:tcPr>
            <w:tcW w:w="2700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Податкова амортизація</w:t>
            </w:r>
          </w:p>
        </w:tc>
      </w:tr>
      <w:tr w:rsidR="00357DEA" w:rsidTr="00357DEA">
        <w:trPr>
          <w:tblCellSpacing w:w="15" w:type="dxa"/>
        </w:trPr>
        <w:tc>
          <w:tcPr>
            <w:tcW w:w="7080" w:type="dxa"/>
            <w:vAlign w:val="center"/>
            <w:hideMark/>
          </w:tcPr>
          <w:p w:rsidR="00357DEA" w:rsidRPr="00A04C0E" w:rsidRDefault="00357DEA">
            <w:pPr>
              <w:pStyle w:val="a5"/>
              <w:rPr>
                <w:lang w:val="uk-UA"/>
              </w:rPr>
            </w:pPr>
            <w:r>
              <w:t>Прямолінійний, зменшення залишкової вартості, прискореного зменшення залишкової вартості, кумулятивний, виробничий.</w:t>
            </w:r>
            <w:r w:rsidR="00A04C0E">
              <w:rPr>
                <w:lang w:val="uk-UA"/>
              </w:rPr>
              <w:t xml:space="preserve"> </w:t>
            </w:r>
            <w:r w:rsidRPr="00A04C0E">
              <w:rPr>
                <w:lang w:val="uk-UA"/>
              </w:rPr>
              <w:t>Для МНМА та бібліотечних фондів – 50%/50% чи 100% під час уведення, можна використовувати прямолінійний або виробничий.</w:t>
            </w:r>
            <w:r w:rsidR="00A04C0E">
              <w:rPr>
                <w:lang w:val="uk-UA"/>
              </w:rPr>
              <w:t xml:space="preserve"> </w:t>
            </w:r>
            <w:r w:rsidRPr="00A04C0E">
              <w:rPr>
                <w:lang w:val="uk-UA"/>
              </w:rPr>
              <w:t>Для інших необоротних матеріальних активів – прямолінійний, виробничий</w:t>
            </w:r>
            <w:r w:rsidR="00A04C0E">
              <w:rPr>
                <w:lang w:val="uk-UA"/>
              </w:rPr>
              <w:t xml:space="preserve"> </w:t>
            </w:r>
            <w:r w:rsidRPr="00A04C0E">
              <w:rPr>
                <w:lang w:val="uk-UA"/>
              </w:rPr>
              <w:t>п.</w:t>
            </w:r>
          </w:p>
          <w:p w:rsidR="00357DEA" w:rsidRDefault="00357DEA">
            <w:pPr>
              <w:pStyle w:val="a5"/>
            </w:pPr>
            <w:r>
              <w:t>п. 26, 27 П(С)БО 7, п. 27 П(С)БО 8</w:t>
            </w:r>
          </w:p>
        </w:tc>
        <w:tc>
          <w:tcPr>
            <w:tcW w:w="2700" w:type="dxa"/>
            <w:vAlign w:val="center"/>
            <w:hideMark/>
          </w:tcPr>
          <w:p w:rsidR="00357DEA" w:rsidRDefault="00357DEA">
            <w:pPr>
              <w:pStyle w:val="a5"/>
            </w:pPr>
            <w:r>
              <w:t>Бухгалтерські методи</w:t>
            </w:r>
          </w:p>
          <w:p w:rsidR="00357DEA" w:rsidRDefault="00357DEA">
            <w:pPr>
              <w:pStyle w:val="a5"/>
            </w:pPr>
            <w:r>
              <w:t>пп. 138.3.1 ПК</w:t>
            </w:r>
          </w:p>
        </w:tc>
      </w:tr>
    </w:tbl>
    <w:p w:rsidR="00357DEA" w:rsidRDefault="00357DEA" w:rsidP="00357DEA">
      <w:pPr>
        <w:pStyle w:val="3"/>
      </w:pPr>
      <w:r>
        <w:rPr>
          <w:rStyle w:val="a6"/>
          <w:b/>
          <w:bCs/>
        </w:rPr>
        <w:t>Таблиця 5. Строк амортизації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4342"/>
      </w:tblGrid>
      <w:tr w:rsidR="00357DEA" w:rsidTr="00357DEA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Бухгалтерська амортизація</w:t>
            </w:r>
          </w:p>
        </w:tc>
        <w:tc>
          <w:tcPr>
            <w:tcW w:w="4530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Податкова амортизація</w:t>
            </w:r>
          </w:p>
        </w:tc>
      </w:tr>
      <w:tr w:rsidR="00357DEA" w:rsidTr="00357DEA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357DEA" w:rsidRDefault="00357DEA">
            <w:pPr>
              <w:pStyle w:val="a5"/>
            </w:pPr>
            <w:r>
              <w:t xml:space="preserve">Строк корисного використання (експлуатації) – </w:t>
            </w:r>
            <w:r>
              <w:rPr>
                <w:rStyle w:val="a6"/>
              </w:rPr>
              <w:t>очікуваний період часу</w:t>
            </w:r>
            <w:r>
              <w:t>, протягом якого необоротні активи будуть використовуватися підприємством/установою або з їх використанням буде виготовлено (виконано) очікуваний підприємством/установою обсяг продукції (робіт, послуг)</w:t>
            </w:r>
          </w:p>
          <w:p w:rsidR="00357DEA" w:rsidRDefault="00357DEA">
            <w:pPr>
              <w:pStyle w:val="a5"/>
            </w:pPr>
            <w:r>
              <w:t>п. 4 П(С)БО 7</w:t>
            </w:r>
          </w:p>
          <w:p w:rsidR="00357DEA" w:rsidRDefault="00357DEA">
            <w:pPr>
              <w:pStyle w:val="a5"/>
            </w:pPr>
            <w:r>
              <w:lastRenderedPageBreak/>
              <w:t>Його встановлює підприємство (у розпорядчому акті) під час визнання цього об‘єкта активом (зарахування на баланс)</w:t>
            </w:r>
          </w:p>
          <w:p w:rsidR="00357DEA" w:rsidRDefault="00357DEA">
            <w:pPr>
              <w:pStyle w:val="a5"/>
            </w:pPr>
            <w:r>
              <w:t>п. 23 П(С)БО 7, п. 25 П(С)БО 8</w:t>
            </w:r>
          </w:p>
        </w:tc>
        <w:tc>
          <w:tcPr>
            <w:tcW w:w="4530" w:type="dxa"/>
            <w:vAlign w:val="center"/>
            <w:hideMark/>
          </w:tcPr>
          <w:p w:rsidR="00357DEA" w:rsidRDefault="00357DEA">
            <w:pPr>
              <w:pStyle w:val="a5"/>
            </w:pPr>
            <w:r>
              <w:lastRenderedPageBreak/>
              <w:t xml:space="preserve">Бухгалтерський строк корисного використання, але </w:t>
            </w:r>
            <w:r>
              <w:rPr>
                <w:rStyle w:val="a6"/>
              </w:rPr>
              <w:t>не менше мінімально допустимих строків</w:t>
            </w:r>
            <w:r>
              <w:t xml:space="preserve"> в розрізі груп</w:t>
            </w:r>
          </w:p>
          <w:p w:rsidR="00357DEA" w:rsidRDefault="00357DEA">
            <w:pPr>
              <w:pStyle w:val="a5"/>
            </w:pPr>
            <w:r>
              <w:t>пп. 138.3.3 та пп. 138.3.4 ПКУ</w:t>
            </w:r>
          </w:p>
          <w:p w:rsidR="00357DEA" w:rsidRDefault="00357DEA">
            <w:pPr>
              <w:pStyle w:val="a5"/>
            </w:pPr>
            <w:r>
              <w:t>Право прискореної амортизації для окремих груп (4, 5, 3 – передавальні прилади та 9) за ряду умов</w:t>
            </w:r>
          </w:p>
          <w:p w:rsidR="00357DEA" w:rsidRDefault="00357DEA">
            <w:pPr>
              <w:pStyle w:val="a5"/>
            </w:pPr>
            <w:r>
              <w:t>п. 43</w:t>
            </w:r>
            <w:r>
              <w:rPr>
                <w:vertAlign w:val="superscript"/>
              </w:rPr>
              <w:t>1</w:t>
            </w:r>
            <w:r>
              <w:t xml:space="preserve"> підрозд. 4 розд. ХХ ПК,</w:t>
            </w:r>
          </w:p>
          <w:p w:rsidR="00357DEA" w:rsidRDefault="00357DEA">
            <w:pPr>
              <w:pStyle w:val="a5"/>
            </w:pPr>
            <w:r>
              <w:lastRenderedPageBreak/>
              <w:t>ІПК від 12.06.2020 р. № 2410/6/99-00-05-05-02-06/ІПК,</w:t>
            </w:r>
          </w:p>
          <w:p w:rsidR="00357DEA" w:rsidRDefault="00357DEA">
            <w:pPr>
              <w:pStyle w:val="a5"/>
            </w:pPr>
            <w:r>
              <w:t>ІПК ДПСУ від 01.07.2020 р. № 2643/6/99-00-05-05-02-06/ІПК,</w:t>
            </w:r>
          </w:p>
          <w:p w:rsidR="00357DEA" w:rsidRDefault="00357DEA">
            <w:pPr>
              <w:pStyle w:val="a5"/>
            </w:pPr>
            <w:r>
              <w:t>Інформаційний лист № 12</w:t>
            </w:r>
          </w:p>
        </w:tc>
      </w:tr>
    </w:tbl>
    <w:p w:rsidR="00357DEA" w:rsidRDefault="00357DEA" w:rsidP="00357DEA">
      <w:pPr>
        <w:pStyle w:val="3"/>
      </w:pPr>
      <w:r>
        <w:rPr>
          <w:rStyle w:val="a6"/>
          <w:b/>
          <w:bCs/>
        </w:rPr>
        <w:lastRenderedPageBreak/>
        <w:t>Таблиця 6. Початок амортизації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7"/>
        <w:gridCol w:w="2911"/>
      </w:tblGrid>
      <w:tr w:rsidR="00357DEA" w:rsidTr="00357DEA">
        <w:trPr>
          <w:tblCellSpacing w:w="15" w:type="dxa"/>
        </w:trPr>
        <w:tc>
          <w:tcPr>
            <w:tcW w:w="6510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Бухгалтерська амортизація</w:t>
            </w:r>
          </w:p>
        </w:tc>
        <w:tc>
          <w:tcPr>
            <w:tcW w:w="2970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Податкова амортизація</w:t>
            </w:r>
          </w:p>
        </w:tc>
      </w:tr>
      <w:tr w:rsidR="00357DEA" w:rsidTr="00357DEA">
        <w:trPr>
          <w:tblCellSpacing w:w="15" w:type="dxa"/>
        </w:trPr>
        <w:tc>
          <w:tcPr>
            <w:tcW w:w="6510" w:type="dxa"/>
            <w:vAlign w:val="center"/>
            <w:hideMark/>
          </w:tcPr>
          <w:p w:rsidR="00357DEA" w:rsidRDefault="00357DEA">
            <w:pPr>
              <w:pStyle w:val="a5"/>
            </w:pPr>
            <w:r>
              <w:t>Амортизація розпочинається з місяця, що настає за введенням об’єкта в експлуатацію (господарський оборот) і припиняється з наступного місяця після вибуття об’єкта.</w:t>
            </w:r>
            <w:r w:rsidR="00A04C0E">
              <w:rPr>
                <w:lang w:val="uk-UA"/>
              </w:rPr>
              <w:t xml:space="preserve"> </w:t>
            </w:r>
            <w:bookmarkStart w:id="0" w:name="_GoBack"/>
            <w:bookmarkEnd w:id="0"/>
            <w:r>
              <w:t>У разі застосування виробничого методу починається з дати, що настає за датою введення в експлуатацію об‘єкта.</w:t>
            </w:r>
          </w:p>
          <w:p w:rsidR="00357DEA" w:rsidRDefault="00357DEA">
            <w:pPr>
              <w:pStyle w:val="a5"/>
            </w:pPr>
            <w:r>
              <w:t>Для МНМА, бібліотечних фондів, що амортизуються «спецметодами»:</w:t>
            </w:r>
          </w:p>
          <w:p w:rsidR="00357DEA" w:rsidRDefault="00357DEA">
            <w:pPr>
              <w:pStyle w:val="a5"/>
            </w:pPr>
            <w:r>
              <w:t>– 100% – у місяці введення в експлуатацію;</w:t>
            </w:r>
          </w:p>
          <w:p w:rsidR="00357DEA" w:rsidRDefault="00357DEA">
            <w:pPr>
              <w:pStyle w:val="a5"/>
            </w:pPr>
            <w:r>
              <w:t>– 50%/50% – відповідно в першому та останньому місяці використання.</w:t>
            </w:r>
          </w:p>
          <w:p w:rsidR="00357DEA" w:rsidRDefault="00357DEA">
            <w:pPr>
              <w:pStyle w:val="a5"/>
            </w:pPr>
            <w:r>
              <w:t>п. 29 П(С)БО 7,п. 29 П(С)БО 8</w:t>
            </w:r>
          </w:p>
        </w:tc>
        <w:tc>
          <w:tcPr>
            <w:tcW w:w="2970" w:type="dxa"/>
            <w:vAlign w:val="center"/>
            <w:hideMark/>
          </w:tcPr>
          <w:p w:rsidR="00357DEA" w:rsidRDefault="00357DEA">
            <w:pPr>
              <w:pStyle w:val="a5"/>
            </w:pPr>
            <w:r>
              <w:t>За правилами бухобліку</w:t>
            </w:r>
          </w:p>
          <w:p w:rsidR="00357DEA" w:rsidRDefault="00357DEA">
            <w:pPr>
              <w:pStyle w:val="a5"/>
            </w:pPr>
            <w:r>
              <w:t>пп. 138.3.1 ПК</w:t>
            </w:r>
          </w:p>
        </w:tc>
      </w:tr>
    </w:tbl>
    <w:p w:rsidR="00357DEA" w:rsidRDefault="00357DEA" w:rsidP="00357DEA">
      <w:pPr>
        <w:pStyle w:val="3"/>
      </w:pPr>
      <w:r>
        <w:rPr>
          <w:rStyle w:val="a6"/>
          <w:b/>
          <w:bCs/>
        </w:rPr>
        <w:t>Таблиця 7. Призупинення амортизації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1828"/>
        <w:gridCol w:w="2565"/>
        <w:gridCol w:w="1976"/>
      </w:tblGrid>
      <w:tr w:rsidR="00357DEA" w:rsidTr="00357DEA">
        <w:trPr>
          <w:tblCellSpacing w:w="15" w:type="dxa"/>
        </w:trPr>
        <w:tc>
          <w:tcPr>
            <w:tcW w:w="2970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Бухгалтерська амортизація</w:t>
            </w:r>
          </w:p>
        </w:tc>
        <w:tc>
          <w:tcPr>
            <w:tcW w:w="6525" w:type="dxa"/>
            <w:gridSpan w:val="3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Податкова амортизація</w:t>
            </w:r>
          </w:p>
        </w:tc>
      </w:tr>
      <w:tr w:rsidR="00357DEA" w:rsidTr="00357DEA">
        <w:trPr>
          <w:tblCellSpacing w:w="15" w:type="dxa"/>
        </w:trPr>
        <w:tc>
          <w:tcPr>
            <w:tcW w:w="2970" w:type="dxa"/>
            <w:vMerge w:val="restart"/>
            <w:vAlign w:val="center"/>
            <w:hideMark/>
          </w:tcPr>
          <w:p w:rsidR="00357DEA" w:rsidRDefault="00357DEA">
            <w:pPr>
              <w:pStyle w:val="a5"/>
            </w:pPr>
            <w:r>
              <w:t>Призупиняють амортизацію на період:</w:t>
            </w:r>
          </w:p>
          <w:p w:rsidR="00357DEA" w:rsidRDefault="00357DEA">
            <w:pPr>
              <w:pStyle w:val="a5"/>
            </w:pPr>
            <w:r>
              <w:t>– реконструкції,</w:t>
            </w:r>
          </w:p>
          <w:p w:rsidR="00357DEA" w:rsidRDefault="00357DEA">
            <w:pPr>
              <w:pStyle w:val="a5"/>
            </w:pPr>
            <w:r>
              <w:t>– модернізації,</w:t>
            </w:r>
          </w:p>
          <w:p w:rsidR="00357DEA" w:rsidRDefault="00357DEA">
            <w:pPr>
              <w:pStyle w:val="a5"/>
            </w:pPr>
            <w:r>
              <w:t>– добудови,</w:t>
            </w:r>
          </w:p>
          <w:p w:rsidR="00357DEA" w:rsidRDefault="00357DEA">
            <w:pPr>
              <w:pStyle w:val="a5"/>
            </w:pPr>
            <w:r>
              <w:t>– дообладнання та</w:t>
            </w:r>
          </w:p>
          <w:p w:rsidR="00357DEA" w:rsidRDefault="00357DEA">
            <w:pPr>
              <w:pStyle w:val="a5"/>
            </w:pPr>
            <w:r>
              <w:t>– консервації об’єкта основних засобів</w:t>
            </w:r>
          </w:p>
          <w:p w:rsidR="00357DEA" w:rsidRDefault="00357DEA">
            <w:r>
              <w:t>п. 23 П(С)БО 7</w:t>
            </w:r>
          </w:p>
        </w:tc>
        <w:tc>
          <w:tcPr>
            <w:tcW w:w="1845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З 01.01.15 до 23.05.20</w:t>
            </w:r>
          </w:p>
        </w:tc>
        <w:tc>
          <w:tcPr>
            <w:tcW w:w="2700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З 23.05.20 р. до 08.08.20</w:t>
            </w:r>
          </w:p>
        </w:tc>
        <w:tc>
          <w:tcPr>
            <w:tcW w:w="1980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З 08.08.20 р.</w:t>
            </w:r>
          </w:p>
        </w:tc>
      </w:tr>
      <w:tr w:rsidR="00357DEA" w:rsidTr="00357DE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57DEA" w:rsidRDefault="00357DEA"/>
        </w:tc>
        <w:tc>
          <w:tcPr>
            <w:tcW w:w="1845" w:type="dxa"/>
            <w:vAlign w:val="center"/>
            <w:hideMark/>
          </w:tcPr>
          <w:p w:rsidR="00357DEA" w:rsidRDefault="00357DEA">
            <w:pPr>
              <w:pStyle w:val="a5"/>
            </w:pPr>
            <w:r>
              <w:t>Призупиняють амортизації за правилами бухобліку. Оскільки спецправил у ПК не було, відсилали до П(С)БО та М(С)ФЗ.</w:t>
            </w:r>
          </w:p>
          <w:p w:rsidR="00357DEA" w:rsidRDefault="00357DEA">
            <w:pPr>
              <w:pStyle w:val="a5"/>
            </w:pPr>
            <w:r>
              <w:t>пп. 138.3.1 ПК у редакції до 23.05.2020 р.</w:t>
            </w:r>
          </w:p>
        </w:tc>
        <w:tc>
          <w:tcPr>
            <w:tcW w:w="2700" w:type="dxa"/>
            <w:vAlign w:val="center"/>
            <w:hideMark/>
          </w:tcPr>
          <w:p w:rsidR="00357DEA" w:rsidRDefault="00357DEA">
            <w:pPr>
              <w:pStyle w:val="a5"/>
            </w:pPr>
            <w:r>
              <w:t>Амортизація не нараховується за період невикористання (експлуатації) основних засобів у господарській діяльності у зв’язку з їх модернізацією, реконструкцією, добудовою, дообладнанням та консервацією</w:t>
            </w:r>
          </w:p>
          <w:p w:rsidR="00357DEA" w:rsidRDefault="00357DEA">
            <w:pPr>
              <w:pStyle w:val="a5"/>
            </w:pPr>
            <w:r>
              <w:t>пп. 138.3.1 ПК зі змінами, унесеними Законом № 466</w:t>
            </w:r>
          </w:p>
        </w:tc>
        <w:tc>
          <w:tcPr>
            <w:tcW w:w="1980" w:type="dxa"/>
            <w:vAlign w:val="center"/>
            <w:hideMark/>
          </w:tcPr>
          <w:p w:rsidR="00357DEA" w:rsidRDefault="00357DEA">
            <w:pPr>
              <w:pStyle w:val="a5"/>
            </w:pPr>
            <w:r>
              <w:t>Амортизація не нараховується за період невикористання (експлуатації) основних засобів у господарській діяльності у зв‘язку з їх консервацією</w:t>
            </w:r>
          </w:p>
          <w:p w:rsidR="00357DEA" w:rsidRDefault="00357DEA">
            <w:pPr>
              <w:pStyle w:val="a5"/>
            </w:pPr>
            <w:r>
              <w:t>пп. 138.3.1 ПК зі змінами, унесеними Законом № 786</w:t>
            </w:r>
          </w:p>
        </w:tc>
      </w:tr>
    </w:tbl>
    <w:p w:rsidR="00357DEA" w:rsidRDefault="00357DEA" w:rsidP="00357DEA">
      <w:pPr>
        <w:pStyle w:val="3"/>
      </w:pPr>
      <w:r>
        <w:rPr>
          <w:rStyle w:val="a6"/>
          <w:b/>
          <w:bCs/>
        </w:rPr>
        <w:t>Таблиця 8. Різниці за амортизацією основних засобів, нематактивів</w:t>
      </w:r>
    </w:p>
    <w:p w:rsidR="00357DEA" w:rsidRDefault="00357DEA" w:rsidP="00357DEA">
      <w:pPr>
        <w:pStyle w:val="a5"/>
      </w:pPr>
      <w:r>
        <w:rPr>
          <w:rStyle w:val="a7"/>
        </w:rPr>
        <w:lastRenderedPageBreak/>
        <w:t>(застосовують ті платники податку на прибуток, які використовують різниці з розд. ІІІ ПК)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0"/>
        <w:gridCol w:w="4448"/>
      </w:tblGrid>
      <w:tr w:rsidR="00357DEA" w:rsidTr="00357DEA">
        <w:trPr>
          <w:tblCellSpacing w:w="15" w:type="dxa"/>
        </w:trPr>
        <w:tc>
          <w:tcPr>
            <w:tcW w:w="9630" w:type="dxa"/>
            <w:gridSpan w:val="2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>Фінансовий результат до оподаткування</w:t>
            </w:r>
          </w:p>
        </w:tc>
      </w:tr>
      <w:tr w:rsidR="00357DEA" w:rsidTr="00357DEA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 xml:space="preserve">збільшують </w:t>
            </w:r>
            <w:r>
              <w:t>(п. 138.1 ПК)</w:t>
            </w:r>
          </w:p>
        </w:tc>
        <w:tc>
          <w:tcPr>
            <w:tcW w:w="4665" w:type="dxa"/>
            <w:vAlign w:val="center"/>
            <w:hideMark/>
          </w:tcPr>
          <w:p w:rsidR="00357DEA" w:rsidRDefault="00357DEA">
            <w:pPr>
              <w:pStyle w:val="a5"/>
              <w:jc w:val="center"/>
            </w:pPr>
            <w:r>
              <w:rPr>
                <w:rStyle w:val="a6"/>
              </w:rPr>
              <w:t xml:space="preserve">зменшують </w:t>
            </w:r>
            <w:r>
              <w:t>(п. 138.2 ПК)</w:t>
            </w:r>
          </w:p>
        </w:tc>
      </w:tr>
      <w:tr w:rsidR="00357DEA" w:rsidTr="00357DEA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357DEA" w:rsidRDefault="00357DEA">
            <w:pPr>
              <w:pStyle w:val="a5"/>
            </w:pPr>
            <w:r>
              <w:t>На суму нарахованої амортизації основних засобів або нематеріальних активів відповідно до П(С)БО чи МСФЗ</w:t>
            </w:r>
          </w:p>
        </w:tc>
        <w:tc>
          <w:tcPr>
            <w:tcW w:w="4665" w:type="dxa"/>
            <w:vAlign w:val="center"/>
            <w:hideMark/>
          </w:tcPr>
          <w:p w:rsidR="00357DEA" w:rsidRDefault="00357DEA">
            <w:pPr>
              <w:pStyle w:val="a5"/>
            </w:pPr>
            <w:r>
              <w:t>На суму розрахованої амортизації основних засобів або нематеріальних активів відповідно до п. 138.3 ПК</w:t>
            </w:r>
          </w:p>
        </w:tc>
      </w:tr>
      <w:tr w:rsidR="00357DEA" w:rsidTr="00357DEA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357DEA" w:rsidRDefault="00357DEA">
            <w:pPr>
              <w:pStyle w:val="a5"/>
            </w:pPr>
            <w:r>
              <w:rPr>
                <w:rStyle w:val="a6"/>
              </w:rPr>
              <w:t>ряд. 1.1.1 додатка РІ до декларації</w:t>
            </w:r>
          </w:p>
        </w:tc>
        <w:tc>
          <w:tcPr>
            <w:tcW w:w="4665" w:type="dxa"/>
            <w:vAlign w:val="center"/>
            <w:hideMark/>
          </w:tcPr>
          <w:p w:rsidR="00357DEA" w:rsidRDefault="00357DEA">
            <w:pPr>
              <w:pStyle w:val="a5"/>
            </w:pPr>
            <w:r>
              <w:rPr>
                <w:rStyle w:val="a6"/>
              </w:rPr>
              <w:t>ряд. 1.2.1 АМ додатка РІ до декларації</w:t>
            </w:r>
          </w:p>
        </w:tc>
      </w:tr>
      <w:tr w:rsidR="00357DEA" w:rsidTr="00357DEA">
        <w:trPr>
          <w:tblCellSpacing w:w="15" w:type="dxa"/>
        </w:trPr>
        <w:tc>
          <w:tcPr>
            <w:tcW w:w="4950" w:type="dxa"/>
            <w:vAlign w:val="center"/>
            <w:hideMark/>
          </w:tcPr>
          <w:p w:rsidR="00357DEA" w:rsidRDefault="00357DEA">
            <w:pPr>
              <w:pStyle w:val="a5"/>
            </w:pPr>
            <w:r>
              <w:rPr>
                <w:rStyle w:val="a6"/>
              </w:rPr>
              <w:t>Зауважимо:</w:t>
            </w:r>
            <w:r>
              <w:t xml:space="preserve"> саме нарахована </w:t>
            </w:r>
            <w:r>
              <w:rPr>
                <w:rStyle w:val="a6"/>
              </w:rPr>
              <w:t>бухгалтерська</w:t>
            </w:r>
            <w:r>
              <w:t xml:space="preserve"> амортизація збільшує бухфінрезультат до оподаткування, і не вагомо, чи потрапила така амортизація до витрат періоду, чи перебуває в собівартості ще не реалізованої продукції, чи сформувала первісну вартість іншого необоротного активу (лист ДФСУ від 18.07. 16 р. № 15393/6/99-99-15-02-02-15, ЗІР категорія 102.05).</w:t>
            </w:r>
          </w:p>
          <w:p w:rsidR="00357DEA" w:rsidRDefault="00357DEA">
            <w:pPr>
              <w:pStyle w:val="a5"/>
            </w:pPr>
            <w:r>
              <w:t>Важливо: за МНМА (навіть негоспдіяльними МНМА) різниці не виникає (Інформаційний лист № 12, ІПК ДПСУ від 08.07.20 р. № 2749/6/99-00-05-05-02-06/ІПК)</w:t>
            </w:r>
          </w:p>
        </w:tc>
        <w:tc>
          <w:tcPr>
            <w:tcW w:w="4665" w:type="dxa"/>
            <w:vAlign w:val="center"/>
            <w:hideMark/>
          </w:tcPr>
          <w:p w:rsidR="00357DEA" w:rsidRDefault="00357DEA">
            <w:pPr>
              <w:pStyle w:val="a5"/>
            </w:pPr>
            <w:r>
              <w:t xml:space="preserve">Бухфінрезультат зменшують на </w:t>
            </w:r>
            <w:r>
              <w:rPr>
                <w:rStyle w:val="a6"/>
              </w:rPr>
              <w:t>податкову</w:t>
            </w:r>
            <w:r>
              <w:t xml:space="preserve"> амортизацію основних засобів (за визначенням із пп. 14.1.138 ПК) та податкову амортизацію нематактивів, розраховану за правилами п. 138.3 ПК.</w:t>
            </w:r>
          </w:p>
          <w:p w:rsidR="00357DEA" w:rsidRDefault="00357DEA">
            <w:pPr>
              <w:pStyle w:val="a5"/>
            </w:pPr>
            <w:r>
              <w:t>Повторимося: за об’єктами, які не амортизують у податковому обліку (як то МНМА, бібліотечні фонди тощо) зменшувальної різниці не буде, бо податкова амортизації не нараховується.</w:t>
            </w:r>
          </w:p>
          <w:p w:rsidR="00357DEA" w:rsidRDefault="00357DEA">
            <w:pPr>
              <w:pStyle w:val="a5"/>
            </w:pPr>
            <w:r>
              <w:t>Суми податкової амортизації в розрізі груп наводять у додатку АМ.</w:t>
            </w:r>
          </w:p>
          <w:p w:rsidR="00357DEA" w:rsidRDefault="00357DEA">
            <w:pPr>
              <w:pStyle w:val="a5"/>
            </w:pPr>
            <w:r>
              <w:t>Дані у рядок 1.2.1 АМ додатка РІ переносять із додатка АМ</w:t>
            </w:r>
          </w:p>
        </w:tc>
      </w:tr>
    </w:tbl>
    <w:p w:rsidR="00696FE8" w:rsidRPr="00357DEA" w:rsidRDefault="00696FE8" w:rsidP="00357DEA"/>
    <w:sectPr w:rsidR="00696FE8" w:rsidRPr="00357DEA" w:rsidSect="00D55822">
      <w:footerReference w:type="default" r:id="rId9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71E" w:rsidRDefault="0090371E">
      <w:r>
        <w:separator/>
      </w:r>
    </w:p>
  </w:endnote>
  <w:endnote w:type="continuationSeparator" w:id="0">
    <w:p w:rsidR="0090371E" w:rsidRDefault="0090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71E" w:rsidRDefault="0090371E">
      <w:r>
        <w:separator/>
      </w:r>
    </w:p>
  </w:footnote>
  <w:footnote w:type="continuationSeparator" w:id="0">
    <w:p w:rsidR="0090371E" w:rsidRDefault="0090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360AC"/>
    <w:multiLevelType w:val="multilevel"/>
    <w:tmpl w:val="C8E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C623D"/>
    <w:multiLevelType w:val="multilevel"/>
    <w:tmpl w:val="256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1C7C96"/>
    <w:multiLevelType w:val="multilevel"/>
    <w:tmpl w:val="C960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948F8"/>
    <w:multiLevelType w:val="multilevel"/>
    <w:tmpl w:val="1E9C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71792"/>
    <w:multiLevelType w:val="multilevel"/>
    <w:tmpl w:val="EDB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C5A4B"/>
    <w:multiLevelType w:val="multilevel"/>
    <w:tmpl w:val="8278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DB4E99"/>
    <w:multiLevelType w:val="multilevel"/>
    <w:tmpl w:val="F81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1"/>
  </w:num>
  <w:num w:numId="5">
    <w:abstractNumId w:val="24"/>
  </w:num>
  <w:num w:numId="6">
    <w:abstractNumId w:val="15"/>
  </w:num>
  <w:num w:numId="7">
    <w:abstractNumId w:val="9"/>
  </w:num>
  <w:num w:numId="8">
    <w:abstractNumId w:val="17"/>
  </w:num>
  <w:num w:numId="9">
    <w:abstractNumId w:val="0"/>
  </w:num>
  <w:num w:numId="10">
    <w:abstractNumId w:val="6"/>
  </w:num>
  <w:num w:numId="11">
    <w:abstractNumId w:val="4"/>
  </w:num>
  <w:num w:numId="12">
    <w:abstractNumId w:val="16"/>
  </w:num>
  <w:num w:numId="13">
    <w:abstractNumId w:val="22"/>
  </w:num>
  <w:num w:numId="14">
    <w:abstractNumId w:val="11"/>
  </w:num>
  <w:num w:numId="15">
    <w:abstractNumId w:val="7"/>
  </w:num>
  <w:num w:numId="16">
    <w:abstractNumId w:val="25"/>
  </w:num>
  <w:num w:numId="17">
    <w:abstractNumId w:val="5"/>
  </w:num>
  <w:num w:numId="18">
    <w:abstractNumId w:val="21"/>
  </w:num>
  <w:num w:numId="19">
    <w:abstractNumId w:val="8"/>
  </w:num>
  <w:num w:numId="20">
    <w:abstractNumId w:val="2"/>
  </w:num>
  <w:num w:numId="21">
    <w:abstractNumId w:val="3"/>
  </w:num>
  <w:num w:numId="22">
    <w:abstractNumId w:val="23"/>
  </w:num>
  <w:num w:numId="23">
    <w:abstractNumId w:val="14"/>
  </w:num>
  <w:num w:numId="24">
    <w:abstractNumId w:val="12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0C3405"/>
    <w:rsid w:val="000E0C8F"/>
    <w:rsid w:val="00152194"/>
    <w:rsid w:val="0015422E"/>
    <w:rsid w:val="001566CE"/>
    <w:rsid w:val="00157176"/>
    <w:rsid w:val="001D117D"/>
    <w:rsid w:val="001E32A2"/>
    <w:rsid w:val="002372FB"/>
    <w:rsid w:val="002569D8"/>
    <w:rsid w:val="002B2945"/>
    <w:rsid w:val="002D75DA"/>
    <w:rsid w:val="00311F48"/>
    <w:rsid w:val="00350574"/>
    <w:rsid w:val="00357DEA"/>
    <w:rsid w:val="00387926"/>
    <w:rsid w:val="003A19A0"/>
    <w:rsid w:val="003E0394"/>
    <w:rsid w:val="003F1FB7"/>
    <w:rsid w:val="00406844"/>
    <w:rsid w:val="00417A3B"/>
    <w:rsid w:val="004511B6"/>
    <w:rsid w:val="004759AD"/>
    <w:rsid w:val="004B05A7"/>
    <w:rsid w:val="004B1576"/>
    <w:rsid w:val="004D5ED6"/>
    <w:rsid w:val="005053AB"/>
    <w:rsid w:val="00512D7E"/>
    <w:rsid w:val="005549F3"/>
    <w:rsid w:val="0057089D"/>
    <w:rsid w:val="00572570"/>
    <w:rsid w:val="00583817"/>
    <w:rsid w:val="0059318D"/>
    <w:rsid w:val="00593D49"/>
    <w:rsid w:val="005C36BE"/>
    <w:rsid w:val="006032A5"/>
    <w:rsid w:val="00627828"/>
    <w:rsid w:val="006412DF"/>
    <w:rsid w:val="00641E6C"/>
    <w:rsid w:val="006539A2"/>
    <w:rsid w:val="006759C2"/>
    <w:rsid w:val="0068451A"/>
    <w:rsid w:val="00696FE8"/>
    <w:rsid w:val="006C51F5"/>
    <w:rsid w:val="006F0198"/>
    <w:rsid w:val="00725FE3"/>
    <w:rsid w:val="00753856"/>
    <w:rsid w:val="00757E41"/>
    <w:rsid w:val="00760F04"/>
    <w:rsid w:val="00790EC2"/>
    <w:rsid w:val="007B1F46"/>
    <w:rsid w:val="008A117F"/>
    <w:rsid w:val="008A321E"/>
    <w:rsid w:val="008A5C1C"/>
    <w:rsid w:val="008C1986"/>
    <w:rsid w:val="008C51CE"/>
    <w:rsid w:val="008E057D"/>
    <w:rsid w:val="0090371E"/>
    <w:rsid w:val="009412D5"/>
    <w:rsid w:val="00942046"/>
    <w:rsid w:val="00963ED4"/>
    <w:rsid w:val="0099311B"/>
    <w:rsid w:val="009A01A9"/>
    <w:rsid w:val="009A4E44"/>
    <w:rsid w:val="00A04C0E"/>
    <w:rsid w:val="00A33DE8"/>
    <w:rsid w:val="00A56268"/>
    <w:rsid w:val="00A61FFE"/>
    <w:rsid w:val="00A7338D"/>
    <w:rsid w:val="00A91CC9"/>
    <w:rsid w:val="00AA38D1"/>
    <w:rsid w:val="00AA4C4D"/>
    <w:rsid w:val="00AB16DE"/>
    <w:rsid w:val="00AC2E6C"/>
    <w:rsid w:val="00AE057F"/>
    <w:rsid w:val="00AE45EF"/>
    <w:rsid w:val="00B36649"/>
    <w:rsid w:val="00B44AE7"/>
    <w:rsid w:val="00B65D30"/>
    <w:rsid w:val="00B66237"/>
    <w:rsid w:val="00BA65C0"/>
    <w:rsid w:val="00BC7CD7"/>
    <w:rsid w:val="00BD6AD8"/>
    <w:rsid w:val="00C2715A"/>
    <w:rsid w:val="00C62A1F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706E1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A22B4"/>
    <w:rsid w:val="00EB359F"/>
    <w:rsid w:val="00EC00D7"/>
    <w:rsid w:val="00EE67B0"/>
    <w:rsid w:val="00EF372A"/>
    <w:rsid w:val="00F37427"/>
    <w:rsid w:val="00F5719E"/>
    <w:rsid w:val="00F72510"/>
    <w:rsid w:val="00F7305F"/>
    <w:rsid w:val="00FA2459"/>
    <w:rsid w:val="00FA75BD"/>
    <w:rsid w:val="00FD577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.sfs.gov.ua/media-ark/news-ark/35528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eka.ua/ua/publication/commerce-12-xozyajstvennye-operacii-9-stoimostnyj-kriterij-dlya-mnma-izmenen-s-6-000-grn-na-20-000-grnchto-so-starymi-obekt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10697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3</cp:revision>
  <dcterms:created xsi:type="dcterms:W3CDTF">2020-10-13T15:57:00Z</dcterms:created>
  <dcterms:modified xsi:type="dcterms:W3CDTF">2020-10-13T17:27:00Z</dcterms:modified>
</cp:coreProperties>
</file>