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7F" w:rsidRDefault="00AE057F" w:rsidP="00AE057F">
      <w:pPr>
        <w:pStyle w:val="3"/>
      </w:pPr>
      <w:r>
        <w:rPr>
          <w:rStyle w:val="a6"/>
          <w:b/>
          <w:bCs/>
        </w:rPr>
        <w:t>Таблица 1. Определение амортизации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8"/>
        <w:gridCol w:w="5390"/>
      </w:tblGrid>
      <w:tr w:rsidR="00AE057F" w:rsidTr="00AE057F">
        <w:trPr>
          <w:tblCellSpacing w:w="15" w:type="dxa"/>
        </w:trPr>
        <w:tc>
          <w:tcPr>
            <w:tcW w:w="3975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Бухгалтерская амортизация</w:t>
            </w:r>
          </w:p>
        </w:tc>
        <w:tc>
          <w:tcPr>
            <w:tcW w:w="5805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Налоговая амортизация</w:t>
            </w:r>
          </w:p>
        </w:tc>
      </w:tr>
      <w:tr w:rsidR="00AE057F" w:rsidTr="00AE057F">
        <w:trPr>
          <w:tblCellSpacing w:w="15" w:type="dxa"/>
        </w:trPr>
        <w:tc>
          <w:tcPr>
            <w:tcW w:w="397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Амортизация – систематическое распределение стоимости, которая амортизируется, необоротных активов в течение срока их полезного использования (эксплуатации)</w:t>
            </w:r>
          </w:p>
          <w:p w:rsidR="00AE057F" w:rsidRDefault="00AE057F">
            <w:pPr>
              <w:pStyle w:val="a5"/>
            </w:pPr>
            <w:r>
              <w:t>п. 4 П(С)БУ 7</w:t>
            </w:r>
          </w:p>
        </w:tc>
        <w:tc>
          <w:tcPr>
            <w:tcW w:w="580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Амортизация – систематическое распределение стоимости основных средств, прочих необоротных и нематериальных активов, которая амортизируется, в течение срока их полезного использования (эксплуатации)</w:t>
            </w:r>
          </w:p>
          <w:p w:rsidR="00AE057F" w:rsidRDefault="00AE057F">
            <w:pPr>
              <w:pStyle w:val="a5"/>
            </w:pPr>
            <w:r>
              <w:t>пп. 14.1.3 НК</w:t>
            </w:r>
          </w:p>
        </w:tc>
      </w:tr>
    </w:tbl>
    <w:p w:rsidR="00AE057F" w:rsidRDefault="00AE057F" w:rsidP="00AE057F">
      <w:pPr>
        <w:pStyle w:val="3"/>
      </w:pPr>
      <w:r>
        <w:rPr>
          <w:rStyle w:val="a6"/>
          <w:b/>
          <w:bCs/>
        </w:rPr>
        <w:t>Таблица 2. Объекты, которые амортизируются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3169"/>
        <w:gridCol w:w="4023"/>
      </w:tblGrid>
      <w:tr w:rsidR="00AE057F" w:rsidTr="00AE057F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Категория для сравнения</w:t>
            </w:r>
          </w:p>
        </w:tc>
        <w:tc>
          <w:tcPr>
            <w:tcW w:w="3255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Бухгалтерская амортизация</w:t>
            </w:r>
          </w:p>
        </w:tc>
        <w:tc>
          <w:tcPr>
            <w:tcW w:w="4665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Налоговая амортизация</w:t>
            </w:r>
          </w:p>
        </w:tc>
      </w:tr>
      <w:tr w:rsidR="00AE057F" w:rsidTr="00AE057F">
        <w:trPr>
          <w:tblCellSpacing w:w="15" w:type="dxa"/>
        </w:trPr>
        <w:tc>
          <w:tcPr>
            <w:tcW w:w="1695" w:type="dxa"/>
            <w:vMerge w:val="restart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Объекты, которые амортизируются</w:t>
            </w:r>
          </w:p>
        </w:tc>
        <w:tc>
          <w:tcPr>
            <w:tcW w:w="325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Основные средства и нематериальные активы</w:t>
            </w:r>
          </w:p>
          <w:p w:rsidR="00AE057F" w:rsidRDefault="00AE057F">
            <w:pPr>
              <w:pStyle w:val="a5"/>
            </w:pPr>
            <w:r>
              <w:t>п. 22 П(С)БУ 7, п. П(С)БУ 8</w:t>
            </w:r>
          </w:p>
          <w:p w:rsidR="00AE057F" w:rsidRDefault="00AE057F">
            <w:pPr>
              <w:pStyle w:val="a5"/>
            </w:pPr>
            <w:r>
              <w:t xml:space="preserve">В то же время, в бухучете </w:t>
            </w:r>
            <w:r>
              <w:rPr>
                <w:rStyle w:val="a6"/>
              </w:rPr>
              <w:t>основные средства</w:t>
            </w:r>
            <w:r>
              <w:t xml:space="preserve"> – это материальные активы, которые предприятие/учреждение содержит в целях использования их в процессе производства/деятельности или поставки товаров, предоставления услуг, сдачи в аренду другим лицам или для осуществления административных и социально-культурных функций, ожидаемый срок полезного использования (эксплуатации) которых более одного года (или операционного цикла, если он длиннее года)</w:t>
            </w:r>
          </w:p>
          <w:p w:rsidR="00AE057F" w:rsidRDefault="00AE057F">
            <w:pPr>
              <w:pStyle w:val="a5"/>
            </w:pPr>
            <w:r>
              <w:t>п. 4 П(С)БУ 7</w:t>
            </w:r>
          </w:p>
        </w:tc>
        <w:tc>
          <w:tcPr>
            <w:tcW w:w="466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Основные средства и нематериальные активы</w:t>
            </w:r>
          </w:p>
          <w:p w:rsidR="00AE057F" w:rsidRDefault="00AE057F">
            <w:pPr>
              <w:pStyle w:val="a5"/>
            </w:pPr>
            <w:r>
              <w:rPr>
                <w:rStyle w:val="a6"/>
              </w:rPr>
              <w:t>Основные средства</w:t>
            </w:r>
            <w:r>
              <w:t xml:space="preserve"> – материальные активы, в том числе запасы полезных ископаемых, предоставленных в пользование участков недр </w:t>
            </w:r>
            <w:r>
              <w:rPr>
                <w:rStyle w:val="a6"/>
              </w:rPr>
              <w:t>(кроме стоимости земли, незавершенных капитальных инвестиций, автомобильных дорог общего пользования, библиотечных и архивных фондов, материальных активов, стоимость которых не превышает 20 000 грн, непроизводственных основных средств и нематериальных активов)</w:t>
            </w:r>
            <w:r>
              <w:t>, которые предназначены налогоплательщиком для использования в хозяйственной деятельности налогоплательщика, стоимость которых превышает 20 000 грн и постепенно уменьшается в связи с физическим или моральным износом и ожидаемый срок полезного использования (эксплуатации) которых с даты ввода в эксплуатацию составляет свыше одного года (или операционный цикл, если он длиннее года)</w:t>
            </w:r>
          </w:p>
          <w:p w:rsidR="00AE057F" w:rsidRDefault="00AE057F">
            <w:pPr>
              <w:pStyle w:val="a5"/>
            </w:pPr>
            <w:r>
              <w:t>пп. 14.1.138 НК</w:t>
            </w:r>
          </w:p>
          <w:p w:rsidR="00AE057F" w:rsidRDefault="00AE057F">
            <w:pPr>
              <w:pStyle w:val="a5"/>
            </w:pPr>
            <w:r>
              <w:t xml:space="preserve">Об изменении стоимостного критерия с 6 000 грн на 20 000 грн, которое </w:t>
            </w:r>
            <w:r>
              <w:lastRenderedPageBreak/>
              <w:t>произошло 23.05.20 г., детально речь идет в материале «</w:t>
            </w:r>
            <w:hyperlink r:id="rId7" w:tgtFrame="_blank" w:history="1">
              <w:r>
                <w:rPr>
                  <w:rStyle w:val="ab"/>
                </w:rPr>
                <w:t>Стоимостный критерий для МНМА изменен с 6 000 грн на 20 000 грн: что со старыми объектами</w:t>
              </w:r>
            </w:hyperlink>
            <w:r>
              <w:t>»</w:t>
            </w:r>
          </w:p>
        </w:tc>
      </w:tr>
      <w:tr w:rsidR="00AE057F" w:rsidTr="00AE05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057F" w:rsidRDefault="00AE057F"/>
        </w:tc>
        <w:tc>
          <w:tcPr>
            <w:tcW w:w="7935" w:type="dxa"/>
            <w:gridSpan w:val="2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Нематериальный актив</w:t>
            </w:r>
            <w:r>
              <w:t xml:space="preserve"> – немонетарный актив, который не имеет материальной формы и может быть идентифицирован (П(С)БУ 8)</w:t>
            </w:r>
          </w:p>
        </w:tc>
      </w:tr>
      <w:tr w:rsidR="00AE057F" w:rsidTr="00AE057F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 xml:space="preserve">Амортизацию НЕ начисляют </w:t>
            </w:r>
          </w:p>
        </w:tc>
        <w:tc>
          <w:tcPr>
            <w:tcW w:w="325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Не подлежит амортизации:</w:t>
            </w:r>
          </w:p>
          <w:p w:rsidR="00AE057F" w:rsidRDefault="00AE057F">
            <w:pPr>
              <w:pStyle w:val="a5"/>
            </w:pPr>
            <w:r>
              <w:t>– земельные участки;</w:t>
            </w:r>
          </w:p>
          <w:p w:rsidR="00AE057F" w:rsidRDefault="00AE057F">
            <w:pPr>
              <w:pStyle w:val="a5"/>
            </w:pPr>
            <w:r>
              <w:t>– природные ресурсы;</w:t>
            </w:r>
          </w:p>
          <w:p w:rsidR="00AE057F" w:rsidRDefault="00AE057F">
            <w:pPr>
              <w:pStyle w:val="a5"/>
            </w:pPr>
            <w:r>
              <w:t>– капитальные инвестиции</w:t>
            </w:r>
          </w:p>
          <w:p w:rsidR="00AE057F" w:rsidRDefault="00AE057F">
            <w:pPr>
              <w:pStyle w:val="a5"/>
            </w:pPr>
            <w:r>
              <w:t>п. 22 П(С)БУ 7</w:t>
            </w:r>
          </w:p>
          <w:p w:rsidR="00AE057F" w:rsidRDefault="00AE057F">
            <w:pPr>
              <w:pStyle w:val="a5"/>
            </w:pPr>
            <w:r>
              <w:t>Нематериальные активы с неопределенным сроком полезного использования амортизации не подлежат</w:t>
            </w:r>
          </w:p>
          <w:p w:rsidR="00AE057F" w:rsidRDefault="00AE057F">
            <w:pPr>
              <w:pStyle w:val="a5"/>
            </w:pPr>
            <w:r>
              <w:t>п. 25 П(С)БУ 8</w:t>
            </w:r>
          </w:p>
        </w:tc>
        <w:tc>
          <w:tcPr>
            <w:tcW w:w="466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Не подлежит амортизации:</w:t>
            </w:r>
          </w:p>
          <w:p w:rsidR="00AE057F" w:rsidRDefault="00AE057F">
            <w:pPr>
              <w:pStyle w:val="a5"/>
            </w:pPr>
            <w:r>
              <w:t>– стоимость гудвила;</w:t>
            </w:r>
          </w:p>
          <w:p w:rsidR="00AE057F" w:rsidRDefault="00AE057F">
            <w:pPr>
              <w:pStyle w:val="a5"/>
            </w:pPr>
            <w:r>
              <w:t>– расходы на приобретение / самостоятельное изготовление непроизводственных основных средств, непроизводственных нематериальных активов;</w:t>
            </w:r>
          </w:p>
          <w:p w:rsidR="00AE057F" w:rsidRDefault="00AE057F">
            <w:pPr>
              <w:pStyle w:val="a5"/>
            </w:pPr>
            <w:r>
              <w:t>– на ремонт, реконструкцию, модернизацию или другие улучшения непроизводственных основных средств, непроизводственных нематериальных активов</w:t>
            </w:r>
          </w:p>
          <w:p w:rsidR="00AE057F" w:rsidRDefault="00AE057F">
            <w:pPr>
              <w:pStyle w:val="a5"/>
            </w:pPr>
            <w:r>
              <w:t>пп. 138.3.2 НК</w:t>
            </w:r>
          </w:p>
          <w:p w:rsidR="00AE057F" w:rsidRDefault="00AE057F">
            <w:pPr>
              <w:pStyle w:val="a5"/>
            </w:pPr>
            <w:r>
              <w:rPr>
                <w:rStyle w:val="a6"/>
              </w:rPr>
              <w:t>Заметим:</w:t>
            </w:r>
            <w:r>
              <w:t xml:space="preserve"> в налоговом учете не амортизируются те необоротные материальные активы, которые не попали в определение основных средств по пп. 14.1.138 НК, а это:</w:t>
            </w:r>
          </w:p>
          <w:p w:rsidR="00AE057F" w:rsidRDefault="00AE057F">
            <w:pPr>
              <w:pStyle w:val="a5"/>
            </w:pPr>
            <w:r>
              <w:t>– налоговые МНМА;</w:t>
            </w:r>
          </w:p>
          <w:p w:rsidR="00AE057F" w:rsidRDefault="00AE057F">
            <w:pPr>
              <w:pStyle w:val="a5"/>
            </w:pPr>
            <w:r>
              <w:t>– библиотечные фонды;</w:t>
            </w:r>
          </w:p>
          <w:p w:rsidR="00AE057F" w:rsidRDefault="00AE057F">
            <w:pPr>
              <w:pStyle w:val="a5"/>
            </w:pPr>
            <w:r>
              <w:t>– земучасткии;</w:t>
            </w:r>
          </w:p>
          <w:p w:rsidR="00AE057F" w:rsidRDefault="00AE057F">
            <w:pPr>
              <w:pStyle w:val="a5"/>
            </w:pPr>
            <w:r>
              <w:t>– незавершенные капитальные инвестиции;</w:t>
            </w:r>
          </w:p>
          <w:p w:rsidR="00AE057F" w:rsidRDefault="00AE057F">
            <w:pPr>
              <w:pStyle w:val="a5"/>
            </w:pPr>
            <w:r>
              <w:t>– автомобильные дороги общего пользования;</w:t>
            </w:r>
          </w:p>
          <w:p w:rsidR="00AE057F" w:rsidRDefault="00AE057F">
            <w:pPr>
              <w:pStyle w:val="a5"/>
            </w:pPr>
            <w:r>
              <w:t>– непроизводственные основные средства и непроизводственные нематериальные активы.</w:t>
            </w:r>
          </w:p>
          <w:p w:rsidR="00AE057F" w:rsidRDefault="00AE057F">
            <w:pPr>
              <w:pStyle w:val="a5"/>
            </w:pPr>
            <w:r>
              <w:rPr>
                <w:rStyle w:val="a7"/>
              </w:rPr>
              <w:t xml:space="preserve">«Стоимость земельных участков, библиотечных фондов, малоценных необоротных материальных активов </w:t>
            </w:r>
            <w:r>
              <w:rPr>
                <w:rStyle w:val="a7"/>
              </w:rPr>
              <w:lastRenderedPageBreak/>
              <w:t>и природных ресурсов не подлежит амортизации в налоговом учете»</w:t>
            </w:r>
          </w:p>
          <w:p w:rsidR="00AE057F" w:rsidRDefault="00AE057F">
            <w:pPr>
              <w:pStyle w:val="a5"/>
            </w:pPr>
            <w:r>
              <w:t>ОИР, категория 102.05</w:t>
            </w:r>
          </w:p>
          <w:p w:rsidR="00AE057F" w:rsidRDefault="00AE057F">
            <w:pPr>
              <w:pStyle w:val="a5"/>
            </w:pPr>
            <w:r>
              <w:t>ИНК ГФСУ от 08.07.20 г. № 2749/6/99-00-05-05-02-06/ІНК</w:t>
            </w:r>
          </w:p>
        </w:tc>
      </w:tr>
      <w:tr w:rsidR="00AE057F" w:rsidTr="00AE057F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lastRenderedPageBreak/>
              <w:t>Амортизация нехоздеятельных основных средств, нематериальных активов</w:t>
            </w:r>
          </w:p>
        </w:tc>
        <w:tc>
          <w:tcPr>
            <w:tcW w:w="325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Независимо от того, какую функцию выполняет объект основных средств, нематактив, на него начисляют амортизацию. В бухучете амортизируют объекты социнфраструктуры, которые не задействованы в получении дохода</w:t>
            </w:r>
          </w:p>
        </w:tc>
        <w:tc>
          <w:tcPr>
            <w:tcW w:w="466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На нехоздеятельные основные средства, нехоздеятельные нематактивы амортизация не начисляется.</w:t>
            </w:r>
          </w:p>
          <w:p w:rsidR="00AE057F" w:rsidRDefault="00AE057F">
            <w:pPr>
              <w:pStyle w:val="a5"/>
            </w:pPr>
            <w:r>
              <w:t>В терминологии НК – непроизводственные. Термины «непроизводственные основные средства», «непроизводственные нематериальные активы» обозначают соответственно основные средства, нематериальные активы, не предназначенные для использования в хозяйственной деятельности налогоплательщика</w:t>
            </w:r>
          </w:p>
          <w:p w:rsidR="00AE057F" w:rsidRDefault="00AE057F">
            <w:pPr>
              <w:pStyle w:val="a5"/>
            </w:pPr>
            <w:r>
              <w:t>пп. 138.3.2 НК</w:t>
            </w:r>
          </w:p>
        </w:tc>
      </w:tr>
      <w:tr w:rsidR="00AE057F" w:rsidTr="00AE057F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Амортизация безвозмездно полученных основных средств, нематактивов</w:t>
            </w:r>
          </w:p>
        </w:tc>
        <w:tc>
          <w:tcPr>
            <w:tcW w:w="325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В бухучете амортизируются безвозмездно полученные основные средства, нематактивы</w:t>
            </w:r>
          </w:p>
        </w:tc>
        <w:tc>
          <w:tcPr>
            <w:tcW w:w="466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В налоговом учете амортизируются безвозмездно полученные основные средства, нематактивы. Ведь амортизируют не расходы на их приобретение, а именно объекты.</w:t>
            </w:r>
          </w:p>
          <w:p w:rsidR="00AE057F" w:rsidRDefault="00AE057F">
            <w:pPr>
              <w:pStyle w:val="a5"/>
            </w:pPr>
            <w:r>
              <w:t>Заметьте: только те, которые получены безвозмездно после 01.01.15 г. (письма Межрегионального ГУ ГФС ― ЦО из ОКП от 15.01.16 г. № 1167/10-28-10-06-11, ГФС от 18.07.16 г. № 15395/6/99-99-15-02-02-15, от 09.06.16 г. № 12682/6/99-99-15-02-02-15). Ведь до 2015 года амортизации подлежали расходы на приобретение основных средств, нематактивов. Сейчас же амортизируется стоимость (а она, в свою очередь, определяется по правилам бухучета)</w:t>
            </w:r>
          </w:p>
        </w:tc>
      </w:tr>
    </w:tbl>
    <w:p w:rsidR="00AE057F" w:rsidRDefault="00AE057F" w:rsidP="00AE057F">
      <w:pPr>
        <w:pStyle w:val="3"/>
      </w:pPr>
      <w:r>
        <w:rPr>
          <w:rStyle w:val="a6"/>
          <w:b/>
          <w:bCs/>
        </w:rPr>
        <w:t>Таблица 3. Амортизируемая стоимость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3590"/>
        <w:gridCol w:w="3618"/>
      </w:tblGrid>
      <w:tr w:rsidR="00AE057F" w:rsidTr="00AE057F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Категория для сравнения</w:t>
            </w:r>
          </w:p>
        </w:tc>
        <w:tc>
          <w:tcPr>
            <w:tcW w:w="397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Бухгалтерская амортизация</w:t>
            </w:r>
          </w:p>
        </w:tc>
        <w:tc>
          <w:tcPr>
            <w:tcW w:w="3960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Налоговая амортизация</w:t>
            </w:r>
          </w:p>
        </w:tc>
      </w:tr>
      <w:tr w:rsidR="00AE057F" w:rsidTr="00AE057F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lastRenderedPageBreak/>
              <w:t>Амортизируемая стоимость</w:t>
            </w:r>
          </w:p>
        </w:tc>
        <w:tc>
          <w:tcPr>
            <w:tcW w:w="397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Первоначальная или переоцененная стоимость необоротных активов за вычетом их ликвидационной стоимости</w:t>
            </w:r>
          </w:p>
          <w:p w:rsidR="00AE057F" w:rsidRDefault="00AE057F">
            <w:pPr>
              <w:pStyle w:val="a5"/>
            </w:pPr>
            <w:r>
              <w:t>п. 4 П(С)БУ 7</w:t>
            </w:r>
          </w:p>
        </w:tc>
        <w:tc>
          <w:tcPr>
            <w:tcW w:w="3960" w:type="dxa"/>
            <w:vAlign w:val="center"/>
            <w:hideMark/>
          </w:tcPr>
          <w:p w:rsidR="00AE057F" w:rsidRDefault="00AE057F">
            <w:pPr>
              <w:pStyle w:val="a5"/>
            </w:pPr>
            <w:r>
              <w:t>Первоначальная стоимость необоротных активов за вычетом их ликвидационной стоимости. То есть без учета переоценки.</w:t>
            </w:r>
          </w:p>
          <w:p w:rsidR="00AE057F" w:rsidRDefault="00AE057F">
            <w:pPr>
              <w:pStyle w:val="a5"/>
            </w:pPr>
            <w:r>
              <w:t>Кстати: ликвидационную стоимость берут по данным бухучета (ИНК ГФСУ от 06.06.19 г. № 2558/6/99-99-15-02-02-15/ІНК).</w:t>
            </w:r>
          </w:p>
          <w:p w:rsidR="00AE057F" w:rsidRDefault="00AE057F">
            <w:pPr>
              <w:pStyle w:val="a5"/>
            </w:pPr>
            <w:r>
              <w:t xml:space="preserve">При переходе с единого налога на общую систему – остаточная бухгалтерская стоимость (новость </w:t>
            </w:r>
            <w:hyperlink r:id="rId8" w:tgtFrame="_blank" w:history="1">
              <w:r>
                <w:rPr>
                  <w:rStyle w:val="ab"/>
                </w:rPr>
                <w:t>ГУ ГФС в Тернопольской области от 29.10.18 г.</w:t>
              </w:r>
            </w:hyperlink>
            <w:r>
              <w:t>, ОИР категория 102.05)</w:t>
            </w:r>
          </w:p>
        </w:tc>
      </w:tr>
      <w:tr w:rsidR="00AE057F" w:rsidTr="00AE057F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Влияние переоценки на амортизацию</w:t>
            </w:r>
          </w:p>
        </w:tc>
        <w:tc>
          <w:tcPr>
            <w:tcW w:w="397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Переоценка (переоцененная стоимость) учитывается при начислении амортизации</w:t>
            </w:r>
          </w:p>
          <w:p w:rsidR="00AE057F" w:rsidRDefault="00AE057F">
            <w:pPr>
              <w:pStyle w:val="a5"/>
            </w:pPr>
            <w:r>
              <w:t>п. 4 П(С)БУ 7</w:t>
            </w:r>
          </w:p>
        </w:tc>
        <w:tc>
          <w:tcPr>
            <w:tcW w:w="3960" w:type="dxa"/>
            <w:vAlign w:val="center"/>
            <w:hideMark/>
          </w:tcPr>
          <w:p w:rsidR="00AE057F" w:rsidRDefault="00AE057F">
            <w:pPr>
              <w:pStyle w:val="a5"/>
            </w:pPr>
            <w:r>
              <w:t>Бухгалтерская переоценка (уценка, дооценка) не учитывается при начислении налоговой амортизации</w:t>
            </w:r>
          </w:p>
          <w:p w:rsidR="00AE057F" w:rsidRDefault="00AE057F">
            <w:pPr>
              <w:pStyle w:val="a5"/>
            </w:pPr>
            <w:r>
              <w:t>пп. 138.3.1 НК</w:t>
            </w:r>
          </w:p>
          <w:p w:rsidR="00AE057F" w:rsidRDefault="00AE057F">
            <w:pPr>
              <w:pStyle w:val="a5"/>
            </w:pPr>
            <w:r>
              <w:t>ІНК ДПСУ от 30.07.20 г. № 3149/ІНК/99-00-05-05-02-06</w:t>
            </w:r>
          </w:p>
        </w:tc>
      </w:tr>
      <w:tr w:rsidR="00AE057F" w:rsidTr="00AE057F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Остаточная стоимость</w:t>
            </w:r>
          </w:p>
        </w:tc>
        <w:tc>
          <w:tcPr>
            <w:tcW w:w="397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Остаточная стоимость</w:t>
            </w:r>
            <w:r>
              <w:t xml:space="preserve"> – разница между первоначальной (переоцененной) стоимостью необоротного актива и суммой его накопленной амортизации (износа)</w:t>
            </w:r>
          </w:p>
          <w:p w:rsidR="00AE057F" w:rsidRDefault="00AE057F">
            <w:pPr>
              <w:pStyle w:val="a5"/>
            </w:pPr>
            <w:r>
              <w:t>п. 4 П(С)БУ 7</w:t>
            </w:r>
          </w:p>
        </w:tc>
        <w:tc>
          <w:tcPr>
            <w:tcW w:w="3960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Остаточная стоимость основных средств, прочих необоротных и нематериальных активов для целей раздела III</w:t>
            </w:r>
            <w:r>
              <w:t xml:space="preserve"> – сумма остаточной стоимости таких средств и активов, которая определяется как разница между первоначальной стоимостью и суммой рассчитанной амортизации в соответствии с положениями разд. III НК</w:t>
            </w:r>
          </w:p>
          <w:p w:rsidR="00AE057F" w:rsidRDefault="00AE057F">
            <w:pPr>
              <w:pStyle w:val="a5"/>
            </w:pPr>
            <w:r>
              <w:t>пп. 14.1.9 НК</w:t>
            </w:r>
          </w:p>
        </w:tc>
      </w:tr>
    </w:tbl>
    <w:p w:rsidR="00AE057F" w:rsidRDefault="00AE057F" w:rsidP="00AE057F">
      <w:pPr>
        <w:pStyle w:val="3"/>
      </w:pPr>
      <w:r>
        <w:rPr>
          <w:rStyle w:val="a6"/>
          <w:b/>
          <w:bCs/>
        </w:rPr>
        <w:t>Таблица 4. Методы амортизации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6"/>
        <w:gridCol w:w="2612"/>
      </w:tblGrid>
      <w:tr w:rsidR="00AE057F" w:rsidTr="00AE057F">
        <w:trPr>
          <w:tblCellSpacing w:w="15" w:type="dxa"/>
        </w:trPr>
        <w:tc>
          <w:tcPr>
            <w:tcW w:w="7080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Бухгалтерская амортизация</w:t>
            </w:r>
          </w:p>
        </w:tc>
        <w:tc>
          <w:tcPr>
            <w:tcW w:w="2700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Налоговая амортизация</w:t>
            </w:r>
          </w:p>
        </w:tc>
      </w:tr>
      <w:tr w:rsidR="00AE057F" w:rsidTr="00AE057F">
        <w:trPr>
          <w:tblCellSpacing w:w="15" w:type="dxa"/>
        </w:trPr>
        <w:tc>
          <w:tcPr>
            <w:tcW w:w="7080" w:type="dxa"/>
            <w:vAlign w:val="center"/>
            <w:hideMark/>
          </w:tcPr>
          <w:p w:rsidR="00AE057F" w:rsidRDefault="00AE057F">
            <w:pPr>
              <w:pStyle w:val="a5"/>
            </w:pPr>
            <w:r>
              <w:t>Прямолинейный, уменьшения остаточной стоимости, ускоренного уменьшения остаточной стоимости, кумулятивный, производственный.</w:t>
            </w:r>
          </w:p>
          <w:p w:rsidR="00AE057F" w:rsidRDefault="00AE057F">
            <w:pPr>
              <w:pStyle w:val="a5"/>
            </w:pPr>
            <w:r>
              <w:lastRenderedPageBreak/>
              <w:t>Для МНМА и библиотечных фондов – 50%/50% или 100% при вводе, можно использовать прямолинейный или производственный.</w:t>
            </w:r>
          </w:p>
          <w:p w:rsidR="00AE057F" w:rsidRDefault="00AE057F">
            <w:pPr>
              <w:pStyle w:val="a5"/>
            </w:pPr>
            <w:r>
              <w:t>Для прочих необоротных материальных активов – прямолинейный, производственный</w:t>
            </w:r>
          </w:p>
          <w:p w:rsidR="00AE057F" w:rsidRDefault="00AE057F">
            <w:pPr>
              <w:pStyle w:val="a5"/>
            </w:pPr>
            <w:r>
              <w:t>п. п. 26, 27 П(С)БУ 7</w:t>
            </w:r>
          </w:p>
          <w:p w:rsidR="00AE057F" w:rsidRDefault="00AE057F">
            <w:pPr>
              <w:pStyle w:val="a5"/>
            </w:pPr>
            <w:r>
              <w:t>п. 27 П(С)БУ 8</w:t>
            </w:r>
          </w:p>
        </w:tc>
        <w:tc>
          <w:tcPr>
            <w:tcW w:w="2700" w:type="dxa"/>
            <w:vAlign w:val="center"/>
            <w:hideMark/>
          </w:tcPr>
          <w:p w:rsidR="00AE057F" w:rsidRDefault="00AE057F">
            <w:pPr>
              <w:pStyle w:val="a5"/>
            </w:pPr>
            <w:r>
              <w:lastRenderedPageBreak/>
              <w:t>Бухгалтерские методы</w:t>
            </w:r>
          </w:p>
          <w:p w:rsidR="00AE057F" w:rsidRDefault="00AE057F">
            <w:pPr>
              <w:pStyle w:val="a5"/>
            </w:pPr>
            <w:r>
              <w:t>пп. 138.3.1 НК</w:t>
            </w:r>
          </w:p>
        </w:tc>
      </w:tr>
    </w:tbl>
    <w:p w:rsidR="00AE057F" w:rsidRDefault="00AE057F" w:rsidP="00AE057F">
      <w:pPr>
        <w:pStyle w:val="3"/>
      </w:pPr>
      <w:r>
        <w:rPr>
          <w:rStyle w:val="a6"/>
          <w:b/>
          <w:bCs/>
        </w:rPr>
        <w:lastRenderedPageBreak/>
        <w:t>Таблица 5. Срок амортизации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4340"/>
      </w:tblGrid>
      <w:tr w:rsidR="00AE057F" w:rsidTr="00AE057F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Бухгалтерская амортизация</w:t>
            </w:r>
          </w:p>
        </w:tc>
        <w:tc>
          <w:tcPr>
            <w:tcW w:w="4530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Налоговая амортизация</w:t>
            </w:r>
          </w:p>
        </w:tc>
      </w:tr>
      <w:tr w:rsidR="00AE057F" w:rsidTr="00AE057F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AE057F" w:rsidRDefault="00AE057F">
            <w:pPr>
              <w:pStyle w:val="a5"/>
            </w:pPr>
            <w:r>
              <w:t xml:space="preserve">Срок полезного использования (эксплуатации) – </w:t>
            </w:r>
            <w:r>
              <w:rPr>
                <w:rStyle w:val="a6"/>
              </w:rPr>
              <w:t>ожидаемый период времени</w:t>
            </w:r>
            <w:r>
              <w:t>, в течение которого необоротные активы будут использоваться предприятием/учреждением или с их использованием будет изготовлен (выполнен) ожидаемый предприятием/учреждением объем продукции (работ, услуг)</w:t>
            </w:r>
          </w:p>
          <w:p w:rsidR="00AE057F" w:rsidRDefault="00AE057F">
            <w:pPr>
              <w:pStyle w:val="a5"/>
            </w:pPr>
            <w:r>
              <w:t>п. 4 П(С)БУ 7</w:t>
            </w:r>
          </w:p>
          <w:p w:rsidR="00AE057F" w:rsidRDefault="00AE057F">
            <w:pPr>
              <w:pStyle w:val="a5"/>
            </w:pPr>
            <w:r>
              <w:t>Его устанавливает предприятия (в распорядительном акте) при признании этого объекта активом (зачислении на баланс)</w:t>
            </w:r>
          </w:p>
          <w:p w:rsidR="00AE057F" w:rsidRDefault="00AE057F">
            <w:pPr>
              <w:pStyle w:val="a5"/>
            </w:pPr>
            <w:r>
              <w:t>п. 23 П(С)БУ 7</w:t>
            </w:r>
          </w:p>
          <w:p w:rsidR="00AE057F" w:rsidRDefault="00AE057F">
            <w:pPr>
              <w:pStyle w:val="a5"/>
            </w:pPr>
            <w:r>
              <w:t>п. 25 П(С)БУ 8</w:t>
            </w:r>
          </w:p>
        </w:tc>
        <w:tc>
          <w:tcPr>
            <w:tcW w:w="4530" w:type="dxa"/>
            <w:vAlign w:val="center"/>
            <w:hideMark/>
          </w:tcPr>
          <w:p w:rsidR="00AE057F" w:rsidRDefault="00AE057F">
            <w:pPr>
              <w:pStyle w:val="a5"/>
            </w:pPr>
            <w:r>
              <w:t xml:space="preserve">Бухгалтерский срок полезного использования, но </w:t>
            </w:r>
            <w:r>
              <w:rPr>
                <w:rStyle w:val="a6"/>
              </w:rPr>
              <w:t>не меньше минимально допустимых сроков</w:t>
            </w:r>
            <w:r>
              <w:t xml:space="preserve"> в разрезе групп</w:t>
            </w:r>
          </w:p>
          <w:p w:rsidR="00AE057F" w:rsidRDefault="00AE057F">
            <w:pPr>
              <w:pStyle w:val="a5"/>
            </w:pPr>
            <w:r>
              <w:t>пп. 138.3.3 и пп. 138.3.4 НК</w:t>
            </w:r>
          </w:p>
          <w:p w:rsidR="00AE057F" w:rsidRDefault="00AE057F">
            <w:pPr>
              <w:pStyle w:val="a5"/>
            </w:pPr>
            <w:r>
              <w:t>Право ускоренной амортизации для отдельных групп (4, 5, 3 – передаточные приборы и 9) при ряде условий</w:t>
            </w:r>
          </w:p>
          <w:p w:rsidR="00AE057F" w:rsidRDefault="00AE057F">
            <w:pPr>
              <w:pStyle w:val="a5"/>
            </w:pPr>
            <w:r>
              <w:t>п. 431 подразд. 4 разд. ХХ НК</w:t>
            </w:r>
          </w:p>
          <w:p w:rsidR="00AE057F" w:rsidRDefault="00AE057F">
            <w:pPr>
              <w:pStyle w:val="a5"/>
            </w:pPr>
            <w:r>
              <w:t>ИНК от 12.06.20 г. № 2410/6/99-00-05-05-02-06/ІНК</w:t>
            </w:r>
          </w:p>
          <w:p w:rsidR="00AE057F" w:rsidRDefault="00AE057F">
            <w:pPr>
              <w:pStyle w:val="a5"/>
            </w:pPr>
            <w:r>
              <w:t>ИНК ГНСУ от 01.07.20 г. № 2643/6/99-00-05-05-02-06/ІНК</w:t>
            </w:r>
          </w:p>
          <w:p w:rsidR="00AE057F" w:rsidRDefault="00AE057F">
            <w:pPr>
              <w:pStyle w:val="a5"/>
            </w:pPr>
            <w:r>
              <w:t>Информационное письмо № 12</w:t>
            </w:r>
          </w:p>
        </w:tc>
      </w:tr>
    </w:tbl>
    <w:p w:rsidR="00AE057F" w:rsidRDefault="00AE057F" w:rsidP="00AE057F">
      <w:pPr>
        <w:pStyle w:val="3"/>
      </w:pPr>
      <w:r>
        <w:rPr>
          <w:rStyle w:val="a6"/>
          <w:b/>
          <w:bCs/>
        </w:rPr>
        <w:t>Таблица 6. Начало амортизации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6"/>
        <w:gridCol w:w="2912"/>
      </w:tblGrid>
      <w:tr w:rsidR="00AE057F" w:rsidTr="00AE057F">
        <w:trPr>
          <w:tblCellSpacing w:w="15" w:type="dxa"/>
        </w:trPr>
        <w:tc>
          <w:tcPr>
            <w:tcW w:w="6510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Бухгалтерская амортизация</w:t>
            </w:r>
          </w:p>
        </w:tc>
        <w:tc>
          <w:tcPr>
            <w:tcW w:w="2970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Налоговая амортизация</w:t>
            </w:r>
          </w:p>
        </w:tc>
      </w:tr>
      <w:tr w:rsidR="00AE057F" w:rsidTr="00AE057F">
        <w:trPr>
          <w:tblCellSpacing w:w="15" w:type="dxa"/>
        </w:trPr>
        <w:tc>
          <w:tcPr>
            <w:tcW w:w="6510" w:type="dxa"/>
            <w:vAlign w:val="center"/>
            <w:hideMark/>
          </w:tcPr>
          <w:p w:rsidR="00AE057F" w:rsidRDefault="00AE057F">
            <w:pPr>
              <w:pStyle w:val="a5"/>
            </w:pPr>
            <w:r>
              <w:t>Амортизация начинается с месяца, следующего за вводом объекта в эксплуатацию (хозяйственный оборот) и прекращается со следующего месяца после выбытия объекта.</w:t>
            </w:r>
          </w:p>
          <w:p w:rsidR="00AE057F" w:rsidRDefault="00AE057F">
            <w:pPr>
              <w:pStyle w:val="a5"/>
            </w:pPr>
            <w:r>
              <w:t>В случае применения производственного метода начинается с даты, следующей за датой ввода в эксплуатацию объекта.</w:t>
            </w:r>
          </w:p>
          <w:p w:rsidR="00AE057F" w:rsidRDefault="00AE057F">
            <w:pPr>
              <w:pStyle w:val="a5"/>
            </w:pPr>
            <w:r>
              <w:t>Для МНМА, библиотечных фондов, которые амортизируются «спецметодами»:</w:t>
            </w:r>
          </w:p>
          <w:p w:rsidR="00AE057F" w:rsidRDefault="00AE057F">
            <w:pPr>
              <w:pStyle w:val="a5"/>
            </w:pPr>
            <w:r>
              <w:lastRenderedPageBreak/>
              <w:t>– 100% – в месяце ввода в эксплуатацию;</w:t>
            </w:r>
          </w:p>
          <w:p w:rsidR="00AE057F" w:rsidRDefault="00AE057F">
            <w:pPr>
              <w:pStyle w:val="a5"/>
            </w:pPr>
            <w:r>
              <w:t>– 50%/50% – соответственно в первом и последнем месяце использования.</w:t>
            </w:r>
          </w:p>
          <w:p w:rsidR="00AE057F" w:rsidRDefault="00AE057F">
            <w:pPr>
              <w:pStyle w:val="a5"/>
            </w:pPr>
            <w:r>
              <w:t>п. 29 П(С)БУ 7</w:t>
            </w:r>
          </w:p>
          <w:p w:rsidR="00AE057F" w:rsidRDefault="00AE057F">
            <w:pPr>
              <w:pStyle w:val="a5"/>
            </w:pPr>
            <w:r>
              <w:t>п. 29 П(С)БУ 8</w:t>
            </w:r>
          </w:p>
        </w:tc>
        <w:tc>
          <w:tcPr>
            <w:tcW w:w="2970" w:type="dxa"/>
            <w:vAlign w:val="center"/>
            <w:hideMark/>
          </w:tcPr>
          <w:p w:rsidR="00AE057F" w:rsidRDefault="00AE057F">
            <w:pPr>
              <w:pStyle w:val="a5"/>
            </w:pPr>
            <w:r>
              <w:lastRenderedPageBreak/>
              <w:t>По правилам бухучета</w:t>
            </w:r>
          </w:p>
          <w:p w:rsidR="00AE057F" w:rsidRDefault="00AE057F">
            <w:pPr>
              <w:pStyle w:val="a5"/>
            </w:pPr>
            <w:r>
              <w:t>пп. 138.3.1 НК</w:t>
            </w:r>
          </w:p>
        </w:tc>
      </w:tr>
    </w:tbl>
    <w:p w:rsidR="00AE057F" w:rsidRDefault="00AE057F" w:rsidP="00AE057F">
      <w:pPr>
        <w:pStyle w:val="3"/>
      </w:pPr>
      <w:r>
        <w:rPr>
          <w:rStyle w:val="a6"/>
          <w:b/>
          <w:bCs/>
        </w:rPr>
        <w:lastRenderedPageBreak/>
        <w:t>Таблица 7. Приостановка амортизации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2041"/>
        <w:gridCol w:w="2455"/>
        <w:gridCol w:w="1965"/>
      </w:tblGrid>
      <w:tr w:rsidR="00AE057F" w:rsidTr="00AE057F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Бухгалтерская амортизация</w:t>
            </w:r>
          </w:p>
        </w:tc>
        <w:tc>
          <w:tcPr>
            <w:tcW w:w="6525" w:type="dxa"/>
            <w:gridSpan w:val="3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Налоговая амортизация</w:t>
            </w:r>
          </w:p>
        </w:tc>
      </w:tr>
      <w:tr w:rsidR="00AE057F" w:rsidTr="00AE057F">
        <w:trPr>
          <w:tblCellSpacing w:w="15" w:type="dxa"/>
        </w:trPr>
        <w:tc>
          <w:tcPr>
            <w:tcW w:w="2970" w:type="dxa"/>
            <w:vMerge w:val="restart"/>
            <w:vAlign w:val="center"/>
            <w:hideMark/>
          </w:tcPr>
          <w:p w:rsidR="00AE057F" w:rsidRDefault="00AE057F">
            <w:pPr>
              <w:pStyle w:val="a5"/>
            </w:pPr>
            <w:r>
              <w:t>Приостанавливают амортизацию на период:</w:t>
            </w:r>
          </w:p>
          <w:p w:rsidR="00AE057F" w:rsidRDefault="00AE057F">
            <w:pPr>
              <w:pStyle w:val="a5"/>
            </w:pPr>
            <w:r>
              <w:t>– реконструкции</w:t>
            </w:r>
          </w:p>
          <w:p w:rsidR="00AE057F" w:rsidRDefault="00AE057F">
            <w:pPr>
              <w:pStyle w:val="a5"/>
            </w:pPr>
            <w:r>
              <w:t>– модернизации</w:t>
            </w:r>
          </w:p>
          <w:p w:rsidR="00AE057F" w:rsidRDefault="00AE057F">
            <w:pPr>
              <w:pStyle w:val="a5"/>
            </w:pPr>
            <w:r>
              <w:t>– достройки</w:t>
            </w:r>
          </w:p>
          <w:p w:rsidR="00AE057F" w:rsidRDefault="00AE057F">
            <w:pPr>
              <w:pStyle w:val="a5"/>
            </w:pPr>
            <w:r>
              <w:t>– дооборудования</w:t>
            </w:r>
          </w:p>
          <w:p w:rsidR="00AE057F" w:rsidRDefault="00AE057F">
            <w:pPr>
              <w:pStyle w:val="a5"/>
            </w:pPr>
            <w:r>
              <w:t>– консервации объекта основных средств</w:t>
            </w:r>
          </w:p>
          <w:p w:rsidR="00AE057F" w:rsidRDefault="00AE057F">
            <w:pPr>
              <w:pStyle w:val="a5"/>
            </w:pPr>
            <w:r>
              <w:t>п. 23 П(С)БУ 7</w:t>
            </w:r>
          </w:p>
        </w:tc>
        <w:tc>
          <w:tcPr>
            <w:tcW w:w="1845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С 01.01.15 до 23.05.20</w:t>
            </w:r>
          </w:p>
        </w:tc>
        <w:tc>
          <w:tcPr>
            <w:tcW w:w="2700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С 23.05.20 г. до 08.08.20</w:t>
            </w:r>
          </w:p>
        </w:tc>
        <w:tc>
          <w:tcPr>
            <w:tcW w:w="1980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С 08.08.20 г.</w:t>
            </w:r>
          </w:p>
        </w:tc>
      </w:tr>
      <w:tr w:rsidR="00AE057F" w:rsidTr="00AE05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E057F" w:rsidRDefault="00AE057F"/>
        </w:tc>
        <w:tc>
          <w:tcPr>
            <w:tcW w:w="184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Приостанавливают амортизацию по правилам бухучета. Поскольку спецправил в НК не было, отсылали к П(С)БУ и МС ФО.</w:t>
            </w:r>
          </w:p>
          <w:p w:rsidR="00AE057F" w:rsidRDefault="00AE057F">
            <w:pPr>
              <w:pStyle w:val="a5"/>
            </w:pPr>
            <w:r>
              <w:t>пп. 138.3.1 НК в редакции до 23.05.2020 г.</w:t>
            </w:r>
          </w:p>
        </w:tc>
        <w:tc>
          <w:tcPr>
            <w:tcW w:w="2700" w:type="dxa"/>
            <w:vAlign w:val="center"/>
            <w:hideMark/>
          </w:tcPr>
          <w:p w:rsidR="00AE057F" w:rsidRDefault="00AE057F">
            <w:pPr>
              <w:pStyle w:val="a5"/>
            </w:pPr>
            <w:r>
              <w:t>Амортизация не начисляется за период неиспользования (эксплуатации) основных средств в хозяйственной деятельности в связи с их модернизацией, реконструкцией, достройкой, дооборудованием и консервацией</w:t>
            </w:r>
          </w:p>
          <w:p w:rsidR="00AE057F" w:rsidRDefault="00AE057F">
            <w:pPr>
              <w:pStyle w:val="a5"/>
            </w:pPr>
            <w:r>
              <w:t>пп. 138.3.1 НК с изменениями, внесенными Законом № 466</w:t>
            </w:r>
          </w:p>
        </w:tc>
        <w:tc>
          <w:tcPr>
            <w:tcW w:w="1980" w:type="dxa"/>
            <w:vAlign w:val="center"/>
            <w:hideMark/>
          </w:tcPr>
          <w:p w:rsidR="00AE057F" w:rsidRDefault="00AE057F">
            <w:pPr>
              <w:pStyle w:val="a5"/>
            </w:pPr>
            <w:r>
              <w:t>Амортизация не начисляется за период неиспользования (эксплуатации) основных средств в хозяйственной деятельности в связи с их консервацией</w:t>
            </w:r>
          </w:p>
          <w:p w:rsidR="00AE057F" w:rsidRDefault="00AE057F">
            <w:pPr>
              <w:pStyle w:val="a5"/>
            </w:pPr>
            <w:r>
              <w:t>пп. 138.3.1 НК с изменениями, внесенными Законом № 786</w:t>
            </w:r>
          </w:p>
        </w:tc>
      </w:tr>
    </w:tbl>
    <w:p w:rsidR="00AE057F" w:rsidRDefault="00AE057F" w:rsidP="00AE057F">
      <w:pPr>
        <w:pStyle w:val="3"/>
      </w:pPr>
      <w:r>
        <w:rPr>
          <w:rStyle w:val="a6"/>
          <w:b/>
          <w:bCs/>
        </w:rPr>
        <w:t>Таблица 8. Разницы по амортизации основных средств, нематактивов</w:t>
      </w:r>
    </w:p>
    <w:p w:rsidR="00AE057F" w:rsidRDefault="00AE057F" w:rsidP="00AE057F">
      <w:pPr>
        <w:pStyle w:val="a5"/>
      </w:pPr>
      <w:r>
        <w:rPr>
          <w:rStyle w:val="a7"/>
        </w:rPr>
        <w:t>(применяют те плательщики налога на прибыль, которые используют разницы из разд. ІІІ НК)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4"/>
        <w:gridCol w:w="4444"/>
      </w:tblGrid>
      <w:tr w:rsidR="00AE057F" w:rsidTr="00AE057F">
        <w:trPr>
          <w:tblCellSpacing w:w="15" w:type="dxa"/>
        </w:trPr>
        <w:tc>
          <w:tcPr>
            <w:tcW w:w="9630" w:type="dxa"/>
            <w:gridSpan w:val="2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Финансовый результат до налогообложения</w:t>
            </w:r>
          </w:p>
        </w:tc>
      </w:tr>
      <w:tr w:rsidR="00AE057F" w:rsidTr="00AE057F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увеличивают</w:t>
            </w:r>
            <w:r>
              <w:t xml:space="preserve"> (п. 138.1 НК)</w:t>
            </w:r>
          </w:p>
        </w:tc>
        <w:tc>
          <w:tcPr>
            <w:tcW w:w="4665" w:type="dxa"/>
            <w:vAlign w:val="center"/>
            <w:hideMark/>
          </w:tcPr>
          <w:p w:rsidR="00AE057F" w:rsidRDefault="00AE057F">
            <w:pPr>
              <w:pStyle w:val="a5"/>
              <w:jc w:val="center"/>
            </w:pPr>
            <w:r>
              <w:rPr>
                <w:rStyle w:val="a6"/>
              </w:rPr>
              <w:t>уменьшают</w:t>
            </w:r>
            <w:r>
              <w:t xml:space="preserve"> (п. 138.2 НК)</w:t>
            </w:r>
          </w:p>
        </w:tc>
      </w:tr>
      <w:tr w:rsidR="00AE057F" w:rsidTr="00AE057F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AE057F" w:rsidRDefault="00AE057F">
            <w:pPr>
              <w:pStyle w:val="a5"/>
            </w:pPr>
            <w:r>
              <w:t>На сумму начисленной амортизации основных средств или нематериальных активов в соответствии с П(С)БУ или МСФО</w:t>
            </w:r>
          </w:p>
        </w:tc>
        <w:tc>
          <w:tcPr>
            <w:tcW w:w="4665" w:type="dxa"/>
            <w:vAlign w:val="center"/>
            <w:hideMark/>
          </w:tcPr>
          <w:p w:rsidR="00AE057F" w:rsidRDefault="00AE057F">
            <w:pPr>
              <w:pStyle w:val="a5"/>
            </w:pPr>
            <w:r>
              <w:t>На сумму рассчитанной амортизации основных средств или нематериальных активов в соответствии с п. 138.3 НК</w:t>
            </w:r>
          </w:p>
        </w:tc>
      </w:tr>
      <w:tr w:rsidR="00AE057F" w:rsidTr="00AE057F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стр. 1.1.1 приложения РІ к декларации</w:t>
            </w:r>
          </w:p>
        </w:tc>
        <w:tc>
          <w:tcPr>
            <w:tcW w:w="4665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стр. 1.2.1 АМ приложения РІ к декларации</w:t>
            </w:r>
          </w:p>
        </w:tc>
      </w:tr>
      <w:tr w:rsidR="00AE057F" w:rsidTr="00AE057F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AE057F" w:rsidRDefault="00AE057F">
            <w:pPr>
              <w:pStyle w:val="a5"/>
            </w:pPr>
            <w:r>
              <w:rPr>
                <w:rStyle w:val="a6"/>
              </w:rPr>
              <w:t>Заметим:</w:t>
            </w:r>
            <w:r>
              <w:t xml:space="preserve"> именно начисленная </w:t>
            </w:r>
            <w:r>
              <w:rPr>
                <w:rStyle w:val="a6"/>
              </w:rPr>
              <w:t>бухгалтерская</w:t>
            </w:r>
            <w:r>
              <w:t xml:space="preserve"> амортизация увеличивает бухфинрезультат до налогообложения, и не </w:t>
            </w:r>
            <w:r>
              <w:lastRenderedPageBreak/>
              <w:t>важно, попала ли такая амортизация в расходы периода, или находится в себестоимости еще не реализованной продукции, или сформировала первоначальную стоимость прочего необоротного актива (письмо ГФСУ от 18.07. 16 г. № 15393/6/99-99-15-02-02-15, ОИР категория 102.05).</w:t>
            </w:r>
          </w:p>
          <w:p w:rsidR="00AE057F" w:rsidRDefault="00AE057F">
            <w:pPr>
              <w:pStyle w:val="a5"/>
            </w:pPr>
            <w:r>
              <w:t>Важно: по МНМА (даже нехоздеятельным МНМА) разница не возникает (Информационное письмо № 12, ИНК ГНСУ от 08.07.20 г. № 2749/6/99-00-05-05-02-06/ІНК)</w:t>
            </w:r>
          </w:p>
        </w:tc>
        <w:tc>
          <w:tcPr>
            <w:tcW w:w="4665" w:type="dxa"/>
            <w:vAlign w:val="center"/>
            <w:hideMark/>
          </w:tcPr>
          <w:p w:rsidR="00AE057F" w:rsidRDefault="00AE057F">
            <w:pPr>
              <w:pStyle w:val="a5"/>
            </w:pPr>
            <w:r>
              <w:lastRenderedPageBreak/>
              <w:t xml:space="preserve">Бухфинрезультат уменьшают на </w:t>
            </w:r>
            <w:r>
              <w:rPr>
                <w:rStyle w:val="a6"/>
              </w:rPr>
              <w:t>налоговую</w:t>
            </w:r>
            <w:r>
              <w:t xml:space="preserve"> амортизацию основных средств (по определению из пп. 14.1.138 </w:t>
            </w:r>
            <w:r>
              <w:lastRenderedPageBreak/>
              <w:t>НК) и налоговую амортизацию нематактивов, рассчитанную по правилам п. 138.3 НК.</w:t>
            </w:r>
          </w:p>
          <w:p w:rsidR="00AE057F" w:rsidRDefault="00AE057F">
            <w:pPr>
              <w:pStyle w:val="a5"/>
            </w:pPr>
            <w:r>
              <w:t>Повторимся: по объектам, которые не амортизируют в налоговом учете (как то МНМА, библиотечные фонды и т. п.) уменьшительной разницы не будет, так как налоговая амортизации не начисляется.</w:t>
            </w:r>
          </w:p>
          <w:p w:rsidR="00AE057F" w:rsidRDefault="00AE057F">
            <w:pPr>
              <w:pStyle w:val="a5"/>
            </w:pPr>
            <w:r>
              <w:t>Суммы налоговой амортизации в разрезе групп приводят в приложении АМ.</w:t>
            </w:r>
          </w:p>
          <w:p w:rsidR="00AE057F" w:rsidRDefault="00AE057F">
            <w:pPr>
              <w:pStyle w:val="a5"/>
            </w:pPr>
            <w:r>
              <w:t>Данные в строку 1.2.1 АМ приложения РІ переносят из приложения АМ</w:t>
            </w:r>
          </w:p>
        </w:tc>
      </w:tr>
      <w:bookmarkEnd w:id="0"/>
    </w:tbl>
    <w:p w:rsidR="00696FE8" w:rsidRPr="00AE057F" w:rsidRDefault="00696FE8" w:rsidP="00AE057F"/>
    <w:sectPr w:rsidR="00696FE8" w:rsidRPr="00AE057F" w:rsidSect="00D55822">
      <w:footerReference w:type="default" r:id="rId9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597" w:rsidRDefault="00561597">
      <w:r>
        <w:separator/>
      </w:r>
    </w:p>
  </w:endnote>
  <w:endnote w:type="continuationSeparator" w:id="0">
    <w:p w:rsidR="00561597" w:rsidRDefault="0056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597" w:rsidRDefault="00561597">
      <w:r>
        <w:separator/>
      </w:r>
    </w:p>
  </w:footnote>
  <w:footnote w:type="continuationSeparator" w:id="0">
    <w:p w:rsidR="00561597" w:rsidRDefault="0056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"/>
  </w:num>
  <w:num w:numId="5">
    <w:abstractNumId w:val="21"/>
  </w:num>
  <w:num w:numId="6">
    <w:abstractNumId w:val="13"/>
  </w:num>
  <w:num w:numId="7">
    <w:abstractNumId w:val="9"/>
  </w:num>
  <w:num w:numId="8">
    <w:abstractNumId w:val="15"/>
  </w:num>
  <w:num w:numId="9">
    <w:abstractNumId w:val="0"/>
  </w:num>
  <w:num w:numId="10">
    <w:abstractNumId w:val="6"/>
  </w:num>
  <w:num w:numId="11">
    <w:abstractNumId w:val="4"/>
  </w:num>
  <w:num w:numId="12">
    <w:abstractNumId w:val="14"/>
  </w:num>
  <w:num w:numId="13">
    <w:abstractNumId w:val="19"/>
  </w:num>
  <w:num w:numId="14">
    <w:abstractNumId w:val="11"/>
  </w:num>
  <w:num w:numId="15">
    <w:abstractNumId w:val="7"/>
  </w:num>
  <w:num w:numId="16">
    <w:abstractNumId w:val="22"/>
  </w:num>
  <w:num w:numId="17">
    <w:abstractNumId w:val="5"/>
  </w:num>
  <w:num w:numId="18">
    <w:abstractNumId w:val="18"/>
  </w:num>
  <w:num w:numId="19">
    <w:abstractNumId w:val="8"/>
  </w:num>
  <w:num w:numId="20">
    <w:abstractNumId w:val="2"/>
  </w:num>
  <w:num w:numId="21">
    <w:abstractNumId w:val="3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C3405"/>
    <w:rsid w:val="000E0C8F"/>
    <w:rsid w:val="00152194"/>
    <w:rsid w:val="0015422E"/>
    <w:rsid w:val="001566CE"/>
    <w:rsid w:val="00157176"/>
    <w:rsid w:val="001D117D"/>
    <w:rsid w:val="001E32A2"/>
    <w:rsid w:val="002372FB"/>
    <w:rsid w:val="002569D8"/>
    <w:rsid w:val="002B2945"/>
    <w:rsid w:val="002D75DA"/>
    <w:rsid w:val="00311F48"/>
    <w:rsid w:val="00350574"/>
    <w:rsid w:val="00387926"/>
    <w:rsid w:val="003A19A0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053AB"/>
    <w:rsid w:val="00512D7E"/>
    <w:rsid w:val="005549F3"/>
    <w:rsid w:val="00561597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41E6C"/>
    <w:rsid w:val="006539A2"/>
    <w:rsid w:val="006759C2"/>
    <w:rsid w:val="0068451A"/>
    <w:rsid w:val="00696FE8"/>
    <w:rsid w:val="006C51F5"/>
    <w:rsid w:val="006F0198"/>
    <w:rsid w:val="00725FE3"/>
    <w:rsid w:val="00753856"/>
    <w:rsid w:val="00757E41"/>
    <w:rsid w:val="00760F04"/>
    <w:rsid w:val="00790EC2"/>
    <w:rsid w:val="007B1F46"/>
    <w:rsid w:val="008A117F"/>
    <w:rsid w:val="008A321E"/>
    <w:rsid w:val="008A5C1C"/>
    <w:rsid w:val="008C1986"/>
    <w:rsid w:val="008C51CE"/>
    <w:rsid w:val="008E057D"/>
    <w:rsid w:val="009412D5"/>
    <w:rsid w:val="00942046"/>
    <w:rsid w:val="00963ED4"/>
    <w:rsid w:val="0099311B"/>
    <w:rsid w:val="009A01A9"/>
    <w:rsid w:val="009A4E44"/>
    <w:rsid w:val="00A56268"/>
    <w:rsid w:val="00A61FFE"/>
    <w:rsid w:val="00A7338D"/>
    <w:rsid w:val="00A91CC9"/>
    <w:rsid w:val="00AA38D1"/>
    <w:rsid w:val="00AA4C4D"/>
    <w:rsid w:val="00AB16DE"/>
    <w:rsid w:val="00AC2E6C"/>
    <w:rsid w:val="00AE057F"/>
    <w:rsid w:val="00AE45EF"/>
    <w:rsid w:val="00B36649"/>
    <w:rsid w:val="00B44AE7"/>
    <w:rsid w:val="00B65D30"/>
    <w:rsid w:val="00B66237"/>
    <w:rsid w:val="00BA65C0"/>
    <w:rsid w:val="00BC7CD7"/>
    <w:rsid w:val="00BD6AD8"/>
    <w:rsid w:val="00C2715A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3742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.sfs.gov.ua/media-ark/news-ark/35528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eka.ua/publication/commerce-12-xozyajstvennye-operacii-9-stoimostnyj-kriterij-dlya-mnma-izmenen-s-6-000-grn-na-20-000-grnchto-so-starymi-obekt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2020-10-13T15:46:00Z</dcterms:created>
  <dcterms:modified xsi:type="dcterms:W3CDTF">2020-10-13T15:46:00Z</dcterms:modified>
</cp:coreProperties>
</file>