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C0" w:rsidRDefault="00F504C0" w:rsidP="00F504C0">
      <w:pPr>
        <w:pStyle w:val="3"/>
      </w:pPr>
      <w:bookmarkStart w:id="0" w:name="_GoBack"/>
      <w:r>
        <w:t>Таблица. Общая сумма годового бухгалтерского дохода от любой деятельности</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2"/>
        <w:gridCol w:w="6520"/>
      </w:tblGrid>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bookmarkEnd w:id="0"/>
          <w:p w:rsidR="00F504C0" w:rsidRDefault="00F504C0">
            <w:pPr>
              <w:pStyle w:val="a5"/>
              <w:jc w:val="center"/>
            </w:pPr>
            <w:r>
              <w:rPr>
                <w:b/>
                <w:bCs/>
              </w:rPr>
              <w:t>Составляющие общей суммы дохода от любых видов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jc w:val="center"/>
            </w:pPr>
            <w:r>
              <w:rPr>
                <w:b/>
                <w:bCs/>
              </w:rPr>
              <w:t>Информация для исчисления суммы дохода</w:t>
            </w:r>
          </w:p>
        </w:tc>
      </w:tr>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rPr>
                <w:b/>
                <w:bCs/>
              </w:rPr>
              <w:t>Доход (выручка) от реализации продукции (товаров, работ, услуг)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t xml:space="preserve">Согласно п. 7 П(С)БУ 15 «Доход» </w:t>
            </w:r>
            <w:r>
              <w:rPr>
                <w:b/>
                <w:bCs/>
                <w:i/>
                <w:iCs/>
              </w:rPr>
              <w:t>доход (выручка) от реализации продукции (товаров, работ, услуг)</w:t>
            </w:r>
            <w:r>
              <w:t xml:space="preserve"> </w:t>
            </w:r>
            <w:r>
              <w:rPr>
                <w:i/>
                <w:iCs/>
              </w:rPr>
              <w:t>– общий доход (выручка) от реализации продукции, товаров, работ или услуг без вычета предоставленных скидок, возвращения ранее проданных товаров и косвенных налогов и сборов (налога на добавленную стоимость акцизного сбора и т. п.).</w:t>
            </w:r>
            <w:r>
              <w:t xml:space="preserve"> То есть это «грязная» сумма, «не очищенная» от предоставленных скидок, возврата товаров и т. п.</w:t>
            </w:r>
          </w:p>
          <w:p w:rsidR="00F504C0" w:rsidRDefault="00F504C0">
            <w:r>
              <w:t>Однако налоговики в этом деле либеральны и говорят все же о «</w:t>
            </w:r>
            <w:r>
              <w:rPr>
                <w:b/>
                <w:bCs/>
                <w:i/>
                <w:iCs/>
              </w:rPr>
              <w:t>чистом доходе от реализации».</w:t>
            </w:r>
            <w:r>
              <w:t xml:space="preserve"> А чистый доход от реализации продукции (товаров, работ, услуг) определяется путем вычета из дохода от реализации продукции, товаров, работ, услуг предоставленных скидок, стоимости возвращенных ранее проданных товаров, доходов, которые по договорам принадлежат комитентам (принципалам и т. п.), и налогов и сборов (п. 7 П(С)БУ 15).</w:t>
            </w:r>
          </w:p>
          <w:p w:rsidR="00F504C0" w:rsidRDefault="00F504C0">
            <w:pPr>
              <w:pStyle w:val="a5"/>
            </w:pPr>
            <w:r>
              <w:t xml:space="preserve">Данные берем </w:t>
            </w:r>
            <w:r>
              <w:rPr>
                <w:b/>
                <w:bCs/>
              </w:rPr>
              <w:t xml:space="preserve">из стр. 2000 Отчета о финансовых результатах </w:t>
            </w:r>
            <w:r>
              <w:t>(письмо ГФС в г. Киеве от 16.03.16 г. № 6300/10/26-15-12-05-11, письмо ГФСУ от 19.10.15 г. № 21976/6/99-99-19-02-02-15).</w:t>
            </w:r>
          </w:p>
          <w:p w:rsidR="00F504C0" w:rsidRDefault="00F504C0">
            <w:pPr>
              <w:pStyle w:val="a5"/>
            </w:pPr>
            <w:r>
              <w:t xml:space="preserve">Важно: данные берутся </w:t>
            </w:r>
            <w:r>
              <w:rPr>
                <w:b/>
                <w:bCs/>
              </w:rPr>
              <w:t>еще до округления</w:t>
            </w:r>
            <w:r>
              <w:t xml:space="preserve"> (ведь в финотчетности фиксируем округленные суммы, а для исчисления общей суммы дохода нужно брать величины еще до такого округления).</w:t>
            </w:r>
          </w:p>
          <w:p w:rsidR="00F504C0" w:rsidRDefault="00F504C0">
            <w:pPr>
              <w:pStyle w:val="a5"/>
            </w:pPr>
            <w:r>
              <w:t xml:space="preserve">Это обороты по </w:t>
            </w:r>
            <w:r>
              <w:rPr>
                <w:b/>
                <w:bCs/>
              </w:rPr>
              <w:t>Дт 70 – Кт 791</w:t>
            </w:r>
          </w:p>
        </w:tc>
      </w:tr>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rPr>
                <w:b/>
                <w:bCs/>
              </w:rPr>
              <w:t>Прочие операционные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t>В состав прочих операционных доходов включаются суммы прочих доходов от операционной деятельности предприятия, кроме чистого дохода от реализации продукции (товаров, работ, услуг), в частности: доход от операционной аренды активов; доход от операционных курсовых разниц; возмещение ранее списанных активов; доход от роялти, процентов, полученных на остатки средств на текущих счетах в банках, доход от реализации оборотных активов (кроме финансовых инвестиций), необоротных активов, содержащихся для продажи, и группы выбытия и т. п. (п. 7 П(С)БУ 15).</w:t>
            </w:r>
          </w:p>
          <w:p w:rsidR="00F504C0" w:rsidRDefault="00F504C0">
            <w:pPr>
              <w:pStyle w:val="a5"/>
            </w:pPr>
            <w:r>
              <w:rPr>
                <w:b/>
                <w:bCs/>
              </w:rPr>
              <w:t>Данные берем из стр. 2120 формы № 2</w:t>
            </w:r>
            <w:r>
              <w:t xml:space="preserve"> и также </w:t>
            </w:r>
            <w:r>
              <w:rPr>
                <w:b/>
                <w:bCs/>
              </w:rPr>
              <w:t>еще до округления.</w:t>
            </w:r>
          </w:p>
          <w:p w:rsidR="00F504C0" w:rsidRDefault="00F504C0">
            <w:pPr>
              <w:pStyle w:val="a5"/>
            </w:pPr>
            <w:r>
              <w:lastRenderedPageBreak/>
              <w:t xml:space="preserve">Это обороты по </w:t>
            </w:r>
            <w:r>
              <w:rPr>
                <w:b/>
                <w:bCs/>
              </w:rPr>
              <w:t>Дт 71 – Кт 791</w:t>
            </w:r>
          </w:p>
        </w:tc>
      </w:tr>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rPr>
                <w:b/>
                <w:bCs/>
              </w:rPr>
              <w:lastRenderedPageBreak/>
              <w:t>Финансовые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r>
              <w:t>Финансовые доходы – это дивиденды, проценты и прочие доходы, полученные от финансовых инвестиций (п. 7 П(С)БУ 15).</w:t>
            </w:r>
            <w:r>
              <w:rPr>
                <w:b/>
                <w:bCs/>
              </w:rPr>
              <w:t>Данные – из стр. 2220 формы № 2 еще до округления.</w:t>
            </w:r>
            <w:r>
              <w:t>Это обороты по Дт 73 – Кт 792</w:t>
            </w:r>
          </w:p>
        </w:tc>
      </w:tr>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rPr>
                <w:b/>
                <w:bCs/>
              </w:rPr>
              <w:t>Прочие доходы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r>
              <w:t>В состав прочих доходов, в частности, включается доход от реализации финансовых инвестиций; доход от неоперационных курсовых разниц и прочие доходы, которые возникают в процессе хозяйственной деятельности, но не связаны с операционной деятельностью предприятия (п. 7 П(С)БУ 15).</w:t>
            </w:r>
          </w:p>
          <w:p w:rsidR="00F504C0" w:rsidRDefault="00F504C0">
            <w:pPr>
              <w:pStyle w:val="a5"/>
            </w:pPr>
            <w:r>
              <w:rPr>
                <w:b/>
                <w:bCs/>
              </w:rPr>
              <w:t>Данные – из стр. 2240 формы № 2 еще до округления.</w:t>
            </w:r>
          </w:p>
          <w:p w:rsidR="00F504C0" w:rsidRDefault="00F504C0">
            <w:pPr>
              <w:pStyle w:val="a5"/>
            </w:pPr>
            <w:r>
              <w:t xml:space="preserve">Это обороты по </w:t>
            </w:r>
            <w:r>
              <w:rPr>
                <w:rStyle w:val="a6"/>
              </w:rPr>
              <w:t>Дт 74 – Кт 793</w:t>
            </w:r>
          </w:p>
        </w:tc>
      </w:tr>
      <w:tr w:rsidR="00F504C0" w:rsidTr="00F504C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rPr>
                <w:b/>
                <w:bCs/>
              </w:rPr>
              <w:t>Доходы от участия в капитале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F504C0" w:rsidRDefault="00F504C0">
            <w:pPr>
              <w:pStyle w:val="a5"/>
            </w:pPr>
            <w:r>
              <w:t>Это доходы от инвестиций, которые осуществлены в ассоциированные, дочерние или совместные предприятия и учет которых ведется по методу участия в капитале.</w:t>
            </w:r>
          </w:p>
          <w:p w:rsidR="00F504C0" w:rsidRDefault="00F504C0">
            <w:pPr>
              <w:pStyle w:val="a5"/>
            </w:pPr>
            <w:r>
              <w:t>Заметим, что доходы от участия в капитале прямо не упомянуты в пп. 134.1.1 НК. Однако налоговики убеждены, что такие доходы следует учитывать при исчислении дохода от любой деятельности для сравнения с критерием 20 млн грн (письмо ГФС в г. Киеве от 16.03.16 г. № 6300/10/26-15-12-05-11, письмо ГФСУ от 10.02.16 г. № 2716/6/99-99-19-02-02-15).</w:t>
            </w:r>
          </w:p>
          <w:p w:rsidR="00F504C0" w:rsidRDefault="00F504C0">
            <w:pPr>
              <w:pStyle w:val="a5"/>
            </w:pPr>
            <w:r>
              <w:rPr>
                <w:b/>
                <w:bCs/>
              </w:rPr>
              <w:t>Данные берутся из стр. 2200 формы № 2</w:t>
            </w:r>
            <w:r>
              <w:t xml:space="preserve"> еще до округления.</w:t>
            </w:r>
          </w:p>
          <w:p w:rsidR="00F504C0" w:rsidRDefault="00F504C0">
            <w:pPr>
              <w:pStyle w:val="a5"/>
            </w:pPr>
            <w:r>
              <w:t xml:space="preserve">Это обороты по </w:t>
            </w:r>
            <w:r>
              <w:rPr>
                <w:b/>
                <w:bCs/>
              </w:rPr>
              <w:t>Дт 72 – Кт 792</w:t>
            </w:r>
            <w:r>
              <w:t>.</w:t>
            </w:r>
          </w:p>
        </w:tc>
      </w:tr>
    </w:tbl>
    <w:p w:rsidR="00696FE8" w:rsidRPr="00F504C0" w:rsidRDefault="00696FE8" w:rsidP="00F504C0"/>
    <w:sectPr w:rsidR="00696FE8" w:rsidRPr="00F504C0"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61" w:rsidRDefault="00A65E61">
      <w:r>
        <w:separator/>
      </w:r>
    </w:p>
  </w:endnote>
  <w:endnote w:type="continuationSeparator" w:id="0">
    <w:p w:rsidR="00A65E61" w:rsidRDefault="00A6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61" w:rsidRDefault="00A65E61">
      <w:r>
        <w:separator/>
      </w:r>
    </w:p>
  </w:footnote>
  <w:footnote w:type="continuationSeparator" w:id="0">
    <w:p w:rsidR="00A65E61" w:rsidRDefault="00A65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DF8"/>
    <w:multiLevelType w:val="multilevel"/>
    <w:tmpl w:val="E0B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F64E1"/>
    <w:multiLevelType w:val="multilevel"/>
    <w:tmpl w:val="AC66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80265"/>
    <w:multiLevelType w:val="multilevel"/>
    <w:tmpl w:val="0D20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8"/>
  </w:num>
  <w:num w:numId="3">
    <w:abstractNumId w:val="15"/>
  </w:num>
  <w:num w:numId="4">
    <w:abstractNumId w:val="2"/>
  </w:num>
  <w:num w:numId="5">
    <w:abstractNumId w:val="19"/>
  </w:num>
  <w:num w:numId="6">
    <w:abstractNumId w:val="11"/>
  </w:num>
  <w:num w:numId="7">
    <w:abstractNumId w:val="7"/>
  </w:num>
  <w:num w:numId="8">
    <w:abstractNumId w:val="13"/>
  </w:num>
  <w:num w:numId="9">
    <w:abstractNumId w:val="1"/>
  </w:num>
  <w:num w:numId="10">
    <w:abstractNumId w:val="5"/>
  </w:num>
  <w:num w:numId="11">
    <w:abstractNumId w:val="3"/>
  </w:num>
  <w:num w:numId="12">
    <w:abstractNumId w:val="12"/>
  </w:num>
  <w:num w:numId="13">
    <w:abstractNumId w:val="17"/>
  </w:num>
  <w:num w:numId="14">
    <w:abstractNumId w:val="10"/>
  </w:num>
  <w:num w:numId="15">
    <w:abstractNumId w:val="6"/>
  </w:num>
  <w:num w:numId="16">
    <w:abstractNumId w:val="20"/>
  </w:num>
  <w:num w:numId="17">
    <w:abstractNumId w:val="4"/>
  </w:num>
  <w:num w:numId="18">
    <w:abstractNumId w:val="16"/>
  </w:num>
  <w:num w:numId="19">
    <w:abstractNumId w:val="9"/>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14546"/>
    <w:rsid w:val="0004635D"/>
    <w:rsid w:val="000722AA"/>
    <w:rsid w:val="00084262"/>
    <w:rsid w:val="00087CD6"/>
    <w:rsid w:val="000B6804"/>
    <w:rsid w:val="00152194"/>
    <w:rsid w:val="001566CE"/>
    <w:rsid w:val="001E32A2"/>
    <w:rsid w:val="002047A6"/>
    <w:rsid w:val="002372FB"/>
    <w:rsid w:val="002904C8"/>
    <w:rsid w:val="002B2945"/>
    <w:rsid w:val="002D75DA"/>
    <w:rsid w:val="00387926"/>
    <w:rsid w:val="003938B6"/>
    <w:rsid w:val="003A58C8"/>
    <w:rsid w:val="003E0394"/>
    <w:rsid w:val="003F1FB7"/>
    <w:rsid w:val="00406844"/>
    <w:rsid w:val="004511B6"/>
    <w:rsid w:val="004759AD"/>
    <w:rsid w:val="004A1DE0"/>
    <w:rsid w:val="004B05A7"/>
    <w:rsid w:val="004B1576"/>
    <w:rsid w:val="004D5ED6"/>
    <w:rsid w:val="00505C4C"/>
    <w:rsid w:val="005549F3"/>
    <w:rsid w:val="0057089D"/>
    <w:rsid w:val="00572570"/>
    <w:rsid w:val="00583817"/>
    <w:rsid w:val="0059318D"/>
    <w:rsid w:val="00593D49"/>
    <w:rsid w:val="005C36BE"/>
    <w:rsid w:val="00611702"/>
    <w:rsid w:val="006539A2"/>
    <w:rsid w:val="006759C2"/>
    <w:rsid w:val="00696FE8"/>
    <w:rsid w:val="00725FE3"/>
    <w:rsid w:val="00753856"/>
    <w:rsid w:val="00790EC2"/>
    <w:rsid w:val="007B1F46"/>
    <w:rsid w:val="008A117F"/>
    <w:rsid w:val="008A321E"/>
    <w:rsid w:val="008A5C1C"/>
    <w:rsid w:val="008C1986"/>
    <w:rsid w:val="008C51CE"/>
    <w:rsid w:val="008E057D"/>
    <w:rsid w:val="00901FDA"/>
    <w:rsid w:val="00942046"/>
    <w:rsid w:val="00963ED4"/>
    <w:rsid w:val="009A01A9"/>
    <w:rsid w:val="009A4E44"/>
    <w:rsid w:val="00A61FFE"/>
    <w:rsid w:val="00A65E61"/>
    <w:rsid w:val="00A7338D"/>
    <w:rsid w:val="00A90843"/>
    <w:rsid w:val="00AA38D1"/>
    <w:rsid w:val="00AA4C4D"/>
    <w:rsid w:val="00AC2E6C"/>
    <w:rsid w:val="00AD5CB9"/>
    <w:rsid w:val="00AE45EF"/>
    <w:rsid w:val="00B36649"/>
    <w:rsid w:val="00B44AE7"/>
    <w:rsid w:val="00B65D30"/>
    <w:rsid w:val="00B66237"/>
    <w:rsid w:val="00BA65C0"/>
    <w:rsid w:val="00BB2F30"/>
    <w:rsid w:val="00BB4B69"/>
    <w:rsid w:val="00BD6AD8"/>
    <w:rsid w:val="00CB49AA"/>
    <w:rsid w:val="00CD07AC"/>
    <w:rsid w:val="00CF6BD9"/>
    <w:rsid w:val="00D37DED"/>
    <w:rsid w:val="00D41509"/>
    <w:rsid w:val="00D55822"/>
    <w:rsid w:val="00D63032"/>
    <w:rsid w:val="00D86316"/>
    <w:rsid w:val="00D96FFA"/>
    <w:rsid w:val="00DD0B1E"/>
    <w:rsid w:val="00DD354B"/>
    <w:rsid w:val="00DE1267"/>
    <w:rsid w:val="00DF194E"/>
    <w:rsid w:val="00E00B94"/>
    <w:rsid w:val="00E35CBD"/>
    <w:rsid w:val="00EA112F"/>
    <w:rsid w:val="00EC00D7"/>
    <w:rsid w:val="00EF372A"/>
    <w:rsid w:val="00F504C0"/>
    <w:rsid w:val="00F5719E"/>
    <w:rsid w:val="00F65C7B"/>
    <w:rsid w:val="00F72510"/>
    <w:rsid w:val="00FA2459"/>
    <w:rsid w:val="00FA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paragraph" w:styleId="a7">
    <w:name w:val="List Paragraph"/>
    <w:basedOn w:val="a"/>
    <w:uiPriority w:val="34"/>
    <w:qFormat/>
    <w:rsid w:val="00BB2F30"/>
    <w:pPr>
      <w:spacing w:after="200" w:line="276" w:lineRule="auto"/>
      <w:ind w:left="720"/>
      <w:contextualSpacing/>
    </w:pPr>
    <w:rPr>
      <w:rFonts w:ascii="Calibri" w:hAnsi="Calibri"/>
      <w:sz w:val="22"/>
      <w:szCs w:val="22"/>
    </w:rPr>
  </w:style>
  <w:style w:type="character" w:styleId="a8">
    <w:name w:val="Hyperlink"/>
    <w:basedOn w:val="a0"/>
    <w:uiPriority w:val="99"/>
    <w:unhideWhenUsed/>
    <w:rsid w:val="00505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66924983">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344553402">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865674554">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212032353">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2020-06-15T09:39:00Z</dcterms:created>
  <dcterms:modified xsi:type="dcterms:W3CDTF">2020-06-15T09:39:00Z</dcterms:modified>
</cp:coreProperties>
</file>