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55F" w:rsidRDefault="0017755F" w:rsidP="0017755F">
      <w:pPr>
        <w:pStyle w:val="2"/>
        <w:jc w:val="center"/>
        <w:rPr>
          <w:lang w:val="uk-UA"/>
        </w:rPr>
      </w:pPr>
      <w:r>
        <w:rPr>
          <w:lang w:val="uk-UA"/>
        </w:rPr>
        <w:t>НАЦІОНАЛЬНА КОМІСІЯ З ЦІННИХ ПАПЕРІВ ТА ФОНДОВОГО РИНКУ</w:t>
      </w:r>
    </w:p>
    <w:p w:rsidR="0017755F" w:rsidRDefault="0017755F" w:rsidP="0017755F">
      <w:pPr>
        <w:pStyle w:val="2"/>
        <w:jc w:val="center"/>
        <w:rPr>
          <w:lang w:val="uk-UA"/>
        </w:rPr>
      </w:pPr>
      <w:r>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17755F" w:rsidTr="0017755F">
        <w:trPr>
          <w:tblCellSpacing w:w="22" w:type="dxa"/>
        </w:trPr>
        <w:tc>
          <w:tcPr>
            <w:tcW w:w="1750" w:type="pct"/>
            <w:hideMark/>
          </w:tcPr>
          <w:p w:rsidR="0017755F" w:rsidRDefault="0017755F">
            <w:pPr>
              <w:pStyle w:val="a3"/>
              <w:jc w:val="center"/>
            </w:pPr>
            <w:r>
              <w:rPr>
                <w:b/>
                <w:bCs/>
              </w:rPr>
              <w:t>29.03.2016</w:t>
            </w:r>
          </w:p>
        </w:tc>
        <w:tc>
          <w:tcPr>
            <w:tcW w:w="1500" w:type="pct"/>
            <w:hideMark/>
          </w:tcPr>
          <w:p w:rsidR="0017755F" w:rsidRDefault="0017755F">
            <w:pPr>
              <w:pStyle w:val="a3"/>
              <w:jc w:val="center"/>
            </w:pPr>
            <w:r>
              <w:rPr>
                <w:b/>
                <w:bCs/>
              </w:rPr>
              <w:t xml:space="preserve">м. </w:t>
            </w:r>
            <w:proofErr w:type="spellStart"/>
            <w:r>
              <w:rPr>
                <w:b/>
                <w:bCs/>
              </w:rPr>
              <w:t>Київ</w:t>
            </w:r>
            <w:proofErr w:type="spellEnd"/>
          </w:p>
        </w:tc>
        <w:tc>
          <w:tcPr>
            <w:tcW w:w="1750" w:type="pct"/>
            <w:hideMark/>
          </w:tcPr>
          <w:p w:rsidR="0017755F" w:rsidRDefault="0017755F">
            <w:pPr>
              <w:pStyle w:val="a3"/>
              <w:jc w:val="center"/>
            </w:pPr>
            <w:r>
              <w:rPr>
                <w:b/>
                <w:bCs/>
              </w:rPr>
              <w:t>N 360</w:t>
            </w:r>
          </w:p>
        </w:tc>
      </w:tr>
    </w:tbl>
    <w:p w:rsidR="0017755F" w:rsidRDefault="0017755F" w:rsidP="0017755F">
      <w:pPr>
        <w:rPr>
          <w:lang w:val="uk-UA"/>
        </w:rPr>
      </w:pPr>
      <w:r>
        <w:rPr>
          <w:lang w:val="uk-UA"/>
        </w:rPr>
        <w:br w:type="textWrapping" w:clear="all"/>
      </w:r>
    </w:p>
    <w:p w:rsidR="0017755F" w:rsidRDefault="0017755F" w:rsidP="0017755F">
      <w:pPr>
        <w:pStyle w:val="a3"/>
        <w:jc w:val="center"/>
        <w:rPr>
          <w:lang w:val="uk-UA"/>
        </w:rPr>
      </w:pPr>
      <w:r>
        <w:rPr>
          <w:b/>
          <w:bCs/>
          <w:lang w:val="uk-UA"/>
        </w:rPr>
        <w:t xml:space="preserve">Зареєстровано в Міністерстві юстиції України </w:t>
      </w:r>
      <w:r>
        <w:rPr>
          <w:lang w:val="uk-UA"/>
        </w:rPr>
        <w:br/>
      </w:r>
      <w:r>
        <w:rPr>
          <w:b/>
          <w:bCs/>
          <w:lang w:val="uk-UA"/>
        </w:rPr>
        <w:t>25 квітня 2016 р. за N 629/28759</w:t>
      </w:r>
    </w:p>
    <w:p w:rsidR="0017755F" w:rsidRDefault="0017755F" w:rsidP="0017755F">
      <w:pPr>
        <w:pStyle w:val="2"/>
        <w:jc w:val="center"/>
        <w:rPr>
          <w:lang w:val="uk-UA"/>
        </w:rPr>
      </w:pPr>
      <w:r>
        <w:rPr>
          <w:lang w:val="uk-UA"/>
        </w:rPr>
        <w:t>Про визначення ринкової вартості цінних паперів</w:t>
      </w:r>
    </w:p>
    <w:p w:rsidR="0017755F" w:rsidRDefault="0017755F" w:rsidP="0017755F">
      <w:pPr>
        <w:pStyle w:val="a3"/>
        <w:jc w:val="both"/>
        <w:rPr>
          <w:lang w:val="uk-UA"/>
        </w:rPr>
      </w:pPr>
      <w:r>
        <w:rPr>
          <w:lang w:val="uk-UA"/>
        </w:rPr>
        <w:t xml:space="preserve">Відповідно до </w:t>
      </w:r>
      <w:r>
        <w:rPr>
          <w:color w:val="0000FF"/>
          <w:lang w:val="uk-UA"/>
        </w:rPr>
        <w:t>пункту 13 статті 8 Закону України "Про державне регулювання ринку цінних паперів в Україні"</w:t>
      </w:r>
      <w:r>
        <w:rPr>
          <w:lang w:val="uk-UA"/>
        </w:rPr>
        <w:t xml:space="preserve">, абзацу другого </w:t>
      </w:r>
      <w:r>
        <w:rPr>
          <w:color w:val="0000FF"/>
          <w:lang w:val="uk-UA"/>
        </w:rPr>
        <w:t>пункту 2 частини другої статті 8 Закону України "Про акціонерні товариства"</w:t>
      </w:r>
      <w:r>
        <w:rPr>
          <w:lang w:val="uk-UA"/>
        </w:rPr>
        <w:t>, з метою встановлення порядку визначення ринкової вартості цінних паперів Національна комісія з цінних паперів та фондового ринку</w:t>
      </w:r>
    </w:p>
    <w:p w:rsidR="0017755F" w:rsidRDefault="0017755F" w:rsidP="0017755F">
      <w:pPr>
        <w:pStyle w:val="a3"/>
        <w:jc w:val="both"/>
        <w:rPr>
          <w:lang w:val="uk-UA"/>
        </w:rPr>
      </w:pPr>
      <w:r>
        <w:rPr>
          <w:b/>
          <w:bCs/>
          <w:lang w:val="uk-UA"/>
        </w:rPr>
        <w:t>ВИРІШИЛА:</w:t>
      </w:r>
    </w:p>
    <w:p w:rsidR="0017755F" w:rsidRDefault="0017755F" w:rsidP="0017755F">
      <w:pPr>
        <w:pStyle w:val="a3"/>
        <w:jc w:val="both"/>
        <w:rPr>
          <w:lang w:val="uk-UA"/>
        </w:rPr>
      </w:pPr>
      <w:r>
        <w:rPr>
          <w:lang w:val="uk-UA"/>
        </w:rPr>
        <w:t>1. Встановити, що у разі якщо цінні папери перебувають в обігу на двох і більше фондових біржах та їхній середній біржовий курс за останні три місяці обігу, що передують дню, станом на який визначається ринкова вартість цінних паперів, на різних біржах відрізняється, ринкова вартість таких цінних паперів визначається наглядовою радою (якщо створення наглядової ради не передбачено статутом акціонерного товариства - виконавчим органом товариства) як середньоарифметичне значення розрахованих фондовими біржами біржових курсів таких цінних паперів згідно з нормативно-правовим актом Національної комісії з цінних паперів та фондового ринку, що встановлює порядок визначення біржового курсу цінного папера, протягом останніх трьох місяців їх обігу, що передують дню, станом на який визначається ринкова вартість таких цінних паперів.</w:t>
      </w:r>
    </w:p>
    <w:p w:rsidR="0017755F" w:rsidRDefault="0017755F" w:rsidP="0017755F">
      <w:pPr>
        <w:pStyle w:val="a3"/>
        <w:jc w:val="both"/>
        <w:rPr>
          <w:lang w:val="uk-UA"/>
        </w:rPr>
      </w:pPr>
      <w:r>
        <w:rPr>
          <w:lang w:val="uk-UA"/>
        </w:rPr>
        <w:t>У разі якщо цінні папери перебувають в обігу на двох і більше фондових біржах і при цьому протягом останніх трьох місяців їх обігу, що передують дню, станом на який визначається ринкова вартість таких цінних паперів, жодною з фондових бірж не було розраховано жодного біржового курсу цих цінних паперів, ринкова вартість таких цінних паперів визначається наглядовою радою (якщо створення наглядової ради не передбачено статутом акціонерного товариства - виконавчим органом товариства) як вартість цінних паперів станом на таку дату, визначена відповідно до законодавства про оцінку майна, майнових прав та професійну оціночну діяльність.</w:t>
      </w:r>
    </w:p>
    <w:p w:rsidR="0017755F" w:rsidRDefault="0017755F" w:rsidP="0017755F">
      <w:pPr>
        <w:pStyle w:val="a3"/>
        <w:jc w:val="both"/>
        <w:rPr>
          <w:lang w:val="uk-UA"/>
        </w:rPr>
      </w:pPr>
      <w:r>
        <w:rPr>
          <w:lang w:val="uk-UA"/>
        </w:rPr>
        <w:t>Ринкова вартість цінних паперів, що перебувають в обігу на фондових біржах і внесені (вносяться) як оплата вартості акцій, визначається відповідно до вимог нормативно-правового акта Національної комісії з цінних паперів та фондового ринку, що встановлює порядок збільшення (зменшення) статутного капіталу публічного або приватного акціонерного товариства.</w:t>
      </w:r>
    </w:p>
    <w:p w:rsidR="0017755F" w:rsidRDefault="0017755F" w:rsidP="0017755F">
      <w:pPr>
        <w:pStyle w:val="a3"/>
        <w:jc w:val="both"/>
        <w:rPr>
          <w:lang w:val="uk-UA"/>
        </w:rPr>
      </w:pPr>
      <w:r>
        <w:rPr>
          <w:lang w:val="uk-UA"/>
        </w:rPr>
        <w:t>Якщо день, станом на який визначається ринкова вартість цінних паперів, припадає на вихідний або святковий день, ринкову вартість цінних паперів необхідно розраховувати на останній робочий день, що передує такому дню.</w:t>
      </w:r>
    </w:p>
    <w:p w:rsidR="0017755F" w:rsidRDefault="0017755F" w:rsidP="0017755F">
      <w:pPr>
        <w:pStyle w:val="a3"/>
        <w:jc w:val="both"/>
        <w:rPr>
          <w:lang w:val="uk-UA"/>
        </w:rPr>
      </w:pPr>
      <w:r>
        <w:rPr>
          <w:lang w:val="uk-UA"/>
        </w:rPr>
        <w:lastRenderedPageBreak/>
        <w:t>2. Департаменту корпоративного управління та корпоративних фінансів забезпечити подання цього рішення на державну реєстрацію до Міністерства юстиції України.</w:t>
      </w:r>
    </w:p>
    <w:p w:rsidR="0017755F" w:rsidRDefault="0017755F" w:rsidP="0017755F">
      <w:pPr>
        <w:pStyle w:val="a3"/>
        <w:jc w:val="both"/>
        <w:rPr>
          <w:lang w:val="uk-UA"/>
        </w:rPr>
      </w:pPr>
      <w:r>
        <w:rPr>
          <w:lang w:val="uk-UA"/>
        </w:rPr>
        <w:t xml:space="preserve">3. Це рішення набирає чинності одночасно з набранням чинності </w:t>
      </w:r>
      <w:r>
        <w:rPr>
          <w:color w:val="0000FF"/>
          <w:lang w:val="uk-UA"/>
        </w:rPr>
        <w:t>Законом України від 07 квітня 2015 року N 289-VIII "Про внесення змін до деяких законодавчих актів України щодо захисту прав інвесторів"</w:t>
      </w:r>
      <w:r>
        <w:rPr>
          <w:lang w:val="uk-UA"/>
        </w:rPr>
        <w:t>, але не раніше дня його офіційного опублікування.</w:t>
      </w:r>
    </w:p>
    <w:p w:rsidR="0017755F" w:rsidRDefault="0017755F" w:rsidP="0017755F">
      <w:pPr>
        <w:pStyle w:val="a3"/>
        <w:jc w:val="both"/>
        <w:rPr>
          <w:lang w:val="uk-UA"/>
        </w:rPr>
      </w:pPr>
      <w:r>
        <w:rPr>
          <w:lang w:val="uk-UA"/>
        </w:rPr>
        <w:t>4. Департаменту інформаційних технологій та діловодства забезпечити оприлюднення цього рішення на офіційному сайті Національної комісії з цінних паперів та фондового ринку.</w:t>
      </w:r>
    </w:p>
    <w:p w:rsidR="0017755F" w:rsidRDefault="0017755F" w:rsidP="0017755F">
      <w:pPr>
        <w:pStyle w:val="a3"/>
        <w:jc w:val="both"/>
        <w:rPr>
          <w:lang w:val="uk-UA"/>
        </w:rPr>
      </w:pPr>
      <w:r>
        <w:rPr>
          <w:lang w:val="uk-UA"/>
        </w:rPr>
        <w:t>5. Управлінню міжнародної співпраці та комунікацій забезпечити опублікування цього рішення в офіційному друкованому виданні Національної комісії з цінних паперів та фондового ринку.</w:t>
      </w:r>
    </w:p>
    <w:p w:rsidR="0017755F" w:rsidRDefault="0017755F" w:rsidP="0017755F">
      <w:pPr>
        <w:pStyle w:val="a3"/>
        <w:jc w:val="both"/>
        <w:rPr>
          <w:lang w:val="uk-UA"/>
        </w:rPr>
      </w:pPr>
      <w:r>
        <w:rPr>
          <w:lang w:val="uk-UA"/>
        </w:rPr>
        <w:t xml:space="preserve">6. Контроль за виконанням цього рішення покласти на члена Національної комісії з цінних паперів та фондового ринку Ю. </w:t>
      </w:r>
      <w:proofErr w:type="spellStart"/>
      <w:r>
        <w:rPr>
          <w:lang w:val="uk-UA"/>
        </w:rPr>
        <w:t>Буцу</w:t>
      </w:r>
      <w:proofErr w:type="spellEnd"/>
      <w:r>
        <w:rPr>
          <w:lang w:val="uk-UA"/>
        </w:rPr>
        <w:t>.</w:t>
      </w:r>
    </w:p>
    <w:p w:rsidR="0017755F" w:rsidRDefault="0017755F" w:rsidP="0017755F">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17755F" w:rsidTr="0017755F">
        <w:trPr>
          <w:tblCellSpacing w:w="22" w:type="dxa"/>
        </w:trPr>
        <w:tc>
          <w:tcPr>
            <w:tcW w:w="2500" w:type="pct"/>
            <w:hideMark/>
          </w:tcPr>
          <w:p w:rsidR="0017755F" w:rsidRDefault="0017755F">
            <w:pPr>
              <w:pStyle w:val="a3"/>
              <w:jc w:val="center"/>
            </w:pPr>
            <w:r>
              <w:rPr>
                <w:b/>
                <w:bCs/>
              </w:rPr>
              <w:t xml:space="preserve">Голова </w:t>
            </w:r>
            <w:proofErr w:type="spellStart"/>
            <w:r>
              <w:rPr>
                <w:b/>
                <w:bCs/>
              </w:rPr>
              <w:t>Комісії</w:t>
            </w:r>
            <w:proofErr w:type="spellEnd"/>
          </w:p>
        </w:tc>
        <w:tc>
          <w:tcPr>
            <w:tcW w:w="2500" w:type="pct"/>
            <w:vAlign w:val="bottom"/>
            <w:hideMark/>
          </w:tcPr>
          <w:p w:rsidR="0017755F" w:rsidRDefault="0017755F">
            <w:pPr>
              <w:pStyle w:val="a3"/>
              <w:jc w:val="center"/>
            </w:pPr>
            <w:r>
              <w:rPr>
                <w:b/>
                <w:bCs/>
              </w:rPr>
              <w:t xml:space="preserve">Т. </w:t>
            </w:r>
            <w:proofErr w:type="spellStart"/>
            <w:r>
              <w:rPr>
                <w:b/>
                <w:bCs/>
              </w:rPr>
              <w:t>Хромаєв</w:t>
            </w:r>
            <w:proofErr w:type="spellEnd"/>
          </w:p>
        </w:tc>
      </w:tr>
    </w:tbl>
    <w:p w:rsidR="0017755F" w:rsidRDefault="0017755F" w:rsidP="0017755F">
      <w:pPr>
        <w:pStyle w:val="a3"/>
        <w:jc w:val="both"/>
        <w:rPr>
          <w:lang w:val="uk-UA"/>
        </w:rPr>
      </w:pPr>
      <w:r>
        <w:rPr>
          <w:lang w:val="uk-UA"/>
        </w:rPr>
        <w:br w:type="textWrapping" w:clear="all"/>
      </w:r>
    </w:p>
    <w:p w:rsidR="0017755F" w:rsidRDefault="0017755F" w:rsidP="0017755F">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17755F" w:rsidTr="0017755F">
        <w:trPr>
          <w:tblCellSpacing w:w="22" w:type="dxa"/>
        </w:trPr>
        <w:tc>
          <w:tcPr>
            <w:tcW w:w="5000" w:type="pct"/>
            <w:hideMark/>
          </w:tcPr>
          <w:p w:rsidR="0017755F" w:rsidRDefault="0017755F">
            <w:pPr>
              <w:pStyle w:val="a3"/>
            </w:pPr>
            <w:r>
              <w:t xml:space="preserve">Протокол </w:t>
            </w:r>
            <w:proofErr w:type="spellStart"/>
            <w:r>
              <w:t>засідання</w:t>
            </w:r>
            <w:proofErr w:type="spellEnd"/>
            <w:r>
              <w:t xml:space="preserve"> </w:t>
            </w:r>
            <w:proofErr w:type="spellStart"/>
            <w:r>
              <w:t>Комісії</w:t>
            </w:r>
            <w:proofErr w:type="spellEnd"/>
            <w:r>
              <w:t xml:space="preserve"> </w:t>
            </w:r>
            <w:r>
              <w:br/>
            </w:r>
            <w:proofErr w:type="spellStart"/>
            <w:r>
              <w:t>від</w:t>
            </w:r>
            <w:proofErr w:type="spellEnd"/>
            <w:r>
              <w:t xml:space="preserve"> 29 </w:t>
            </w:r>
            <w:proofErr w:type="spellStart"/>
            <w:r>
              <w:t>березня</w:t>
            </w:r>
            <w:proofErr w:type="spellEnd"/>
            <w:r>
              <w:t xml:space="preserve"> 2016 р. N 24</w:t>
            </w:r>
          </w:p>
        </w:tc>
      </w:tr>
    </w:tbl>
    <w:p w:rsidR="0017755F" w:rsidRDefault="0017755F" w:rsidP="0017755F">
      <w:pPr>
        <w:pStyle w:val="a3"/>
        <w:jc w:val="both"/>
        <w:rPr>
          <w:lang w:val="uk-UA"/>
        </w:rPr>
      </w:pPr>
      <w:r>
        <w:rPr>
          <w:lang w:val="uk-UA"/>
        </w:rPr>
        <w:br w:type="textWrapping" w:clear="all"/>
      </w:r>
    </w:p>
    <w:p w:rsidR="0017755F" w:rsidRDefault="0017755F" w:rsidP="0017755F">
      <w:pPr>
        <w:pStyle w:val="a3"/>
        <w:jc w:val="both"/>
        <w:rPr>
          <w:lang w:val="uk-UA"/>
        </w:rPr>
      </w:pPr>
      <w:r>
        <w:rPr>
          <w:lang w:val="uk-UA"/>
        </w:rPr>
        <w:t> </w:t>
      </w:r>
    </w:p>
    <w:p w:rsidR="0017755F" w:rsidRDefault="0017755F" w:rsidP="0017755F">
      <w:pPr>
        <w:rPr>
          <w:lang w:val="uk-UA"/>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characterSpacingControl w:val="doNotCompress"/>
  <w:compat/>
  <w:rsids>
    <w:rsidRoot w:val="0017755F"/>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646E"/>
    <w:rsid w:val="00127A12"/>
    <w:rsid w:val="00130ACC"/>
    <w:rsid w:val="0013146D"/>
    <w:rsid w:val="0013172B"/>
    <w:rsid w:val="001354EA"/>
    <w:rsid w:val="001358AB"/>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5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5B3"/>
    <w:rsid w:val="001E22E9"/>
    <w:rsid w:val="001E2EC0"/>
    <w:rsid w:val="001E45A5"/>
    <w:rsid w:val="001E4AF1"/>
    <w:rsid w:val="001E5DE2"/>
    <w:rsid w:val="001E7AC8"/>
    <w:rsid w:val="001F08B0"/>
    <w:rsid w:val="001F1907"/>
    <w:rsid w:val="001F473C"/>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9054F"/>
    <w:rsid w:val="002908FC"/>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102DF"/>
    <w:rsid w:val="00310741"/>
    <w:rsid w:val="00310BDA"/>
    <w:rsid w:val="00310E81"/>
    <w:rsid w:val="00312B6E"/>
    <w:rsid w:val="00313E35"/>
    <w:rsid w:val="00314A98"/>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0B53"/>
    <w:rsid w:val="003B13C9"/>
    <w:rsid w:val="003B2EF8"/>
    <w:rsid w:val="003B37F4"/>
    <w:rsid w:val="003B4744"/>
    <w:rsid w:val="003B6CFA"/>
    <w:rsid w:val="003B791A"/>
    <w:rsid w:val="003C0EBA"/>
    <w:rsid w:val="003C54CE"/>
    <w:rsid w:val="003C5AD8"/>
    <w:rsid w:val="003C66C7"/>
    <w:rsid w:val="003C72E5"/>
    <w:rsid w:val="003D0030"/>
    <w:rsid w:val="003D05CC"/>
    <w:rsid w:val="003D1FFB"/>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D53"/>
    <w:rsid w:val="0046095B"/>
    <w:rsid w:val="00460BFC"/>
    <w:rsid w:val="00460FCC"/>
    <w:rsid w:val="00461F29"/>
    <w:rsid w:val="00463BDD"/>
    <w:rsid w:val="00464C75"/>
    <w:rsid w:val="00467B2B"/>
    <w:rsid w:val="00470EE7"/>
    <w:rsid w:val="00471753"/>
    <w:rsid w:val="004718F0"/>
    <w:rsid w:val="00471F62"/>
    <w:rsid w:val="00472BD3"/>
    <w:rsid w:val="00473C38"/>
    <w:rsid w:val="004756B6"/>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83A"/>
    <w:rsid w:val="004B1A6C"/>
    <w:rsid w:val="004B38FB"/>
    <w:rsid w:val="004B3DC6"/>
    <w:rsid w:val="004B65EF"/>
    <w:rsid w:val="004B6CE4"/>
    <w:rsid w:val="004B7E0E"/>
    <w:rsid w:val="004C00E9"/>
    <w:rsid w:val="004C04C7"/>
    <w:rsid w:val="004C1D24"/>
    <w:rsid w:val="004C2E0E"/>
    <w:rsid w:val="004C2FB4"/>
    <w:rsid w:val="004C49B3"/>
    <w:rsid w:val="004C5F57"/>
    <w:rsid w:val="004C6967"/>
    <w:rsid w:val="004C7F00"/>
    <w:rsid w:val="004D0F38"/>
    <w:rsid w:val="004D15A4"/>
    <w:rsid w:val="004D20A5"/>
    <w:rsid w:val="004D4040"/>
    <w:rsid w:val="004D5449"/>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331B"/>
    <w:rsid w:val="00503B57"/>
    <w:rsid w:val="00505613"/>
    <w:rsid w:val="00505AA2"/>
    <w:rsid w:val="0050631E"/>
    <w:rsid w:val="00507A1D"/>
    <w:rsid w:val="005128E1"/>
    <w:rsid w:val="005151FF"/>
    <w:rsid w:val="00517CBC"/>
    <w:rsid w:val="00520DC6"/>
    <w:rsid w:val="005300E6"/>
    <w:rsid w:val="00530880"/>
    <w:rsid w:val="00530D33"/>
    <w:rsid w:val="00530E5D"/>
    <w:rsid w:val="00531CF8"/>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985"/>
    <w:rsid w:val="0057596F"/>
    <w:rsid w:val="005773F4"/>
    <w:rsid w:val="00582DAC"/>
    <w:rsid w:val="0058628A"/>
    <w:rsid w:val="005863C6"/>
    <w:rsid w:val="00586B09"/>
    <w:rsid w:val="00586D81"/>
    <w:rsid w:val="00586D94"/>
    <w:rsid w:val="005878FE"/>
    <w:rsid w:val="005912CE"/>
    <w:rsid w:val="00593079"/>
    <w:rsid w:val="0059365C"/>
    <w:rsid w:val="00594130"/>
    <w:rsid w:val="005946EF"/>
    <w:rsid w:val="00594BF4"/>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684D"/>
    <w:rsid w:val="005F7102"/>
    <w:rsid w:val="005F7E86"/>
    <w:rsid w:val="0060136B"/>
    <w:rsid w:val="00601DD0"/>
    <w:rsid w:val="00601FBB"/>
    <w:rsid w:val="0060504B"/>
    <w:rsid w:val="006060AE"/>
    <w:rsid w:val="0060620B"/>
    <w:rsid w:val="00606BF9"/>
    <w:rsid w:val="00607268"/>
    <w:rsid w:val="00607D58"/>
    <w:rsid w:val="00611C28"/>
    <w:rsid w:val="00612EDB"/>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C71E1"/>
    <w:rsid w:val="007D21DA"/>
    <w:rsid w:val="007D40ED"/>
    <w:rsid w:val="007D5C71"/>
    <w:rsid w:val="007E1415"/>
    <w:rsid w:val="007E223C"/>
    <w:rsid w:val="007E3982"/>
    <w:rsid w:val="007E4747"/>
    <w:rsid w:val="007E50B5"/>
    <w:rsid w:val="007E54E5"/>
    <w:rsid w:val="007E6EF8"/>
    <w:rsid w:val="007F0873"/>
    <w:rsid w:val="007F3462"/>
    <w:rsid w:val="007F4494"/>
    <w:rsid w:val="007F45B2"/>
    <w:rsid w:val="007F53C5"/>
    <w:rsid w:val="007F7D5A"/>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0CFD"/>
    <w:rsid w:val="00991ABD"/>
    <w:rsid w:val="00992F1A"/>
    <w:rsid w:val="009936A6"/>
    <w:rsid w:val="00994087"/>
    <w:rsid w:val="00994894"/>
    <w:rsid w:val="00995E78"/>
    <w:rsid w:val="009965A8"/>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6A1"/>
    <w:rsid w:val="00A30BDA"/>
    <w:rsid w:val="00A30D29"/>
    <w:rsid w:val="00A31274"/>
    <w:rsid w:val="00A3309C"/>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602FE"/>
    <w:rsid w:val="00A60482"/>
    <w:rsid w:val="00A606FF"/>
    <w:rsid w:val="00A60741"/>
    <w:rsid w:val="00A60A76"/>
    <w:rsid w:val="00A60FAB"/>
    <w:rsid w:val="00A643D7"/>
    <w:rsid w:val="00A65BF3"/>
    <w:rsid w:val="00A6718B"/>
    <w:rsid w:val="00A7133C"/>
    <w:rsid w:val="00A729DA"/>
    <w:rsid w:val="00A72A0F"/>
    <w:rsid w:val="00A72E8A"/>
    <w:rsid w:val="00A75609"/>
    <w:rsid w:val="00A75A2F"/>
    <w:rsid w:val="00A768B0"/>
    <w:rsid w:val="00A76BCC"/>
    <w:rsid w:val="00A76F6A"/>
    <w:rsid w:val="00A77282"/>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20D5"/>
    <w:rsid w:val="00B34995"/>
    <w:rsid w:val="00B356CE"/>
    <w:rsid w:val="00B37E6C"/>
    <w:rsid w:val="00B41C4B"/>
    <w:rsid w:val="00B43C5D"/>
    <w:rsid w:val="00B44F5C"/>
    <w:rsid w:val="00B47CC8"/>
    <w:rsid w:val="00B502FF"/>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4FE5"/>
    <w:rsid w:val="00C05B88"/>
    <w:rsid w:val="00C05BA0"/>
    <w:rsid w:val="00C06A93"/>
    <w:rsid w:val="00C07A3C"/>
    <w:rsid w:val="00C11CA1"/>
    <w:rsid w:val="00C122B0"/>
    <w:rsid w:val="00C134B2"/>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650"/>
    <w:rsid w:val="00C56939"/>
    <w:rsid w:val="00C57249"/>
    <w:rsid w:val="00C57D6A"/>
    <w:rsid w:val="00C6068A"/>
    <w:rsid w:val="00C61692"/>
    <w:rsid w:val="00C61FF2"/>
    <w:rsid w:val="00C62D67"/>
    <w:rsid w:val="00C6425A"/>
    <w:rsid w:val="00C6552C"/>
    <w:rsid w:val="00C66CCC"/>
    <w:rsid w:val="00C7317E"/>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BC1"/>
    <w:rsid w:val="00CB3AF5"/>
    <w:rsid w:val="00CB4FE5"/>
    <w:rsid w:val="00CB4FFB"/>
    <w:rsid w:val="00CB5D2B"/>
    <w:rsid w:val="00CB74E5"/>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DCC"/>
    <w:rsid w:val="00D155A1"/>
    <w:rsid w:val="00D16781"/>
    <w:rsid w:val="00D206F6"/>
    <w:rsid w:val="00D22BCC"/>
    <w:rsid w:val="00D23FC9"/>
    <w:rsid w:val="00D25397"/>
    <w:rsid w:val="00D25805"/>
    <w:rsid w:val="00D27399"/>
    <w:rsid w:val="00D27BE1"/>
    <w:rsid w:val="00D3007B"/>
    <w:rsid w:val="00D30E11"/>
    <w:rsid w:val="00D3333A"/>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597"/>
    <w:rsid w:val="00D639C2"/>
    <w:rsid w:val="00D63F8D"/>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0692"/>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BAE"/>
    <w:rsid w:val="00E0587A"/>
    <w:rsid w:val="00E0794A"/>
    <w:rsid w:val="00E11A68"/>
    <w:rsid w:val="00E11EEF"/>
    <w:rsid w:val="00E13038"/>
    <w:rsid w:val="00E13BB2"/>
    <w:rsid w:val="00E1536C"/>
    <w:rsid w:val="00E154E5"/>
    <w:rsid w:val="00E15C18"/>
    <w:rsid w:val="00E171E0"/>
    <w:rsid w:val="00E2191C"/>
    <w:rsid w:val="00E22B69"/>
    <w:rsid w:val="00E235FD"/>
    <w:rsid w:val="00E24ACF"/>
    <w:rsid w:val="00E2679F"/>
    <w:rsid w:val="00E2715D"/>
    <w:rsid w:val="00E27545"/>
    <w:rsid w:val="00E2781A"/>
    <w:rsid w:val="00E30473"/>
    <w:rsid w:val="00E31023"/>
    <w:rsid w:val="00E31FA4"/>
    <w:rsid w:val="00E32609"/>
    <w:rsid w:val="00E33827"/>
    <w:rsid w:val="00E34900"/>
    <w:rsid w:val="00E36CCD"/>
    <w:rsid w:val="00E37404"/>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60DE"/>
    <w:rsid w:val="00E66111"/>
    <w:rsid w:val="00E67F36"/>
    <w:rsid w:val="00E72010"/>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4750"/>
    <w:rsid w:val="00F36D3E"/>
    <w:rsid w:val="00F4050D"/>
    <w:rsid w:val="00F40558"/>
    <w:rsid w:val="00F43024"/>
    <w:rsid w:val="00F46688"/>
    <w:rsid w:val="00F4677F"/>
    <w:rsid w:val="00F46F30"/>
    <w:rsid w:val="00F47945"/>
    <w:rsid w:val="00F47A93"/>
    <w:rsid w:val="00F50E40"/>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4A18"/>
    <w:rsid w:val="00FF10DC"/>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5F"/>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7755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7755F"/>
    <w:rPr>
      <w:rFonts w:ascii="Times New Roman" w:eastAsia="Times New Roman" w:hAnsi="Times New Roman" w:cs="Times New Roman"/>
      <w:b/>
      <w:bCs/>
      <w:sz w:val="36"/>
      <w:szCs w:val="36"/>
      <w:lang w:eastAsia="ru-RU"/>
    </w:rPr>
  </w:style>
  <w:style w:type="paragraph" w:styleId="a3">
    <w:name w:val="Normal (Web)"/>
    <w:basedOn w:val="a"/>
    <w:rsid w:val="0017755F"/>
    <w:pPr>
      <w:spacing w:before="100" w:beforeAutospacing="1" w:after="100" w:afterAutospacing="1"/>
    </w:pPr>
  </w:style>
  <w:style w:type="paragraph" w:styleId="a4">
    <w:name w:val="Balloon Text"/>
    <w:basedOn w:val="a"/>
    <w:link w:val="a5"/>
    <w:uiPriority w:val="99"/>
    <w:semiHidden/>
    <w:unhideWhenUsed/>
    <w:rsid w:val="0017755F"/>
    <w:rPr>
      <w:rFonts w:ascii="Tahoma" w:hAnsi="Tahoma" w:cs="Tahoma"/>
      <w:sz w:val="16"/>
      <w:szCs w:val="16"/>
    </w:rPr>
  </w:style>
  <w:style w:type="character" w:customStyle="1" w:styleId="a5">
    <w:name w:val="Текст выноски Знак"/>
    <w:basedOn w:val="a0"/>
    <w:link w:val="a4"/>
    <w:uiPriority w:val="99"/>
    <w:semiHidden/>
    <w:rsid w:val="0017755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033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Company>SPecialiST RePack</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2016-05-12T19:30:00Z</dcterms:created>
  <dcterms:modified xsi:type="dcterms:W3CDTF">2016-05-12T19:31:00Z</dcterms:modified>
</cp:coreProperties>
</file>